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5E42" w14:textId="77777777" w:rsidR="00700A7A" w:rsidRPr="00700A7A" w:rsidRDefault="00700A7A" w:rsidP="00700A7A">
      <w:pPr>
        <w:widowControl w:val="0"/>
        <w:tabs>
          <w:tab w:val="center" w:pos="5040"/>
          <w:tab w:val="right" w:pos="10080"/>
        </w:tabs>
        <w:spacing w:line="240" w:lineRule="exact"/>
        <w:rPr>
          <w:rFonts w:ascii="Arial" w:hAnsi="Arial" w:cs="Arial"/>
          <w:b/>
          <w:snapToGrid w:val="0"/>
          <w:kern w:val="2"/>
        </w:rPr>
      </w:pPr>
      <w:r w:rsidRPr="00700A7A">
        <w:rPr>
          <w:rFonts w:ascii="Arial" w:hAnsi="Arial" w:cs="Arial"/>
          <w:b/>
          <w:snapToGrid w:val="0"/>
          <w:kern w:val="2"/>
        </w:rPr>
        <w:tab/>
        <w:t>CONTENTS</w:t>
      </w:r>
      <w:r w:rsidRPr="00700A7A">
        <w:rPr>
          <w:rFonts w:ascii="Arial" w:hAnsi="Arial" w:cs="Arial"/>
          <w:b/>
          <w:snapToGrid w:val="0"/>
          <w:kern w:val="2"/>
        </w:rPr>
        <w:tab/>
        <w:t>September 2026</w:t>
      </w:r>
    </w:p>
    <w:p w14:paraId="6F82C518" w14:textId="77777777" w:rsidR="00700A7A" w:rsidRPr="00700A7A" w:rsidRDefault="00700A7A" w:rsidP="00700A7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jc w:val="center"/>
        <w:rPr>
          <w:rFonts w:ascii="Arial" w:hAnsi="Arial" w:cs="Arial"/>
          <w:snapToGrid w:val="0"/>
          <w:kern w:val="2"/>
          <w:sz w:val="18"/>
        </w:rPr>
      </w:pPr>
    </w:p>
    <w:p w14:paraId="06D00FA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I.</w:t>
      </w:r>
      <w:r w:rsidRPr="00700A7A">
        <w:rPr>
          <w:rFonts w:ascii="Arial" w:hAnsi="Arial" w:cs="Arial"/>
          <w:b/>
          <w:kern w:val="2"/>
          <w:sz w:val="18"/>
        </w:rPr>
        <w:tab/>
      </w:r>
      <w:r w:rsidRPr="00700A7A">
        <w:rPr>
          <w:rFonts w:ascii="Arial" w:hAnsi="Arial" w:cs="Arial"/>
          <w:b/>
          <w:kern w:val="2"/>
          <w:sz w:val="18"/>
        </w:rPr>
        <w:tab/>
        <w:t>EXECUTIVE ORDERS</w:t>
      </w:r>
    </w:p>
    <w:p w14:paraId="76F421CC"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26-076</w:t>
      </w:r>
      <w:r w:rsidRPr="00700A7A">
        <w:rPr>
          <w:rFonts w:ascii="Arial" w:hAnsi="Arial" w:cs="Arial"/>
          <w:bCs/>
          <w:kern w:val="2"/>
          <w:sz w:val="18"/>
        </w:rPr>
        <w:tab/>
        <w:t>Amended Louisiana Rural Health Transformation Program</w:t>
      </w:r>
      <w:r w:rsidRPr="00700A7A">
        <w:rPr>
          <w:rFonts w:ascii="Arial" w:hAnsi="Arial" w:cs="Arial"/>
          <w:bCs/>
          <w:kern w:val="2"/>
          <w:sz w:val="18"/>
        </w:rPr>
        <w:tab/>
        <w:t>1466</w:t>
      </w:r>
    </w:p>
    <w:p w14:paraId="0EC1838D"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26-077</w:t>
      </w:r>
      <w:r w:rsidRPr="00700A7A">
        <w:rPr>
          <w:rFonts w:ascii="Arial" w:hAnsi="Arial" w:cs="Arial"/>
          <w:bCs/>
          <w:kern w:val="2"/>
          <w:sz w:val="18"/>
        </w:rPr>
        <w:tab/>
        <w:t>Bond Allocation 2026 Ceiling Amendment</w:t>
      </w:r>
      <w:r w:rsidRPr="00700A7A">
        <w:rPr>
          <w:rFonts w:ascii="Arial" w:hAnsi="Arial" w:cs="Arial"/>
          <w:bCs/>
          <w:kern w:val="2"/>
          <w:sz w:val="18"/>
        </w:rPr>
        <w:tab/>
        <w:t>1467</w:t>
      </w:r>
    </w:p>
    <w:p w14:paraId="30E07631"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26-078</w:t>
      </w:r>
      <w:r w:rsidRPr="00700A7A">
        <w:rPr>
          <w:rFonts w:ascii="Arial" w:hAnsi="Arial" w:cs="Arial"/>
          <w:bCs/>
          <w:kern w:val="2"/>
          <w:sz w:val="18"/>
        </w:rPr>
        <w:tab/>
        <w:t>Expedited Environmental Permitting</w:t>
      </w:r>
      <w:r w:rsidRPr="00700A7A">
        <w:rPr>
          <w:rFonts w:ascii="Arial" w:hAnsi="Arial" w:cs="Arial"/>
          <w:bCs/>
          <w:kern w:val="2"/>
          <w:sz w:val="18"/>
        </w:rPr>
        <w:tab/>
        <w:t>1468</w:t>
      </w:r>
    </w:p>
    <w:p w14:paraId="2E22F198"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
          <w:bCs/>
          <w:kern w:val="2"/>
          <w:sz w:val="18"/>
        </w:rPr>
      </w:pPr>
      <w:r w:rsidRPr="00700A7A">
        <w:rPr>
          <w:rFonts w:ascii="Arial" w:hAnsi="Arial" w:cs="Arial"/>
          <w:bCs/>
          <w:kern w:val="2"/>
          <w:sz w:val="18"/>
        </w:rPr>
        <w:tab/>
      </w:r>
      <w:r w:rsidRPr="00700A7A">
        <w:rPr>
          <w:rFonts w:ascii="Arial" w:hAnsi="Arial" w:cs="Arial"/>
          <w:bCs/>
          <w:kern w:val="2"/>
          <w:sz w:val="18"/>
        </w:rPr>
        <w:tab/>
        <w:t>JML 26-079</w:t>
      </w:r>
      <w:r w:rsidRPr="00700A7A">
        <w:rPr>
          <w:rFonts w:ascii="Arial" w:hAnsi="Arial" w:cs="Arial"/>
          <w:bCs/>
          <w:kern w:val="2"/>
          <w:sz w:val="18"/>
        </w:rPr>
        <w:tab/>
        <w:t>Securing Louisiana’s Critical Minerals Supply Chain and Unleashing Domestic Alumina Production</w:t>
      </w:r>
      <w:r w:rsidRPr="00700A7A">
        <w:rPr>
          <w:rFonts w:ascii="Arial" w:hAnsi="Arial" w:cs="Arial"/>
          <w:bCs/>
          <w:kern w:val="2"/>
          <w:sz w:val="18"/>
        </w:rPr>
        <w:tab/>
        <w:t>1469</w:t>
      </w:r>
    </w:p>
    <w:p w14:paraId="0D9B2C1D"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26-080</w:t>
      </w:r>
      <w:r w:rsidRPr="00700A7A">
        <w:rPr>
          <w:rFonts w:ascii="Arial" w:hAnsi="Arial" w:cs="Arial"/>
          <w:bCs/>
          <w:kern w:val="2"/>
          <w:sz w:val="18"/>
        </w:rPr>
        <w:tab/>
        <w:t>Flags at Half-Staff—Gurnie “Tutie” Richard</w:t>
      </w:r>
      <w:r w:rsidRPr="00700A7A">
        <w:rPr>
          <w:rFonts w:ascii="Arial" w:hAnsi="Arial" w:cs="Arial"/>
          <w:bCs/>
          <w:kern w:val="2"/>
          <w:sz w:val="18"/>
        </w:rPr>
        <w:tab/>
        <w:t>1470</w:t>
      </w:r>
    </w:p>
    <w:p w14:paraId="14F80A7D"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26-081</w:t>
      </w:r>
      <w:r w:rsidRPr="00700A7A">
        <w:rPr>
          <w:rFonts w:ascii="Arial" w:hAnsi="Arial" w:cs="Arial"/>
          <w:bCs/>
          <w:kern w:val="2"/>
          <w:sz w:val="18"/>
        </w:rPr>
        <w:tab/>
        <w:t>Emergency Declaration La 384 Black Bayou Pontoon Bridge, Calcasieu Parish</w:t>
      </w:r>
      <w:r w:rsidRPr="00700A7A">
        <w:rPr>
          <w:rFonts w:ascii="Arial" w:hAnsi="Arial" w:cs="Arial"/>
          <w:bCs/>
          <w:kern w:val="2"/>
          <w:sz w:val="18"/>
        </w:rPr>
        <w:tab/>
        <w:t>1471</w:t>
      </w:r>
    </w:p>
    <w:p w14:paraId="0AB7087F"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26-082</w:t>
      </w:r>
      <w:r w:rsidRPr="00700A7A">
        <w:rPr>
          <w:rFonts w:ascii="Arial" w:hAnsi="Arial" w:cs="Arial"/>
          <w:bCs/>
          <w:kern w:val="2"/>
          <w:sz w:val="18"/>
        </w:rPr>
        <w:tab/>
        <w:t>Flags at Half-Staff—J. Stanley “Skip” Bertman</w:t>
      </w:r>
      <w:r w:rsidRPr="00700A7A">
        <w:rPr>
          <w:rFonts w:ascii="Arial" w:hAnsi="Arial" w:cs="Arial"/>
          <w:bCs/>
          <w:kern w:val="2"/>
          <w:sz w:val="18"/>
        </w:rPr>
        <w:tab/>
        <w:t>1472</w:t>
      </w:r>
    </w:p>
    <w:p w14:paraId="2ACDB49F"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26-083</w:t>
      </w:r>
      <w:r w:rsidRPr="00700A7A">
        <w:rPr>
          <w:rFonts w:ascii="Arial" w:hAnsi="Arial" w:cs="Arial"/>
          <w:bCs/>
          <w:kern w:val="2"/>
          <w:sz w:val="18"/>
        </w:rPr>
        <w:tab/>
        <w:t>Flags at Half-Staff—Dolly Parton</w:t>
      </w:r>
      <w:r w:rsidRPr="00700A7A">
        <w:rPr>
          <w:rFonts w:ascii="Arial" w:hAnsi="Arial" w:cs="Arial"/>
          <w:bCs/>
          <w:kern w:val="2"/>
          <w:sz w:val="18"/>
        </w:rPr>
        <w:tab/>
        <w:t>1473</w:t>
      </w:r>
    </w:p>
    <w:p w14:paraId="3097125A" w14:textId="0F3E7922"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26-084</w:t>
      </w:r>
      <w:r w:rsidRPr="00700A7A">
        <w:rPr>
          <w:rFonts w:ascii="Arial" w:hAnsi="Arial" w:cs="Arial"/>
          <w:bCs/>
          <w:kern w:val="2"/>
          <w:sz w:val="18"/>
        </w:rPr>
        <w:tab/>
        <w:t>Renewal of State of Emergency</w:t>
      </w:r>
      <w:r w:rsidR="00C075D1" w:rsidRPr="00700A7A">
        <w:rPr>
          <w:rFonts w:ascii="Arial" w:hAnsi="Arial" w:cs="Arial"/>
          <w:bCs/>
          <w:kern w:val="2"/>
          <w:sz w:val="18"/>
        </w:rPr>
        <w:t>—</w:t>
      </w:r>
      <w:r w:rsidRPr="00700A7A">
        <w:rPr>
          <w:rFonts w:ascii="Arial" w:hAnsi="Arial" w:cs="Arial"/>
          <w:bCs/>
          <w:kern w:val="2"/>
          <w:sz w:val="18"/>
        </w:rPr>
        <w:t>Threat of Subsidence, Subsurface Instability, and Presence of</w:t>
      </w:r>
    </w:p>
    <w:p w14:paraId="2EA7D153"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Hydrocarbons in Sulphur Mines Salt Dome Area</w:t>
      </w:r>
      <w:r w:rsidRPr="00700A7A">
        <w:rPr>
          <w:rFonts w:ascii="Arial" w:hAnsi="Arial" w:cs="Arial"/>
          <w:bCs/>
          <w:kern w:val="2"/>
          <w:sz w:val="18"/>
        </w:rPr>
        <w:tab/>
        <w:t>1473</w:t>
      </w:r>
    </w:p>
    <w:p w14:paraId="771633B1"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26-085</w:t>
      </w:r>
      <w:r w:rsidRPr="00700A7A">
        <w:rPr>
          <w:rFonts w:ascii="Arial" w:hAnsi="Arial" w:cs="Arial"/>
          <w:bCs/>
          <w:kern w:val="2"/>
          <w:sz w:val="18"/>
        </w:rPr>
        <w:tab/>
        <w:t>Renewal of State of Emergency—Maximum Security Camp J Repairs and Operation</w:t>
      </w:r>
    </w:p>
    <w:p w14:paraId="29CA05A3"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Louisiana State Penitentiary</w:t>
      </w:r>
      <w:r w:rsidRPr="00700A7A">
        <w:rPr>
          <w:rFonts w:ascii="Arial" w:hAnsi="Arial" w:cs="Arial"/>
          <w:bCs/>
          <w:kern w:val="2"/>
          <w:sz w:val="18"/>
        </w:rPr>
        <w:tab/>
        <w:t>1474</w:t>
      </w:r>
    </w:p>
    <w:p w14:paraId="46470D44"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26-086</w:t>
      </w:r>
      <w:r w:rsidRPr="00700A7A">
        <w:rPr>
          <w:rFonts w:ascii="Arial" w:hAnsi="Arial" w:cs="Arial"/>
          <w:bCs/>
          <w:kern w:val="2"/>
          <w:sz w:val="18"/>
        </w:rPr>
        <w:tab/>
        <w:t>Renewal of State of Emergency—Hurricane Ida</w:t>
      </w:r>
      <w:r w:rsidRPr="00700A7A">
        <w:rPr>
          <w:rFonts w:ascii="Arial" w:hAnsi="Arial" w:cs="Arial"/>
          <w:bCs/>
          <w:kern w:val="2"/>
          <w:sz w:val="18"/>
        </w:rPr>
        <w:tab/>
        <w:t>1475</w:t>
      </w:r>
    </w:p>
    <w:p w14:paraId="2ED4B56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313F359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II.</w:t>
      </w:r>
      <w:r w:rsidRPr="00700A7A">
        <w:rPr>
          <w:rFonts w:ascii="Arial" w:hAnsi="Arial" w:cs="Arial"/>
          <w:kern w:val="2"/>
          <w:sz w:val="18"/>
        </w:rPr>
        <w:tab/>
      </w:r>
      <w:r w:rsidRPr="00700A7A">
        <w:rPr>
          <w:rFonts w:ascii="Arial" w:hAnsi="Arial" w:cs="Arial"/>
          <w:kern w:val="2"/>
          <w:sz w:val="18"/>
        </w:rPr>
        <w:tab/>
      </w:r>
      <w:r w:rsidRPr="00700A7A">
        <w:rPr>
          <w:rFonts w:ascii="Arial" w:hAnsi="Arial" w:cs="Arial"/>
          <w:b/>
          <w:kern w:val="2"/>
          <w:sz w:val="18"/>
        </w:rPr>
        <w:t>EMERGENCY RULES</w:t>
      </w:r>
    </w:p>
    <w:p w14:paraId="60F886A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Agriculture and Forestry</w:t>
      </w:r>
    </w:p>
    <w:p w14:paraId="39536EF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Agro-Consumer Services, Division of Weights and Measures—Suspension of Standard Fuel</w:t>
      </w:r>
    </w:p>
    <w:p w14:paraId="50D5DF70" w14:textId="458B0A5D"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Specifications for Gasoline and Gasoline-Oxygenate Blends (LAC 7:XXXV.303)</w:t>
      </w:r>
      <w:r w:rsidRPr="00700A7A">
        <w:rPr>
          <w:rFonts w:ascii="Arial" w:hAnsi="Arial" w:cs="Arial"/>
          <w:bCs/>
          <w:kern w:val="2"/>
          <w:sz w:val="18"/>
        </w:rPr>
        <w:tab/>
      </w:r>
      <w:r w:rsidR="00F05C53">
        <w:rPr>
          <w:rFonts w:ascii="Arial" w:hAnsi="Arial" w:cs="Arial"/>
          <w:bCs/>
          <w:kern w:val="2"/>
          <w:sz w:val="18"/>
        </w:rPr>
        <w:t>1477</w:t>
      </w:r>
    </w:p>
    <w:p w14:paraId="37E9AB5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Governor</w:t>
      </w:r>
    </w:p>
    <w:p w14:paraId="1A6033A1" w14:textId="70D792B4"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Uniform Construction Code Commission—International Plumbing Code (LAC 17:I.111)</w:t>
      </w:r>
      <w:r w:rsidRPr="00700A7A">
        <w:rPr>
          <w:rFonts w:ascii="Arial" w:hAnsi="Arial" w:cs="Arial"/>
          <w:bCs/>
          <w:kern w:val="2"/>
          <w:sz w:val="18"/>
        </w:rPr>
        <w:tab/>
      </w:r>
      <w:r w:rsidR="00F05C53">
        <w:rPr>
          <w:rFonts w:ascii="Arial" w:hAnsi="Arial" w:cs="Arial"/>
          <w:bCs/>
          <w:kern w:val="2"/>
          <w:sz w:val="18"/>
        </w:rPr>
        <w:t>1477</w:t>
      </w:r>
    </w:p>
    <w:p w14:paraId="77A9725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Wildlife and Fisheries</w:t>
      </w:r>
    </w:p>
    <w:p w14:paraId="3A945F0E" w14:textId="0111843B"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and Fisheries Commission—2026 Recreational Red Snapper Season Reopening and Closure</w:t>
      </w:r>
      <w:r w:rsidRPr="00700A7A">
        <w:rPr>
          <w:rFonts w:ascii="Arial" w:hAnsi="Arial" w:cs="Arial"/>
          <w:bCs/>
          <w:kern w:val="2"/>
          <w:sz w:val="18"/>
        </w:rPr>
        <w:tab/>
      </w:r>
      <w:r w:rsidR="00F05C53">
        <w:rPr>
          <w:rFonts w:ascii="Arial" w:hAnsi="Arial" w:cs="Arial"/>
          <w:bCs/>
          <w:kern w:val="2"/>
          <w:sz w:val="18"/>
        </w:rPr>
        <w:t>1494</w:t>
      </w:r>
    </w:p>
    <w:p w14:paraId="690F61D8" w14:textId="6603D0E8"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2026-2027 Oyster Season on Public Areas of Louisiana</w:t>
      </w:r>
      <w:r w:rsidRPr="00700A7A">
        <w:rPr>
          <w:rFonts w:ascii="Arial" w:hAnsi="Arial" w:cs="Arial"/>
          <w:bCs/>
          <w:kern w:val="2"/>
          <w:sz w:val="18"/>
        </w:rPr>
        <w:tab/>
      </w:r>
      <w:r w:rsidR="00F05C53">
        <w:rPr>
          <w:rFonts w:ascii="Arial" w:hAnsi="Arial" w:cs="Arial"/>
          <w:bCs/>
          <w:kern w:val="2"/>
          <w:sz w:val="18"/>
        </w:rPr>
        <w:t>1494</w:t>
      </w:r>
    </w:p>
    <w:p w14:paraId="0E29796F" w14:textId="33C70590"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2026-2027 Seasons and Regulations for Coochie Brake Wildlife Management Areas</w:t>
      </w:r>
      <w:r w:rsidRPr="00700A7A">
        <w:rPr>
          <w:rFonts w:ascii="Arial" w:hAnsi="Arial" w:cs="Arial"/>
          <w:bCs/>
          <w:kern w:val="2"/>
          <w:sz w:val="18"/>
        </w:rPr>
        <w:tab/>
      </w:r>
      <w:r w:rsidR="00F05C53">
        <w:rPr>
          <w:rFonts w:ascii="Arial" w:hAnsi="Arial" w:cs="Arial"/>
          <w:bCs/>
          <w:kern w:val="2"/>
          <w:sz w:val="18"/>
        </w:rPr>
        <w:t>1496</w:t>
      </w:r>
    </w:p>
    <w:p w14:paraId="6824424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520EBAE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III.</w:t>
      </w:r>
      <w:r w:rsidRPr="00700A7A">
        <w:rPr>
          <w:rFonts w:ascii="Arial" w:hAnsi="Arial" w:cs="Arial"/>
          <w:b/>
          <w:kern w:val="2"/>
          <w:sz w:val="18"/>
        </w:rPr>
        <w:tab/>
      </w:r>
      <w:r w:rsidRPr="00700A7A">
        <w:rPr>
          <w:rFonts w:ascii="Arial" w:hAnsi="Arial" w:cs="Arial"/>
          <w:b/>
          <w:kern w:val="2"/>
          <w:sz w:val="18"/>
        </w:rPr>
        <w:tab/>
        <w:t>RULES</w:t>
      </w:r>
    </w:p>
    <w:p w14:paraId="1A24794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
          <w:kern w:val="2"/>
          <w:sz w:val="18"/>
        </w:rPr>
        <w:tab/>
      </w:r>
      <w:r w:rsidRPr="00700A7A">
        <w:rPr>
          <w:rFonts w:ascii="Arial" w:hAnsi="Arial" w:cs="Arial"/>
          <w:b/>
          <w:kern w:val="2"/>
          <w:sz w:val="18"/>
        </w:rPr>
        <w:tab/>
        <w:t>Agriculture and Forestry</w:t>
      </w:r>
    </w:p>
    <w:p w14:paraId="044E227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 xml:space="preserve">Board of Veterinary Medicine—Disciplinary Proceedings (LAC 46:LXXXV.1219, 1221, 1407, 1411, </w:t>
      </w:r>
    </w:p>
    <w:p w14:paraId="448DF2F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1413, 1415, 1419, 1421, and 1425)</w:t>
      </w:r>
      <w:r w:rsidRPr="00700A7A">
        <w:rPr>
          <w:rFonts w:ascii="Arial" w:hAnsi="Arial" w:cs="Arial"/>
          <w:bCs/>
          <w:kern w:val="2"/>
          <w:sz w:val="18"/>
        </w:rPr>
        <w:tab/>
        <w:t>1497</w:t>
      </w:r>
    </w:p>
    <w:p w14:paraId="14AFF57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Office of Agro-Consumer Services, Division of Weights and Measures—Registration Requirements and</w:t>
      </w:r>
    </w:p>
    <w:p w14:paraId="3D6854A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Fees for Liquid Measuring Devices and Multiple Dimension Measuring Devices </w:t>
      </w:r>
    </w:p>
    <w:p w14:paraId="668491F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7:XXXV.103, 125, and 127)</w:t>
      </w:r>
      <w:r w:rsidRPr="00700A7A">
        <w:rPr>
          <w:rFonts w:ascii="Arial" w:hAnsi="Arial" w:cs="Arial"/>
          <w:bCs/>
          <w:kern w:val="2"/>
          <w:sz w:val="18"/>
        </w:rPr>
        <w:tab/>
        <w:t>1499</w:t>
      </w:r>
    </w:p>
    <w:p w14:paraId="06E1726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Governor</w:t>
      </w:r>
    </w:p>
    <w:p w14:paraId="11EE8494"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Architectural Examiners—Administration (LAC 46:I.Chapter 13)</w:t>
      </w:r>
      <w:r w:rsidRPr="00700A7A">
        <w:rPr>
          <w:rFonts w:ascii="Arial" w:hAnsi="Arial" w:cs="Arial"/>
          <w:bCs/>
          <w:kern w:val="2"/>
          <w:sz w:val="18"/>
        </w:rPr>
        <w:tab/>
        <w:t>1500</w:t>
      </w:r>
    </w:p>
    <w:p w14:paraId="1F024A1E" w14:textId="77777777" w:rsidR="00D77F81"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River Port Pilot Commissioners and Examiners for the Calcasieu River Waterway</w:t>
      </w:r>
    </w:p>
    <w:p w14:paraId="4F7953CF" w14:textId="42C8A6E6" w:rsidR="00700A7A" w:rsidRPr="00700A7A" w:rsidRDefault="00D77F81"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sidR="00700A7A" w:rsidRPr="00700A7A">
        <w:rPr>
          <w:rFonts w:ascii="Arial" w:hAnsi="Arial" w:cs="Arial"/>
          <w:bCs/>
          <w:kern w:val="2"/>
          <w:sz w:val="18"/>
        </w:rPr>
        <w:t>Calcasieu River</w:t>
      </w:r>
      <w:r>
        <w:rPr>
          <w:rFonts w:ascii="Arial" w:hAnsi="Arial" w:cs="Arial"/>
          <w:bCs/>
          <w:kern w:val="2"/>
          <w:sz w:val="18"/>
        </w:rPr>
        <w:t xml:space="preserve"> </w:t>
      </w:r>
      <w:r w:rsidR="00700A7A" w:rsidRPr="00700A7A">
        <w:rPr>
          <w:rFonts w:ascii="Arial" w:hAnsi="Arial" w:cs="Arial"/>
          <w:bCs/>
          <w:kern w:val="2"/>
          <w:sz w:val="18"/>
        </w:rPr>
        <w:t>Waterway River Port Pilots (LAC 46:LXX.9101, 9105, 9107 and 9111)</w:t>
      </w:r>
      <w:r w:rsidR="00700A7A" w:rsidRPr="00700A7A">
        <w:rPr>
          <w:rFonts w:ascii="Arial" w:hAnsi="Arial" w:cs="Arial"/>
          <w:bCs/>
          <w:kern w:val="2"/>
          <w:sz w:val="18"/>
        </w:rPr>
        <w:tab/>
        <w:t>1504</w:t>
      </w:r>
    </w:p>
    <w:p w14:paraId="7C911D9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Uniform Construction Code Commission—Wind Mitigation Surveyor Qualifications (LAC 55:VI.705)</w:t>
      </w:r>
      <w:r w:rsidRPr="00700A7A">
        <w:rPr>
          <w:rFonts w:ascii="Arial" w:hAnsi="Arial" w:cs="Arial"/>
          <w:bCs/>
          <w:kern w:val="2"/>
          <w:sz w:val="18"/>
        </w:rPr>
        <w:tab/>
        <w:t>1505</w:t>
      </w:r>
    </w:p>
    <w:p w14:paraId="662816B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
          <w:kern w:val="2"/>
          <w:sz w:val="18"/>
        </w:rPr>
        <w:tab/>
      </w:r>
      <w:r w:rsidRPr="00700A7A">
        <w:rPr>
          <w:rFonts w:ascii="Arial" w:hAnsi="Arial" w:cs="Arial"/>
          <w:b/>
          <w:kern w:val="2"/>
          <w:sz w:val="18"/>
        </w:rPr>
        <w:tab/>
        <w:t>Health</w:t>
      </w:r>
    </w:p>
    <w:p w14:paraId="2AFB8E6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Bureau of Health Services Financing—</w:t>
      </w:r>
      <w:bookmarkStart w:id="0" w:name="_Hlk231979102"/>
      <w:r w:rsidRPr="00700A7A">
        <w:rPr>
          <w:rFonts w:ascii="Arial" w:hAnsi="Arial" w:cs="Arial"/>
          <w:bCs/>
          <w:kern w:val="2"/>
          <w:sz w:val="18"/>
        </w:rPr>
        <w:t>Inpatient Hospital Services—Small Rural Hospitals Reimbursement</w:t>
      </w:r>
    </w:p>
    <w:p w14:paraId="0F92897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Methodology</w:t>
      </w:r>
      <w:bookmarkEnd w:id="0"/>
      <w:r w:rsidRPr="00700A7A">
        <w:rPr>
          <w:rFonts w:ascii="Arial" w:hAnsi="Arial" w:cs="Arial"/>
          <w:bCs/>
          <w:kern w:val="2"/>
          <w:sz w:val="18"/>
        </w:rPr>
        <w:t xml:space="preserve"> (LAC 50:V.1125)</w:t>
      </w:r>
      <w:r w:rsidRPr="00700A7A">
        <w:rPr>
          <w:rFonts w:ascii="Arial" w:hAnsi="Arial" w:cs="Arial"/>
          <w:bCs/>
          <w:kern w:val="2"/>
          <w:sz w:val="18"/>
        </w:rPr>
        <w:tab/>
        <w:t>1506</w:t>
      </w:r>
    </w:p>
    <w:p w14:paraId="03B06CB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Insurance</w:t>
      </w:r>
    </w:p>
    <w:p w14:paraId="2247F4E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Office of the Commissioner—Regulation 13</w:t>
      </w:r>
      <w:bookmarkStart w:id="1" w:name="_Hlk73606714"/>
      <w:r w:rsidRPr="00700A7A">
        <w:rPr>
          <w:rFonts w:ascii="Arial" w:hAnsi="Arial" w:cs="Arial"/>
          <w:bCs/>
          <w:kern w:val="2"/>
          <w:sz w:val="18"/>
        </w:rPr>
        <w:t>6—</w:t>
      </w:r>
      <w:bookmarkEnd w:id="1"/>
      <w:r w:rsidRPr="00700A7A">
        <w:rPr>
          <w:rFonts w:ascii="Arial" w:hAnsi="Arial" w:cs="Arial"/>
          <w:bCs/>
          <w:kern w:val="2"/>
          <w:sz w:val="18"/>
        </w:rPr>
        <w:t xml:space="preserve">Fortify Homes Premium Discounts </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37:XIII.Chapter 209)</w:t>
      </w:r>
      <w:r w:rsidRPr="00700A7A">
        <w:rPr>
          <w:rFonts w:ascii="Arial" w:hAnsi="Arial" w:cs="Arial"/>
          <w:bCs/>
          <w:kern w:val="2"/>
          <w:sz w:val="18"/>
        </w:rPr>
        <w:tab/>
        <w:t>1506</w:t>
      </w:r>
    </w:p>
    <w:p w14:paraId="3D8A6FB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Regulation 139—</w:t>
      </w:r>
      <w:bookmarkStart w:id="2" w:name="_Hlk204150342"/>
      <w:r w:rsidRPr="00700A7A">
        <w:rPr>
          <w:rFonts w:ascii="Arial" w:hAnsi="Arial" w:cs="Arial"/>
          <w:bCs/>
          <w:kern w:val="2"/>
          <w:sz w:val="18"/>
        </w:rPr>
        <w:t>Captive Insurance Companies</w:t>
      </w:r>
      <w:bookmarkEnd w:id="2"/>
      <w:r w:rsidRPr="00700A7A">
        <w:rPr>
          <w:rFonts w:ascii="Arial" w:hAnsi="Arial" w:cs="Arial"/>
          <w:bCs/>
          <w:kern w:val="2"/>
          <w:sz w:val="18"/>
        </w:rPr>
        <w:t xml:space="preserve"> (LAC 37:XIII.Chapter 215)</w:t>
      </w:r>
      <w:r w:rsidRPr="00700A7A">
        <w:rPr>
          <w:rFonts w:ascii="Arial" w:hAnsi="Arial" w:cs="Arial"/>
          <w:bCs/>
          <w:kern w:val="2"/>
          <w:sz w:val="18"/>
        </w:rPr>
        <w:tab/>
        <w:t>1508</w:t>
      </w:r>
    </w:p>
    <w:p w14:paraId="02ECDC1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Revenue</w:t>
      </w:r>
    </w:p>
    <w:p w14:paraId="4FA7062D" w14:textId="77777777" w:rsidR="00D77F81"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Tax Policy and Planning Commission—Annual Retirement Income Exemption for Individuals </w:t>
      </w:r>
    </w:p>
    <w:p w14:paraId="1C0B04D8" w14:textId="44744403" w:rsidR="00700A7A" w:rsidRPr="00700A7A" w:rsidRDefault="00D77F81"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sidR="00700A7A" w:rsidRPr="00700A7A">
        <w:rPr>
          <w:rFonts w:ascii="Arial" w:hAnsi="Arial" w:cs="Arial"/>
          <w:bCs/>
          <w:kern w:val="2"/>
          <w:sz w:val="18"/>
        </w:rPr>
        <w:t>65 or</w:t>
      </w:r>
      <w:r>
        <w:rPr>
          <w:rFonts w:ascii="Arial" w:hAnsi="Arial" w:cs="Arial"/>
          <w:bCs/>
          <w:kern w:val="2"/>
          <w:sz w:val="18"/>
        </w:rPr>
        <w:t xml:space="preserve"> </w:t>
      </w:r>
      <w:r w:rsidR="00700A7A" w:rsidRPr="00700A7A">
        <w:rPr>
          <w:rFonts w:ascii="Arial" w:hAnsi="Arial" w:cs="Arial"/>
          <w:bCs/>
          <w:kern w:val="2"/>
          <w:sz w:val="18"/>
        </w:rPr>
        <w:t>Older (LAC 61:I.1311)</w:t>
      </w:r>
      <w:r w:rsidR="00700A7A" w:rsidRPr="00700A7A">
        <w:rPr>
          <w:rFonts w:ascii="Arial" w:hAnsi="Arial" w:cs="Arial"/>
          <w:bCs/>
          <w:kern w:val="2"/>
          <w:sz w:val="18"/>
        </w:rPr>
        <w:tab/>
        <w:t>1512</w:t>
      </w:r>
    </w:p>
    <w:p w14:paraId="6DC585D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Corporation Returns (LAC 61:I.1148)</w:t>
      </w:r>
      <w:r w:rsidRPr="00700A7A">
        <w:rPr>
          <w:rFonts w:ascii="Arial" w:hAnsi="Arial" w:cs="Arial"/>
          <w:bCs/>
          <w:kern w:val="2"/>
          <w:sz w:val="18"/>
        </w:rPr>
        <w:tab/>
        <w:t>1513</w:t>
      </w:r>
    </w:p>
    <w:p w14:paraId="4DAD86B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Income: Corporation Income Tax (LAC 61:I.1135 and 1136)</w:t>
      </w:r>
      <w:r w:rsidRPr="00700A7A">
        <w:rPr>
          <w:rFonts w:ascii="Arial" w:hAnsi="Arial" w:cs="Arial"/>
          <w:bCs/>
          <w:kern w:val="2"/>
          <w:sz w:val="18"/>
        </w:rPr>
        <w:tab/>
        <w:t>1513</w:t>
      </w:r>
    </w:p>
    <w:p w14:paraId="1515F81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Income Tax Withholding on Gaming Winnings (LAC 61:I.1525)</w:t>
      </w:r>
      <w:r w:rsidRPr="00700A7A">
        <w:rPr>
          <w:rFonts w:ascii="Arial" w:hAnsi="Arial" w:cs="Arial"/>
          <w:bCs/>
          <w:kern w:val="2"/>
          <w:sz w:val="18"/>
        </w:rPr>
        <w:tab/>
        <w:t>1514</w:t>
      </w:r>
    </w:p>
    <w:p w14:paraId="06DA790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Withholding by Professional Athletic Teams (LAC 61:I.1520)</w:t>
      </w:r>
      <w:r w:rsidRPr="00700A7A">
        <w:rPr>
          <w:rFonts w:ascii="Arial" w:hAnsi="Arial" w:cs="Arial"/>
          <w:bCs/>
          <w:kern w:val="2"/>
          <w:sz w:val="18"/>
        </w:rPr>
        <w:tab/>
        <w:t>1514</w:t>
      </w:r>
    </w:p>
    <w:p w14:paraId="066099C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Transportation and Development</w:t>
      </w:r>
    </w:p>
    <w:p w14:paraId="42F8BB5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Office of Multimodal Commerce—Vertiport Development Program (LAC 70:IX.Chapter 9)</w:t>
      </w:r>
      <w:r w:rsidRPr="00700A7A">
        <w:rPr>
          <w:rFonts w:ascii="Arial" w:hAnsi="Arial" w:cs="Arial"/>
          <w:bCs/>
          <w:kern w:val="2"/>
          <w:sz w:val="18"/>
        </w:rPr>
        <w:tab/>
        <w:t>1515</w:t>
      </w:r>
    </w:p>
    <w:p w14:paraId="5B37D41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Project Delivery—Contracts, Leases, and Agreements (LAC 70:II.1101)</w:t>
      </w:r>
      <w:r w:rsidRPr="00700A7A">
        <w:rPr>
          <w:rFonts w:ascii="Arial" w:hAnsi="Arial" w:cs="Arial"/>
          <w:bCs/>
          <w:kern w:val="2"/>
          <w:sz w:val="18"/>
        </w:rPr>
        <w:tab/>
        <w:t>1520</w:t>
      </w:r>
    </w:p>
    <w:p w14:paraId="07D06E3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DOTD Wireless Telecommunications Permit and Fiber Optic Permit Rules </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70:II.Chapters 15 and 17)</w:t>
      </w:r>
      <w:r w:rsidRPr="00700A7A">
        <w:rPr>
          <w:rFonts w:ascii="Arial" w:hAnsi="Arial" w:cs="Arial"/>
          <w:bCs/>
          <w:kern w:val="2"/>
          <w:sz w:val="18"/>
        </w:rPr>
        <w:tab/>
        <w:t>1522</w:t>
      </w:r>
    </w:p>
    <w:p w14:paraId="62220BF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Wildlife and Fisheries</w:t>
      </w:r>
    </w:p>
    <w:p w14:paraId="4F324C4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and Fisheries Commission—Freshwater and Saltwater Passive Hooked Fishing Gear Regulations</w:t>
      </w:r>
    </w:p>
    <w:p w14:paraId="57A57DE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76:VII.116 and 389)</w:t>
      </w:r>
      <w:r w:rsidRPr="00700A7A">
        <w:rPr>
          <w:rFonts w:ascii="Arial" w:hAnsi="Arial" w:cs="Arial"/>
          <w:bCs/>
          <w:kern w:val="2"/>
          <w:sz w:val="18"/>
        </w:rPr>
        <w:tab/>
        <w:t>1527</w:t>
      </w:r>
    </w:p>
    <w:p w14:paraId="02DB407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Saline-Larto Complex Black Bass and Crappie Regulations (LAC 76:VII.118)</w:t>
      </w:r>
      <w:r w:rsidRPr="00700A7A">
        <w:rPr>
          <w:rFonts w:ascii="Arial" w:hAnsi="Arial" w:cs="Arial"/>
          <w:bCs/>
          <w:kern w:val="2"/>
          <w:sz w:val="18"/>
        </w:rPr>
        <w:tab/>
        <w:t>1528</w:t>
      </w:r>
    </w:p>
    <w:p w14:paraId="3045B8C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Special Bait Dealer’s Permit (LAC 76:VII.329)</w:t>
      </w:r>
      <w:r w:rsidRPr="00700A7A">
        <w:rPr>
          <w:rFonts w:ascii="Arial" w:hAnsi="Arial" w:cs="Arial"/>
          <w:bCs/>
          <w:kern w:val="2"/>
          <w:sz w:val="18"/>
        </w:rPr>
        <w:tab/>
        <w:t>1528</w:t>
      </w:r>
    </w:p>
    <w:p w14:paraId="7DCE7B11"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p>
    <w:p w14:paraId="755424AC"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
          <w:kern w:val="2"/>
          <w:sz w:val="18"/>
        </w:rPr>
        <w:lastRenderedPageBreak/>
        <w:t>IV.</w:t>
      </w:r>
      <w:r w:rsidRPr="00700A7A">
        <w:rPr>
          <w:rFonts w:ascii="Arial" w:hAnsi="Arial" w:cs="Arial"/>
          <w:b/>
          <w:kern w:val="2"/>
          <w:sz w:val="18"/>
        </w:rPr>
        <w:tab/>
      </w:r>
      <w:r w:rsidRPr="00700A7A">
        <w:rPr>
          <w:rFonts w:ascii="Arial" w:hAnsi="Arial" w:cs="Arial"/>
          <w:b/>
          <w:kern w:val="2"/>
          <w:sz w:val="18"/>
        </w:rPr>
        <w:tab/>
        <w:t>NOTICES OF INTENT</w:t>
      </w:r>
    </w:p>
    <w:p w14:paraId="380FD119"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ab/>
      </w:r>
      <w:r w:rsidRPr="00700A7A">
        <w:rPr>
          <w:rFonts w:ascii="Arial" w:hAnsi="Arial" w:cs="Arial"/>
          <w:b/>
          <w:kern w:val="2"/>
          <w:sz w:val="18"/>
        </w:rPr>
        <w:tab/>
        <w:t>Agriculture and Forestry</w:t>
      </w:r>
    </w:p>
    <w:p w14:paraId="51D5743D"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Board of Veterinary Medicine—Licensing Procedures (LAC 46:LXXXV.309 and 807)</w:t>
      </w:r>
      <w:r w:rsidRPr="00700A7A">
        <w:rPr>
          <w:rFonts w:ascii="Arial" w:hAnsi="Arial" w:cs="Arial"/>
          <w:bCs/>
          <w:kern w:val="2"/>
          <w:sz w:val="18"/>
        </w:rPr>
        <w:tab/>
        <w:t>1530</w:t>
      </w:r>
    </w:p>
    <w:p w14:paraId="04D91EEE"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Agricultural and Environmental Sciences, Structural Pest Control Commission—Structural Pest</w:t>
      </w:r>
    </w:p>
    <w:p w14:paraId="188450F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Control Commission (LAC 7:XXV.Chapter 1)</w:t>
      </w:r>
      <w:r w:rsidRPr="00700A7A">
        <w:rPr>
          <w:rFonts w:ascii="Arial" w:hAnsi="Arial" w:cs="Arial"/>
          <w:bCs/>
          <w:kern w:val="2"/>
          <w:sz w:val="18"/>
        </w:rPr>
        <w:tab/>
        <w:t>1532</w:t>
      </w:r>
    </w:p>
    <w:p w14:paraId="2723495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Agro-Consumer Services, Agricultural Commodities Commission</w:t>
      </w:r>
    </w:p>
    <w:p w14:paraId="0FC20D4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Grain and Cotton Indemnity Fund (LAC 7:XXVII.191-215)</w:t>
      </w:r>
      <w:r w:rsidRPr="00700A7A">
        <w:rPr>
          <w:rFonts w:ascii="Arial" w:hAnsi="Arial" w:cs="Arial"/>
          <w:bCs/>
          <w:kern w:val="2"/>
          <w:sz w:val="18"/>
        </w:rPr>
        <w:tab/>
        <w:t>1535</w:t>
      </w:r>
    </w:p>
    <w:p w14:paraId="2284929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Children and Family Services</w:t>
      </w:r>
    </w:p>
    <w:p w14:paraId="52F7B7D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Child Welfare Section—</w:t>
      </w:r>
      <w:r w:rsidRPr="00700A7A">
        <w:rPr>
          <w:rFonts w:ascii="Arial" w:hAnsi="Arial" w:cs="Arial"/>
          <w:kern w:val="2"/>
          <w:sz w:val="18"/>
        </w:rPr>
        <w:t>Child Welfare—Licensing and Certification (LAC 67:V.Chapters 71 and 73)</w:t>
      </w:r>
      <w:r w:rsidRPr="00700A7A">
        <w:rPr>
          <w:rFonts w:ascii="Arial" w:hAnsi="Arial" w:cs="Arial"/>
          <w:kern w:val="2"/>
          <w:sz w:val="18"/>
        </w:rPr>
        <w:tab/>
        <w:t>1537</w:t>
      </w:r>
    </w:p>
    <w:p w14:paraId="045493E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Office of Management and Finance—Regulatory Remediation</w:t>
      </w:r>
    </w:p>
    <w:p w14:paraId="3BBB458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(LAC 67:V.1001, 1501, 3701, 5901, and 5903)</w:t>
      </w:r>
      <w:r w:rsidRPr="00700A7A">
        <w:rPr>
          <w:rFonts w:ascii="Arial" w:hAnsi="Arial" w:cs="Arial"/>
          <w:kern w:val="2"/>
          <w:sz w:val="18"/>
        </w:rPr>
        <w:tab/>
        <w:t>1546</w:t>
      </w:r>
    </w:p>
    <w:p w14:paraId="1A6858B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b/>
          <w:bCs/>
          <w:kern w:val="2"/>
          <w:sz w:val="18"/>
        </w:rPr>
        <w:t>Conservation and Energy</w:t>
      </w:r>
    </w:p>
    <w:p w14:paraId="30202F2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Damage Prevention (LAC 43:XI.6101, 6301, and 6503)</w:t>
      </w:r>
      <w:r w:rsidRPr="00700A7A">
        <w:rPr>
          <w:rFonts w:ascii="Arial" w:hAnsi="Arial" w:cs="Arial"/>
          <w:bCs/>
          <w:kern w:val="2"/>
          <w:sz w:val="18"/>
        </w:rPr>
        <w:tab/>
        <w:t>1548</w:t>
      </w:r>
    </w:p>
    <w:p w14:paraId="5DBEFB9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the Secretary—Financial Security for Oil and Gas Wells (LAC 43:XIX.101 and 104)</w:t>
      </w:r>
      <w:r w:rsidRPr="00700A7A">
        <w:rPr>
          <w:rFonts w:ascii="Arial" w:hAnsi="Arial" w:cs="Arial"/>
          <w:bCs/>
          <w:kern w:val="2"/>
          <w:sz w:val="18"/>
        </w:rPr>
        <w:tab/>
        <w:t>1549</w:t>
      </w:r>
    </w:p>
    <w:p w14:paraId="02C6775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Regulation of Renewable Energy Storage Facilities (LAC 43:I.Chapter 55)</w:t>
      </w:r>
      <w:r w:rsidRPr="00700A7A">
        <w:rPr>
          <w:rFonts w:ascii="Arial" w:hAnsi="Arial" w:cs="Arial"/>
          <w:bCs/>
          <w:kern w:val="2"/>
          <w:sz w:val="18"/>
        </w:rPr>
        <w:tab/>
        <w:t>1551</w:t>
      </w:r>
    </w:p>
    <w:p w14:paraId="12DD3A3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Culture, Recreation, and Tourism</w:t>
      </w:r>
    </w:p>
    <w:p w14:paraId="4C103D1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 xml:space="preserve">Office of Cultural Development—Louisiana Cultural Districts Program (LAC 25:I.Chapter 11) </w:t>
      </w:r>
      <w:r w:rsidRPr="00700A7A">
        <w:rPr>
          <w:rFonts w:ascii="Arial" w:hAnsi="Arial" w:cs="Arial"/>
          <w:bCs/>
          <w:kern w:val="2"/>
          <w:sz w:val="18"/>
        </w:rPr>
        <w:tab/>
        <w:t>1555</w:t>
      </w:r>
    </w:p>
    <w:p w14:paraId="26052AD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Education</w:t>
      </w:r>
    </w:p>
    <w:p w14:paraId="2F48975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Board of Elementary and Secondary Education—Adolescent Literacy (LAC 28:CXV.509, 1701, 2301, </w:t>
      </w:r>
    </w:p>
    <w:p w14:paraId="0EE3221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and 2307; LAC 28:XXXIX.501, 705, and 709; LAC 28:XLV.103, 303, 743, and 745; LAC 28:CXLVI.319)</w:t>
      </w:r>
      <w:r w:rsidRPr="00700A7A">
        <w:rPr>
          <w:rFonts w:ascii="Arial" w:hAnsi="Arial" w:cs="Arial"/>
          <w:bCs/>
          <w:kern w:val="2"/>
          <w:sz w:val="18"/>
        </w:rPr>
        <w:tab/>
        <w:t>1559</w:t>
      </w:r>
    </w:p>
    <w:p w14:paraId="3AA0011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Bulletin 102―Louisiana Physical Education Student Standards—Physical Education Content Standards</w:t>
      </w:r>
    </w:p>
    <w:p w14:paraId="275660F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28:LIII.Chapters 1-11; and LAC 28:CII.Chapters 1-11)</w:t>
      </w:r>
      <w:r w:rsidRPr="00700A7A">
        <w:rPr>
          <w:rFonts w:ascii="Arial" w:hAnsi="Arial" w:cs="Arial"/>
          <w:bCs/>
          <w:kern w:val="2"/>
          <w:sz w:val="18"/>
        </w:rPr>
        <w:tab/>
        <w:t>1564</w:t>
      </w:r>
    </w:p>
    <w:p w14:paraId="37D2B18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Bulletin 746—Louisiana Standards for State Certification of School Personnel</w:t>
      </w:r>
    </w:p>
    <w:p w14:paraId="28F0908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Certification Appeal Process (LAC 28:CXXXI.1701 and 1705)</w:t>
      </w:r>
      <w:r w:rsidRPr="00700A7A">
        <w:rPr>
          <w:rFonts w:ascii="Arial" w:hAnsi="Arial" w:cs="Arial"/>
          <w:bCs/>
          <w:kern w:val="2"/>
          <w:sz w:val="18"/>
        </w:rPr>
        <w:tab/>
        <w:t>1572</w:t>
      </w:r>
    </w:p>
    <w:p w14:paraId="2FE5961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Early Childhood (LAC 28:I.505; LAC 28:CLXI.701; and LAC 28:CLXVII.509, 513, 703, and 1101)</w:t>
      </w:r>
      <w:r w:rsidRPr="00700A7A">
        <w:rPr>
          <w:rFonts w:ascii="Arial" w:hAnsi="Arial" w:cs="Arial"/>
          <w:bCs/>
          <w:kern w:val="2"/>
          <w:sz w:val="18"/>
        </w:rPr>
        <w:tab/>
        <w:t>1574</w:t>
      </w:r>
    </w:p>
    <w:p w14:paraId="15BC8EC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Math and ELA Content Standards (LAC 28:CXLII.Chapters 3, 5, 7, 9, 11, 13, 15, 17, 21, 23, 27, 29, 31, </w:t>
      </w:r>
    </w:p>
    <w:p w14:paraId="7DBF5E7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33, 35, and 37; LAC 28:CLXIX.Chapters 3, 5, 7, 11, 13, 15, 21, and 23)</w:t>
      </w:r>
      <w:r w:rsidRPr="00700A7A">
        <w:rPr>
          <w:rFonts w:ascii="Arial" w:hAnsi="Arial" w:cs="Arial"/>
          <w:bCs/>
          <w:i/>
          <w:kern w:val="2"/>
          <w:sz w:val="18"/>
        </w:rPr>
        <w:tab/>
      </w:r>
      <w:r w:rsidRPr="00700A7A">
        <w:rPr>
          <w:rFonts w:ascii="Arial" w:hAnsi="Arial" w:cs="Arial"/>
          <w:bCs/>
          <w:kern w:val="2"/>
          <w:sz w:val="18"/>
        </w:rPr>
        <w:t>1577</w:t>
      </w:r>
    </w:p>
    <w:p w14:paraId="3198993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lang w:val="x-none"/>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lang w:val="x-none"/>
        </w:rPr>
        <w:t>School Administration (LAC 28:LIX.Chapter 5; LAC 28:LXXIX.1309; LAC 28:CXIII.309 and 1901;</w:t>
      </w:r>
    </w:p>
    <w:p w14:paraId="463B52B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lang w:val="x-none"/>
        </w:rPr>
      </w:pP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t xml:space="preserve">LAC 28:CXV.Chapters 3, 5, 7 ,9, 11, 13, 23, and 31; LAC 28:CXXXIX.Chapters 3, 5, 21, 23, 27, 43; </w:t>
      </w:r>
    </w:p>
    <w:p w14:paraId="6CE0E7A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lang w:val="x-none"/>
        </w:rPr>
      </w:pP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t>and LAC 28:CLIII.1517)</w:t>
      </w:r>
      <w:r w:rsidRPr="00700A7A">
        <w:rPr>
          <w:rFonts w:ascii="Arial" w:hAnsi="Arial" w:cs="Arial"/>
          <w:bCs/>
          <w:kern w:val="2"/>
          <w:sz w:val="18"/>
          <w:lang w:val="x-none"/>
        </w:rPr>
        <w:tab/>
        <w:t>1585</w:t>
      </w:r>
    </w:p>
    <w:p w14:paraId="0B2311B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Special Education (LAC 28:XLIII.511; and LAC 28:CLVII.701, 703, 705, and 707)</w:t>
      </w:r>
      <w:r w:rsidRPr="00700A7A">
        <w:rPr>
          <w:rFonts w:ascii="Arial" w:hAnsi="Arial" w:cs="Arial"/>
          <w:bCs/>
          <w:kern w:val="2"/>
          <w:sz w:val="18"/>
        </w:rPr>
        <w:tab/>
        <w:t>1597</w:t>
      </w:r>
    </w:p>
    <w:p w14:paraId="5B6A4CB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Environmental Quality</w:t>
      </w:r>
    </w:p>
    <w:p w14:paraId="180D5EF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Office of the Secretary, Legal Affairs Division—Hazardous Waste and Hazardous Materials </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33:V.Chapters 1, 3, 4, 10, 15, 30, 37, 43, and 51)</w:t>
      </w:r>
      <w:r w:rsidRPr="00700A7A">
        <w:rPr>
          <w:rFonts w:ascii="Arial" w:hAnsi="Arial" w:cs="Arial"/>
          <w:bCs/>
          <w:kern w:val="2"/>
          <w:sz w:val="18"/>
        </w:rPr>
        <w:tab/>
        <w:t>1600</w:t>
      </w:r>
    </w:p>
    <w:p w14:paraId="5401382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Incorporation by Reference of 40 CFR Part 62, Subpart IIIa (LAC 33:III.3103)</w:t>
      </w:r>
      <w:r w:rsidRPr="00700A7A">
        <w:rPr>
          <w:rFonts w:ascii="Arial" w:hAnsi="Arial" w:cs="Arial"/>
          <w:bCs/>
          <w:kern w:val="2"/>
          <w:sz w:val="18"/>
        </w:rPr>
        <w:tab/>
        <w:t>1616</w:t>
      </w:r>
    </w:p>
    <w:p w14:paraId="4DD4AEE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Solid Waste Regulatory Permits (LAC 33:VII.Chapter 5 and Chapter 15)</w:t>
      </w:r>
      <w:r w:rsidRPr="00700A7A">
        <w:rPr>
          <w:rFonts w:ascii="Arial" w:hAnsi="Arial" w:cs="Arial"/>
          <w:bCs/>
          <w:kern w:val="2"/>
          <w:sz w:val="18"/>
        </w:rPr>
        <w:tab/>
        <w:t>1617</w:t>
      </w:r>
    </w:p>
    <w:p w14:paraId="734783C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Waste Tire Regulation Revisions (LAC 33:VII.Chapter 105 and 111)</w:t>
      </w:r>
      <w:r w:rsidRPr="00700A7A">
        <w:rPr>
          <w:rFonts w:ascii="Arial" w:hAnsi="Arial" w:cs="Arial"/>
          <w:bCs/>
          <w:kern w:val="2"/>
          <w:sz w:val="18"/>
        </w:rPr>
        <w:tab/>
        <w:t>1625</w:t>
      </w:r>
    </w:p>
    <w:p w14:paraId="19964BC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Governor</w:t>
      </w:r>
    </w:p>
    <w:p w14:paraId="35E68C14"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Board of Certified Public Accountants of Louisiana—Certified Public Accountants (LAC 46:XIX.101, 311, </w:t>
      </w:r>
    </w:p>
    <w:p w14:paraId="6898B33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319, 503, 505, 903, 1103, 1105, 1107, 1301, 1309, 1501, 1503, 1707, 1905, and 1909)</w:t>
      </w:r>
      <w:r w:rsidRPr="00700A7A">
        <w:rPr>
          <w:rFonts w:ascii="Arial" w:hAnsi="Arial" w:cs="Arial"/>
          <w:bCs/>
          <w:kern w:val="2"/>
          <w:sz w:val="18"/>
        </w:rPr>
        <w:tab/>
        <w:t>1652</w:t>
      </w:r>
    </w:p>
    <w:p w14:paraId="4520C1B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Motor Vehicle Commission—Automotive Industry (LAC 46:V.719 and 733)</w:t>
      </w:r>
      <w:r w:rsidRPr="00700A7A">
        <w:rPr>
          <w:rFonts w:ascii="Arial" w:hAnsi="Arial" w:cs="Arial"/>
          <w:bCs/>
          <w:kern w:val="2"/>
          <w:sz w:val="18"/>
        </w:rPr>
        <w:tab/>
        <w:t>1658</w:t>
      </w:r>
    </w:p>
    <w:p w14:paraId="14B456C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Uniform Construction Code Commission—Manufactured Housing Installation Inspector Classification</w:t>
      </w:r>
    </w:p>
    <w:p w14:paraId="6573080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t>
      </w:r>
      <w:bookmarkStart w:id="3" w:name="_Hlk218748054"/>
      <w:r w:rsidRPr="00700A7A">
        <w:rPr>
          <w:rFonts w:ascii="Arial" w:hAnsi="Arial" w:cs="Arial"/>
          <w:bCs/>
          <w:kern w:val="2"/>
          <w:sz w:val="18"/>
        </w:rPr>
        <w:t xml:space="preserve">LAC </w:t>
      </w:r>
      <w:bookmarkStart w:id="4" w:name="_Hlk218746129"/>
      <w:r w:rsidRPr="00700A7A">
        <w:rPr>
          <w:rFonts w:ascii="Arial" w:hAnsi="Arial" w:cs="Arial"/>
          <w:bCs/>
          <w:kern w:val="2"/>
          <w:sz w:val="18"/>
        </w:rPr>
        <w:t>55:VI.</w:t>
      </w:r>
      <w:bookmarkEnd w:id="4"/>
      <w:r w:rsidRPr="00700A7A">
        <w:rPr>
          <w:rFonts w:ascii="Arial" w:hAnsi="Arial" w:cs="Arial"/>
          <w:bCs/>
          <w:kern w:val="2"/>
          <w:sz w:val="18"/>
        </w:rPr>
        <w:t>70</w:t>
      </w:r>
      <w:bookmarkEnd w:id="3"/>
      <w:r w:rsidRPr="00700A7A">
        <w:rPr>
          <w:rFonts w:ascii="Arial" w:hAnsi="Arial" w:cs="Arial"/>
          <w:bCs/>
          <w:kern w:val="2"/>
          <w:sz w:val="18"/>
        </w:rPr>
        <w:t>3)</w:t>
      </w:r>
      <w:r w:rsidRPr="00700A7A">
        <w:rPr>
          <w:rFonts w:ascii="Arial" w:hAnsi="Arial" w:cs="Arial"/>
          <w:bCs/>
          <w:kern w:val="2"/>
          <w:sz w:val="18"/>
        </w:rPr>
        <w:tab/>
        <w:t>1659</w:t>
      </w:r>
    </w:p>
    <w:p w14:paraId="0908FE8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Health</w:t>
      </w:r>
    </w:p>
    <w:p w14:paraId="3918EA5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Medical Examiners—Adjudication (LAC 46:XLV.9935)</w:t>
      </w:r>
      <w:r w:rsidRPr="00700A7A">
        <w:rPr>
          <w:rFonts w:ascii="Arial" w:hAnsi="Arial" w:cs="Arial"/>
          <w:bCs/>
          <w:kern w:val="2"/>
          <w:sz w:val="18"/>
        </w:rPr>
        <w:tab/>
        <w:t>1661</w:t>
      </w:r>
    </w:p>
    <w:p w14:paraId="0BE2E40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Physician Collaboration with Advanced Practice Registered Nurses (LAC 46:XLV.7901)</w:t>
      </w:r>
      <w:r w:rsidRPr="00700A7A">
        <w:rPr>
          <w:rFonts w:ascii="Arial" w:hAnsi="Arial" w:cs="Arial"/>
          <w:bCs/>
          <w:kern w:val="2"/>
          <w:sz w:val="18"/>
        </w:rPr>
        <w:tab/>
        <w:t>1663</w:t>
      </w:r>
    </w:p>
    <w:p w14:paraId="1A527A8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Pharmacy—Emergency Medical Services Agencies (LAC 46:LIII.2705)</w:t>
      </w:r>
      <w:r w:rsidRPr="00700A7A">
        <w:rPr>
          <w:rFonts w:ascii="Arial" w:hAnsi="Arial" w:cs="Arial"/>
          <w:bCs/>
          <w:kern w:val="2"/>
          <w:sz w:val="18"/>
        </w:rPr>
        <w:tab/>
        <w:t>1667</w:t>
      </w:r>
    </w:p>
    <w:p w14:paraId="6934017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Bureau of Health Services Financing—Adult Denture Program </w:t>
      </w:r>
    </w:p>
    <w:p w14:paraId="0B28D2F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kern w:val="2"/>
          <w:sz w:val="18"/>
        </w:rPr>
        <w:t>(LAC 50:XXV.101, 301, 303, 501, 504, and 701)</w:t>
      </w:r>
      <w:r w:rsidRPr="00700A7A">
        <w:rPr>
          <w:rFonts w:ascii="Arial" w:hAnsi="Arial" w:cs="Arial"/>
          <w:kern w:val="2"/>
          <w:sz w:val="18"/>
        </w:rPr>
        <w:tab/>
        <w:t>1669</w:t>
      </w:r>
    </w:p>
    <w:p w14:paraId="383282C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Behavioral Health Services (LAC 50:XXXIII.2301, 2303, 6301, and 6307)</w:t>
      </w:r>
      <w:r w:rsidRPr="00700A7A">
        <w:rPr>
          <w:rFonts w:ascii="Arial" w:hAnsi="Arial" w:cs="Arial"/>
          <w:kern w:val="2"/>
          <w:sz w:val="18"/>
        </w:rPr>
        <w:tab/>
        <w:t>1671</w:t>
      </w:r>
    </w:p>
    <w:p w14:paraId="04CF205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Independent Review for Coordinated System of Care (LAC 50:I.3111 and XXXIII.8503)</w:t>
      </w:r>
      <w:r w:rsidRPr="00700A7A">
        <w:rPr>
          <w:rFonts w:ascii="Arial" w:hAnsi="Arial" w:cs="Arial"/>
          <w:kern w:val="2"/>
          <w:sz w:val="18"/>
        </w:rPr>
        <w:tab/>
        <w:t>1673</w:t>
      </w:r>
    </w:p>
    <w:p w14:paraId="1917CD7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 xml:space="preserve">Health Standards Section—Day Developmental Training Centers Licensing Standards </w:t>
      </w:r>
    </w:p>
    <w:p w14:paraId="4131583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(LAC 48:I.Chapter 55)</w:t>
      </w:r>
      <w:r w:rsidRPr="00700A7A">
        <w:rPr>
          <w:rFonts w:ascii="Arial" w:hAnsi="Arial" w:cs="Arial"/>
          <w:kern w:val="2"/>
          <w:sz w:val="18"/>
        </w:rPr>
        <w:tab/>
        <w:t>1675</w:t>
      </w:r>
    </w:p>
    <w:p w14:paraId="1D1232F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Free-Standing Birth Centers Licensing Standards (LAC 48:I.6719 and 6743)</w:t>
      </w:r>
      <w:r w:rsidRPr="00700A7A">
        <w:rPr>
          <w:rFonts w:ascii="Arial" w:hAnsi="Arial" w:cs="Arial"/>
          <w:kern w:val="2"/>
          <w:sz w:val="18"/>
        </w:rPr>
        <w:tab/>
        <w:t>1677</w:t>
      </w:r>
    </w:p>
    <w:p w14:paraId="5E39E04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Nurse Licensure Compact (LAC 48:I.8803)</w:t>
      </w:r>
      <w:r w:rsidRPr="00700A7A">
        <w:rPr>
          <w:rFonts w:ascii="Arial" w:hAnsi="Arial" w:cs="Arial"/>
          <w:kern w:val="2"/>
          <w:sz w:val="18"/>
        </w:rPr>
        <w:tab/>
        <w:t>1679</w:t>
      </w:r>
    </w:p>
    <w:p w14:paraId="6D5F017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Program for All-Inclusive Care of the Elderly Licensing Standards (LAC 48:I.Chapter 43)</w:t>
      </w:r>
      <w:r w:rsidRPr="00700A7A">
        <w:rPr>
          <w:rFonts w:ascii="Arial" w:hAnsi="Arial" w:cs="Arial"/>
          <w:kern w:val="2"/>
          <w:sz w:val="18"/>
        </w:rPr>
        <w:tab/>
        <w:t>1680</w:t>
      </w:r>
    </w:p>
    <w:p w14:paraId="70C889C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Office of Behavioral Health—Behavioral Health Services (LAC 50:XXXIII.2301, 2303, 6301, and 6307)</w:t>
      </w:r>
      <w:r w:rsidRPr="00700A7A">
        <w:rPr>
          <w:rFonts w:ascii="Arial" w:hAnsi="Arial" w:cs="Arial"/>
          <w:kern w:val="2"/>
          <w:sz w:val="18"/>
        </w:rPr>
        <w:tab/>
        <w:t>1671</w:t>
      </w:r>
    </w:p>
    <w:p w14:paraId="585B474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Independent Review for Coordinated System of Care (LAC 50:I.3111 and XXXIII.8503)</w:t>
      </w:r>
      <w:r w:rsidRPr="00700A7A">
        <w:rPr>
          <w:rFonts w:ascii="Arial" w:hAnsi="Arial" w:cs="Arial"/>
          <w:kern w:val="2"/>
          <w:sz w:val="18"/>
        </w:rPr>
        <w:tab/>
        <w:t>1673</w:t>
      </w:r>
    </w:p>
    <w:p w14:paraId="40CA457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 xml:space="preserve">Radiologic Technology Board of Examiners—Radiologic Technologists </w:t>
      </w:r>
    </w:p>
    <w:p w14:paraId="2AD885F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(LAC 46:LXVI.Chapters 1, 3, 7, 9, 11, 12, 13, and 15)</w:t>
      </w:r>
      <w:r w:rsidRPr="00700A7A">
        <w:rPr>
          <w:rFonts w:ascii="Arial" w:hAnsi="Arial" w:cs="Arial"/>
          <w:kern w:val="2"/>
          <w:sz w:val="18"/>
        </w:rPr>
        <w:tab/>
        <w:t>1710</w:t>
      </w:r>
    </w:p>
    <w:p w14:paraId="4F97CEA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b/>
          <w:bCs/>
          <w:kern w:val="2"/>
          <w:sz w:val="18"/>
        </w:rPr>
        <w:t>Public Safety and Corrections</w:t>
      </w:r>
    </w:p>
    <w:p w14:paraId="0DE00E4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b/>
          <w:bCs/>
          <w:kern w:val="2"/>
          <w:sz w:val="18"/>
        </w:rPr>
        <w:tab/>
      </w:r>
      <w:r w:rsidRPr="00700A7A">
        <w:rPr>
          <w:rFonts w:ascii="Arial" w:hAnsi="Arial" w:cs="Arial"/>
          <w:b/>
          <w:bCs/>
          <w:kern w:val="2"/>
          <w:sz w:val="18"/>
        </w:rPr>
        <w:tab/>
      </w:r>
      <w:r w:rsidRPr="00700A7A">
        <w:rPr>
          <w:rFonts w:ascii="Arial" w:hAnsi="Arial" w:cs="Arial"/>
          <w:b/>
          <w:bCs/>
          <w:kern w:val="2"/>
          <w:sz w:val="18"/>
        </w:rPr>
        <w:tab/>
      </w:r>
      <w:r w:rsidRPr="00700A7A">
        <w:rPr>
          <w:rFonts w:ascii="Arial" w:hAnsi="Arial" w:cs="Arial"/>
          <w:b/>
          <w:bCs/>
          <w:kern w:val="2"/>
          <w:sz w:val="18"/>
        </w:rPr>
        <w:tab/>
      </w:r>
      <w:r w:rsidRPr="00700A7A">
        <w:rPr>
          <w:rFonts w:ascii="Arial" w:hAnsi="Arial" w:cs="Arial"/>
          <w:kern w:val="2"/>
          <w:sz w:val="18"/>
        </w:rPr>
        <w:t>Corrections Services—Telephone Use and Policy on Monitoring of Calls (LAC 22:I.315)</w:t>
      </w:r>
      <w:r w:rsidRPr="00700A7A">
        <w:rPr>
          <w:rFonts w:ascii="Arial" w:hAnsi="Arial" w:cs="Arial"/>
          <w:kern w:val="2"/>
          <w:sz w:val="18"/>
        </w:rPr>
        <w:tab/>
        <w:t>1719</w:t>
      </w:r>
    </w:p>
    <w:p w14:paraId="678F737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Gaming Control Board—Fixed Odds Wagers on Horse Races and Sports Wagering Events</w:t>
      </w:r>
    </w:p>
    <w:p w14:paraId="054D30E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bCs/>
          <w:kern w:val="2"/>
          <w:sz w:val="18"/>
        </w:rPr>
        <w:t>(LAC 42:VI.103, 303, 501, 521, 523, and 701)</w:t>
      </w:r>
      <w:r w:rsidRPr="00700A7A">
        <w:rPr>
          <w:rFonts w:ascii="Arial" w:hAnsi="Arial" w:cs="Arial"/>
          <w:bCs/>
          <w:kern w:val="2"/>
          <w:sz w:val="18"/>
        </w:rPr>
        <w:tab/>
        <w:t>1721</w:t>
      </w:r>
    </w:p>
    <w:p w14:paraId="7D5A399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Workplace Policies, Trainings, and Preventive Measures (LAC 42:III.Chapter 6)</w:t>
      </w:r>
      <w:r w:rsidRPr="00700A7A">
        <w:rPr>
          <w:rFonts w:ascii="Arial" w:hAnsi="Arial" w:cs="Arial"/>
          <w:kern w:val="2"/>
          <w:sz w:val="18"/>
        </w:rPr>
        <w:tab/>
        <w:t>1724</w:t>
      </w:r>
    </w:p>
    <w:p w14:paraId="095FC1E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lastRenderedPageBreak/>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Office of State Police—Hazardous Material Information Development, Preparedness, and Response Act</w:t>
      </w:r>
    </w:p>
    <w:p w14:paraId="399F6EF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 xml:space="preserve">Inventory Reporting </w:t>
      </w:r>
      <w:r w:rsidRPr="00700A7A">
        <w:rPr>
          <w:rFonts w:ascii="Arial" w:hAnsi="Arial" w:cs="Arial"/>
          <w:bCs/>
          <w:kern w:val="2"/>
          <w:sz w:val="18"/>
        </w:rPr>
        <w:t>(LAC 33:V.10109)</w:t>
      </w:r>
      <w:r w:rsidRPr="00700A7A">
        <w:rPr>
          <w:rFonts w:ascii="Arial" w:hAnsi="Arial" w:cs="Arial"/>
          <w:bCs/>
          <w:kern w:val="2"/>
          <w:sz w:val="18"/>
        </w:rPr>
        <w:tab/>
        <w:t>1726</w:t>
      </w:r>
    </w:p>
    <w:p w14:paraId="4EDD14C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b/>
          <w:bCs/>
          <w:kern w:val="2"/>
          <w:sz w:val="18"/>
        </w:rPr>
        <w:t>Transportation and Development</w:t>
      </w:r>
    </w:p>
    <w:p w14:paraId="127401D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Operations—Administrative Review of Notices of Violation (LAC 73:I.Chapter 12)</w:t>
      </w:r>
      <w:r w:rsidRPr="00700A7A">
        <w:rPr>
          <w:rFonts w:ascii="Arial" w:hAnsi="Arial" w:cs="Arial"/>
          <w:bCs/>
          <w:kern w:val="2"/>
          <w:sz w:val="18"/>
        </w:rPr>
        <w:tab/>
        <w:t>1727</w:t>
      </w:r>
    </w:p>
    <w:p w14:paraId="0777A19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Guideline for Submitting Overweight Vehicle Configurations—Exceeding 238,000 Pounds</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73:I.Chapter 15)</w:t>
      </w:r>
      <w:r w:rsidRPr="00700A7A">
        <w:rPr>
          <w:rFonts w:ascii="Arial" w:hAnsi="Arial" w:cs="Arial"/>
          <w:bCs/>
          <w:kern w:val="2"/>
          <w:sz w:val="18"/>
        </w:rPr>
        <w:tab/>
        <w:t>1730</w:t>
      </w:r>
    </w:p>
    <w:p w14:paraId="137F342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Laws and Regulations Enforced with Other Agencies (LAC 73:I.901)</w:t>
      </w:r>
      <w:r w:rsidRPr="00700A7A">
        <w:rPr>
          <w:rFonts w:ascii="Arial" w:hAnsi="Arial" w:cs="Arial"/>
          <w:bCs/>
          <w:kern w:val="2"/>
          <w:sz w:val="18"/>
        </w:rPr>
        <w:tab/>
        <w:t>1732</w:t>
      </w:r>
    </w:p>
    <w:p w14:paraId="1200F0F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Project Delivery—Department Relocation of Publicly Owned or Non-Profit Utilities</w:t>
      </w:r>
    </w:p>
    <w:p w14:paraId="49293F6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70:II.Chapter 3)</w:t>
      </w:r>
      <w:r w:rsidRPr="00700A7A">
        <w:rPr>
          <w:rFonts w:ascii="Arial" w:hAnsi="Arial" w:cs="Arial"/>
          <w:bCs/>
          <w:kern w:val="2"/>
          <w:sz w:val="18"/>
        </w:rPr>
        <w:tab/>
        <w:t>1737</w:t>
      </w:r>
    </w:p>
    <w:p w14:paraId="4E71F5B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Display of American Flags within Highway Right-of-Way (LAC 70:III.701)</w:t>
      </w:r>
      <w:r w:rsidRPr="00700A7A">
        <w:rPr>
          <w:rFonts w:ascii="Arial" w:hAnsi="Arial" w:cs="Arial"/>
          <w:bCs/>
          <w:kern w:val="2"/>
          <w:sz w:val="18"/>
        </w:rPr>
        <w:tab/>
        <w:t>1740</w:t>
      </w:r>
    </w:p>
    <w:p w14:paraId="04EC0FC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Wildlife and Fisheries</w:t>
      </w:r>
    </w:p>
    <w:p w14:paraId="6F26E64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and Fisheries Commission—Commercial Menhaden Reporting Requirements (LAC 76:VII.308)</w:t>
      </w:r>
      <w:r w:rsidRPr="00700A7A">
        <w:rPr>
          <w:rFonts w:ascii="Arial" w:hAnsi="Arial" w:cs="Arial"/>
          <w:bCs/>
          <w:kern w:val="2"/>
          <w:sz w:val="18"/>
        </w:rPr>
        <w:tab/>
        <w:t>1741</w:t>
      </w:r>
    </w:p>
    <w:p w14:paraId="425D954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Vessel Equipment; Requirements; Penalties (LAC 76:XI.Chapter 1 and Chapter 3)</w:t>
      </w:r>
      <w:r w:rsidRPr="00700A7A">
        <w:rPr>
          <w:rFonts w:ascii="Arial" w:hAnsi="Arial" w:cs="Arial"/>
          <w:bCs/>
          <w:kern w:val="2"/>
          <w:sz w:val="18"/>
        </w:rPr>
        <w:tab/>
        <w:t>1742</w:t>
      </w:r>
    </w:p>
    <w:p w14:paraId="1B3489F4"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Rehabilitation Program (LAC 76:V.131)</w:t>
      </w:r>
      <w:r w:rsidRPr="00700A7A">
        <w:rPr>
          <w:rFonts w:ascii="Arial" w:hAnsi="Arial" w:cs="Arial"/>
          <w:bCs/>
          <w:kern w:val="2"/>
          <w:sz w:val="18"/>
        </w:rPr>
        <w:tab/>
        <w:t>1746</w:t>
      </w:r>
    </w:p>
    <w:p w14:paraId="499D223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2C368A3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V.</w:t>
      </w:r>
      <w:r w:rsidRPr="00700A7A">
        <w:rPr>
          <w:rFonts w:ascii="Arial" w:hAnsi="Arial" w:cs="Arial"/>
          <w:b/>
          <w:kern w:val="2"/>
          <w:sz w:val="18"/>
        </w:rPr>
        <w:tab/>
      </w:r>
      <w:r w:rsidRPr="00700A7A">
        <w:rPr>
          <w:rFonts w:ascii="Arial" w:hAnsi="Arial" w:cs="Arial"/>
          <w:b/>
          <w:kern w:val="2"/>
          <w:sz w:val="18"/>
        </w:rPr>
        <w:tab/>
        <w:t>POTPOURRI</w:t>
      </w:r>
    </w:p>
    <w:p w14:paraId="43626CC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b/>
          <w:bCs/>
          <w:snapToGrid w:val="0"/>
          <w:kern w:val="2"/>
          <w:sz w:val="18"/>
        </w:rPr>
        <w:t>Agriculture and Forestry</w:t>
      </w:r>
    </w:p>
    <w:p w14:paraId="31F4CD1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Office of Animal Health and Food Safety—</w:t>
      </w:r>
      <w:r w:rsidRPr="00700A7A">
        <w:rPr>
          <w:rFonts w:ascii="Arial" w:hAnsi="Arial" w:cs="Arial"/>
          <w:bCs/>
          <w:snapToGrid w:val="0"/>
          <w:kern w:val="2"/>
          <w:sz w:val="18"/>
        </w:rPr>
        <w:t>Hunting Season Variances for Farm-Raised White-Tailed Deer</w:t>
      </w:r>
      <w:r w:rsidRPr="00700A7A">
        <w:rPr>
          <w:rFonts w:ascii="Arial" w:hAnsi="Arial" w:cs="Arial"/>
          <w:bCs/>
          <w:snapToGrid w:val="0"/>
          <w:kern w:val="2"/>
          <w:sz w:val="18"/>
        </w:rPr>
        <w:tab/>
        <w:t>1748</w:t>
      </w:r>
    </w:p>
    <w:p w14:paraId="176DA6C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snapToGrid w:val="0"/>
          <w:kern w:val="2"/>
          <w:sz w:val="18"/>
        </w:rPr>
      </w:pPr>
      <w:r w:rsidRPr="00700A7A">
        <w:rPr>
          <w:rFonts w:ascii="Arial" w:hAnsi="Arial" w:cs="Arial"/>
          <w:bCs/>
          <w:snapToGrid w:val="0"/>
          <w:kern w:val="2"/>
          <w:sz w:val="18"/>
        </w:rPr>
        <w:tab/>
      </w:r>
      <w:r w:rsidRPr="00700A7A">
        <w:rPr>
          <w:rFonts w:ascii="Arial" w:hAnsi="Arial" w:cs="Arial"/>
          <w:bCs/>
          <w:snapToGrid w:val="0"/>
          <w:kern w:val="2"/>
          <w:sz w:val="18"/>
        </w:rPr>
        <w:tab/>
      </w:r>
      <w:r w:rsidRPr="00700A7A">
        <w:rPr>
          <w:rFonts w:ascii="Arial" w:hAnsi="Arial" w:cs="Arial"/>
          <w:b/>
          <w:snapToGrid w:val="0"/>
          <w:kern w:val="2"/>
          <w:sz w:val="18"/>
        </w:rPr>
        <w:t>Conservation and Energy</w:t>
      </w:r>
    </w:p>
    <w:p w14:paraId="64A4FB6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Office of Enforcement—Orphaned Oilfield Sites</w:t>
      </w:r>
      <w:r w:rsidRPr="00700A7A">
        <w:rPr>
          <w:rFonts w:ascii="Arial" w:hAnsi="Arial" w:cs="Arial"/>
          <w:snapToGrid w:val="0"/>
          <w:kern w:val="2"/>
          <w:sz w:val="18"/>
        </w:rPr>
        <w:tab/>
        <w:t>1748</w:t>
      </w:r>
    </w:p>
    <w:p w14:paraId="284EBFE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Requests for Comments on Groundwater Management Rulemaking (LAC 43:VI.Chapters 1-13)</w:t>
      </w:r>
      <w:r w:rsidRPr="00700A7A">
        <w:rPr>
          <w:rFonts w:ascii="Arial" w:hAnsi="Arial" w:cs="Arial"/>
          <w:snapToGrid w:val="0"/>
          <w:kern w:val="2"/>
          <w:sz w:val="18"/>
        </w:rPr>
        <w:tab/>
        <w:t>1749</w:t>
      </w:r>
    </w:p>
    <w:p w14:paraId="7025781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b/>
          <w:bCs/>
          <w:snapToGrid w:val="0"/>
          <w:kern w:val="2"/>
          <w:sz w:val="18"/>
        </w:rPr>
        <w:t>Environmental Quality</w:t>
      </w:r>
    </w:p>
    <w:p w14:paraId="687D869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b/>
          <w:bCs/>
          <w:snapToGrid w:val="0"/>
          <w:kern w:val="2"/>
          <w:sz w:val="18"/>
        </w:rPr>
        <w:tab/>
      </w:r>
      <w:r w:rsidRPr="00700A7A">
        <w:rPr>
          <w:rFonts w:ascii="Arial" w:hAnsi="Arial" w:cs="Arial"/>
          <w:b/>
          <w:bCs/>
          <w:snapToGrid w:val="0"/>
          <w:kern w:val="2"/>
          <w:sz w:val="18"/>
        </w:rPr>
        <w:tab/>
      </w:r>
      <w:r w:rsidRPr="00700A7A">
        <w:rPr>
          <w:rFonts w:ascii="Arial" w:hAnsi="Arial" w:cs="Arial"/>
          <w:b/>
          <w:bCs/>
          <w:snapToGrid w:val="0"/>
          <w:kern w:val="2"/>
          <w:sz w:val="18"/>
        </w:rPr>
        <w:tab/>
      </w:r>
      <w:r w:rsidRPr="00700A7A">
        <w:rPr>
          <w:rFonts w:ascii="Arial" w:hAnsi="Arial" w:cs="Arial"/>
          <w:b/>
          <w:bCs/>
          <w:snapToGrid w:val="0"/>
          <w:kern w:val="2"/>
          <w:sz w:val="18"/>
        </w:rPr>
        <w:tab/>
      </w:r>
      <w:r w:rsidRPr="00700A7A">
        <w:rPr>
          <w:rFonts w:ascii="Arial" w:hAnsi="Arial" w:cs="Arial"/>
          <w:snapToGrid w:val="0"/>
          <w:kern w:val="2"/>
          <w:sz w:val="18"/>
        </w:rPr>
        <w:t>Office of the Secretary, Legal Affairs Division—Notice of Public Hearing—Substantive Changes to</w:t>
      </w:r>
    </w:p>
    <w:p w14:paraId="32A02BB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Proposed Rule WQ118 Turbidity Criteria Refinement (LAC 33:IX.1113 and 1123)</w:t>
      </w:r>
      <w:r w:rsidRPr="00700A7A">
        <w:rPr>
          <w:rFonts w:ascii="Arial" w:hAnsi="Arial" w:cs="Arial"/>
          <w:snapToGrid w:val="0"/>
          <w:kern w:val="2"/>
          <w:sz w:val="18"/>
        </w:rPr>
        <w:tab/>
        <w:t>1750</w:t>
      </w:r>
    </w:p>
    <w:p w14:paraId="45BABAF1"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Regional Haze First Planning Period―State Implementation Plan (SIP) Revision</w:t>
      </w:r>
      <w:r w:rsidRPr="00700A7A">
        <w:rPr>
          <w:rFonts w:ascii="Arial" w:hAnsi="Arial" w:cs="Arial"/>
          <w:snapToGrid w:val="0"/>
          <w:kern w:val="2"/>
          <w:sz w:val="18"/>
        </w:rPr>
        <w:tab/>
        <w:t>1752</w:t>
      </w:r>
    </w:p>
    <w:p w14:paraId="27A27BC1"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b/>
          <w:bCs/>
          <w:snapToGrid w:val="0"/>
          <w:kern w:val="2"/>
          <w:sz w:val="18"/>
        </w:rPr>
        <w:t>Health</w:t>
      </w:r>
    </w:p>
    <w:p w14:paraId="7CF190BE" w14:textId="2AA444D6" w:rsidR="004E0E1F" w:rsidRPr="003D6AB5" w:rsidRDefault="004E0E1F" w:rsidP="004E0E1F">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 xml:space="preserve">Board of Medical Examiners—Notice of Public Hearing―Substantive Changes to Proposed Rule; </w:t>
      </w:r>
      <w:r w:rsidRPr="00700A7A">
        <w:rPr>
          <w:rFonts w:ascii="Arial" w:hAnsi="Arial" w:cs="Arial"/>
          <w:snapToGrid w:val="0"/>
          <w:kern w:val="2"/>
          <w:sz w:val="18"/>
        </w:rPr>
        <w:br/>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Respiratory Therapists (LAC 46:XLV.Chapters 25 and 55)</w:t>
      </w:r>
      <w:r w:rsidRPr="00700A7A">
        <w:rPr>
          <w:rFonts w:ascii="Arial" w:hAnsi="Arial" w:cs="Arial"/>
          <w:snapToGrid w:val="0"/>
          <w:kern w:val="2"/>
          <w:sz w:val="18"/>
        </w:rPr>
        <w:tab/>
      </w:r>
      <w:r w:rsidRPr="003D6AB5">
        <w:rPr>
          <w:rFonts w:ascii="Arial" w:hAnsi="Arial" w:cs="Arial"/>
          <w:snapToGrid w:val="0"/>
          <w:kern w:val="2"/>
          <w:sz w:val="18"/>
        </w:rPr>
        <w:t>175</w:t>
      </w:r>
      <w:r w:rsidR="00A10430">
        <w:rPr>
          <w:rFonts w:ascii="Arial" w:hAnsi="Arial" w:cs="Arial"/>
          <w:snapToGrid w:val="0"/>
          <w:kern w:val="2"/>
          <w:sz w:val="18"/>
        </w:rPr>
        <w:t>2</w:t>
      </w:r>
    </w:p>
    <w:p w14:paraId="1F726A8A" w14:textId="384F79FC"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3D6AB5">
        <w:rPr>
          <w:rFonts w:ascii="Arial" w:hAnsi="Arial" w:cs="Arial"/>
          <w:snapToGrid w:val="0"/>
          <w:kern w:val="2"/>
          <w:sz w:val="18"/>
        </w:rPr>
        <w:tab/>
      </w:r>
      <w:r w:rsidRPr="003D6AB5">
        <w:rPr>
          <w:rFonts w:ascii="Arial" w:hAnsi="Arial" w:cs="Arial"/>
          <w:snapToGrid w:val="0"/>
          <w:kern w:val="2"/>
          <w:sz w:val="18"/>
        </w:rPr>
        <w:tab/>
      </w:r>
      <w:r w:rsidRPr="003D6AB5">
        <w:rPr>
          <w:rFonts w:ascii="Arial" w:hAnsi="Arial" w:cs="Arial"/>
          <w:snapToGrid w:val="0"/>
          <w:kern w:val="2"/>
          <w:sz w:val="18"/>
        </w:rPr>
        <w:tab/>
      </w:r>
      <w:r w:rsidRPr="003D6AB5">
        <w:rPr>
          <w:rFonts w:ascii="Arial" w:hAnsi="Arial" w:cs="Arial"/>
          <w:snapToGrid w:val="0"/>
          <w:kern w:val="2"/>
          <w:sz w:val="18"/>
        </w:rPr>
        <w:tab/>
        <w:t>Board of Nursing—Notice of Public Hearing—Request for Comments on Rulemaking</w:t>
      </w:r>
      <w:r w:rsidRPr="003D6AB5">
        <w:rPr>
          <w:rFonts w:ascii="Arial" w:hAnsi="Arial" w:cs="Arial"/>
          <w:snapToGrid w:val="0"/>
          <w:kern w:val="2"/>
          <w:sz w:val="18"/>
        </w:rPr>
        <w:tab/>
        <w:t>175</w:t>
      </w:r>
      <w:r w:rsidR="00A10430">
        <w:rPr>
          <w:rFonts w:ascii="Arial" w:hAnsi="Arial" w:cs="Arial"/>
          <w:snapToGrid w:val="0"/>
          <w:kern w:val="2"/>
          <w:sz w:val="18"/>
        </w:rPr>
        <w:t>3</w:t>
      </w:r>
    </w:p>
    <w:p w14:paraId="2CDB05A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p>
    <w:p w14:paraId="6974982E" w14:textId="77777777" w:rsidR="00700A7A" w:rsidRPr="00700A7A" w:rsidRDefault="00700A7A" w:rsidP="00700A7A">
      <w:pPr>
        <w:widowControl w:val="0"/>
        <w:tabs>
          <w:tab w:val="decimal" w:pos="245"/>
          <w:tab w:val="left" w:pos="480"/>
          <w:tab w:val="left" w:pos="720"/>
          <w:tab w:val="left" w:pos="960"/>
          <w:tab w:val="left" w:pos="1080"/>
          <w:tab w:val="left" w:pos="1200"/>
          <w:tab w:val="right" w:leader="dot" w:pos="10116"/>
        </w:tabs>
        <w:spacing w:line="216" w:lineRule="exact"/>
        <w:outlineLvl w:val="0"/>
        <w:rPr>
          <w:rFonts w:ascii="Arial" w:hAnsi="Arial" w:cs="Arial"/>
          <w:snapToGrid w:val="0"/>
          <w:kern w:val="2"/>
          <w:sz w:val="18"/>
        </w:rPr>
      </w:pPr>
      <w:r w:rsidRPr="00700A7A">
        <w:rPr>
          <w:rFonts w:ascii="Arial" w:hAnsi="Arial" w:cs="Arial"/>
          <w:b/>
          <w:snapToGrid w:val="0"/>
          <w:kern w:val="2"/>
          <w:sz w:val="18"/>
        </w:rPr>
        <w:t>VI.</w:t>
      </w:r>
      <w:r w:rsidRPr="00700A7A">
        <w:rPr>
          <w:rFonts w:ascii="Arial" w:hAnsi="Arial" w:cs="Arial"/>
          <w:b/>
          <w:snapToGrid w:val="0"/>
          <w:kern w:val="2"/>
          <w:sz w:val="18"/>
        </w:rPr>
        <w:tab/>
      </w:r>
      <w:r w:rsidRPr="00700A7A">
        <w:rPr>
          <w:rFonts w:ascii="Arial" w:hAnsi="Arial" w:cs="Arial"/>
          <w:b/>
          <w:snapToGrid w:val="0"/>
          <w:kern w:val="2"/>
          <w:sz w:val="18"/>
        </w:rPr>
        <w:tab/>
        <w:t>INDEX</w:t>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1754</w:t>
      </w:r>
    </w:p>
    <w:p w14:paraId="38FF059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noProof/>
          <w:spacing w:val="-1"/>
          <w:sz w:val="18"/>
          <w:szCs w:val="18"/>
        </w:rPr>
        <mc:AlternateContent>
          <mc:Choice Requires="wps">
            <w:drawing>
              <wp:anchor distT="0" distB="0" distL="114300" distR="114300" simplePos="0" relativeHeight="251659264" behindDoc="0" locked="0" layoutInCell="1" allowOverlap="1" wp14:anchorId="42176BFB" wp14:editId="179649BD">
                <wp:simplePos x="0" y="0"/>
                <wp:positionH relativeFrom="column">
                  <wp:posOffset>-19050</wp:posOffset>
                </wp:positionH>
                <wp:positionV relativeFrom="paragraph">
                  <wp:posOffset>120721</wp:posOffset>
                </wp:positionV>
                <wp:extent cx="6703345" cy="487730"/>
                <wp:effectExtent l="0" t="0" r="21590" b="26670"/>
                <wp:wrapNone/>
                <wp:docPr id="937532991" name="Rectangle 3"/>
                <wp:cNvGraphicFramePr/>
                <a:graphic xmlns:a="http://schemas.openxmlformats.org/drawingml/2006/main">
                  <a:graphicData uri="http://schemas.microsoft.com/office/word/2010/wordprocessingShape">
                    <wps:wsp>
                      <wps:cNvSpPr/>
                      <wps:spPr>
                        <a:xfrm>
                          <a:off x="0" y="0"/>
                          <a:ext cx="6703345" cy="48773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5A911" id="Rectangle 3" o:spid="_x0000_s1026" style="position:absolute;margin-left:-1.5pt;margin-top:9.5pt;width:527.8pt;height:3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" filled="f" strokecolor="#042433" strokeweight="1pt"/>
            </w:pict>
          </mc:Fallback>
        </mc:AlternateContent>
      </w:r>
    </w:p>
    <w:p w14:paraId="2A8716E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snapToGrid w:val="0"/>
          <w:spacing w:val="-1"/>
          <w:sz w:val="18"/>
          <w:szCs w:val="18"/>
        </w:rPr>
      </w:pPr>
      <w:r w:rsidRPr="00700A7A">
        <w:rPr>
          <w:snapToGrid w:val="0"/>
          <w:spacing w:val="-1"/>
          <w:sz w:val="18"/>
          <w:szCs w:val="18"/>
        </w:rPr>
        <w:t>This</w:t>
      </w:r>
      <w:r w:rsidRPr="00700A7A">
        <w:rPr>
          <w:snapToGrid w:val="0"/>
          <w:spacing w:val="12"/>
          <w:sz w:val="18"/>
          <w:szCs w:val="18"/>
        </w:rPr>
        <w:t xml:space="preserve"> </w:t>
      </w:r>
      <w:r w:rsidRPr="00700A7A">
        <w:rPr>
          <w:snapToGrid w:val="0"/>
          <w:sz w:val="18"/>
          <w:szCs w:val="18"/>
        </w:rPr>
        <w:t>public</w:t>
      </w:r>
      <w:r w:rsidRPr="00700A7A">
        <w:rPr>
          <w:snapToGrid w:val="0"/>
          <w:spacing w:val="12"/>
          <w:sz w:val="18"/>
          <w:szCs w:val="18"/>
        </w:rPr>
        <w:t xml:space="preserve"> </w:t>
      </w:r>
      <w:r w:rsidRPr="00700A7A">
        <w:rPr>
          <w:snapToGrid w:val="0"/>
          <w:spacing w:val="-1"/>
          <w:sz w:val="18"/>
          <w:szCs w:val="18"/>
        </w:rPr>
        <w:t>document</w:t>
      </w:r>
      <w:r w:rsidRPr="00700A7A">
        <w:rPr>
          <w:snapToGrid w:val="0"/>
          <w:spacing w:val="13"/>
          <w:sz w:val="18"/>
          <w:szCs w:val="18"/>
        </w:rPr>
        <w:t xml:space="preserve"> </w:t>
      </w:r>
      <w:r w:rsidRPr="00700A7A">
        <w:rPr>
          <w:snapToGrid w:val="0"/>
          <w:sz w:val="18"/>
          <w:szCs w:val="18"/>
        </w:rPr>
        <w:t>is</w:t>
      </w:r>
      <w:r w:rsidRPr="00700A7A">
        <w:rPr>
          <w:snapToGrid w:val="0"/>
          <w:spacing w:val="12"/>
          <w:sz w:val="18"/>
          <w:szCs w:val="18"/>
        </w:rPr>
        <w:t xml:space="preserve"> </w:t>
      </w:r>
      <w:r w:rsidRPr="00700A7A">
        <w:rPr>
          <w:snapToGrid w:val="0"/>
          <w:sz w:val="18"/>
          <w:szCs w:val="18"/>
        </w:rPr>
        <w:t>published</w:t>
      </w:r>
      <w:r w:rsidRPr="00700A7A">
        <w:rPr>
          <w:snapToGrid w:val="0"/>
          <w:spacing w:val="14"/>
          <w:sz w:val="18"/>
          <w:szCs w:val="18"/>
        </w:rPr>
        <w:t xml:space="preserve"> </w:t>
      </w:r>
      <w:r w:rsidRPr="00700A7A">
        <w:rPr>
          <w:snapToGrid w:val="0"/>
          <w:sz w:val="18"/>
          <w:szCs w:val="18"/>
        </w:rPr>
        <w:t>in</w:t>
      </w:r>
      <w:r w:rsidRPr="00700A7A">
        <w:rPr>
          <w:snapToGrid w:val="0"/>
          <w:spacing w:val="12"/>
          <w:sz w:val="18"/>
          <w:szCs w:val="18"/>
        </w:rPr>
        <w:t xml:space="preserve"> </w:t>
      </w:r>
      <w:r w:rsidRPr="00700A7A">
        <w:rPr>
          <w:snapToGrid w:val="0"/>
          <w:spacing w:val="-1"/>
          <w:sz w:val="18"/>
          <w:szCs w:val="18"/>
        </w:rPr>
        <w:t>accordance</w:t>
      </w:r>
      <w:r w:rsidRPr="00700A7A">
        <w:rPr>
          <w:snapToGrid w:val="0"/>
          <w:spacing w:val="12"/>
          <w:sz w:val="18"/>
          <w:szCs w:val="18"/>
        </w:rPr>
        <w:t xml:space="preserve"> </w:t>
      </w:r>
      <w:r w:rsidRPr="00700A7A">
        <w:rPr>
          <w:snapToGrid w:val="0"/>
          <w:spacing w:val="-1"/>
          <w:sz w:val="18"/>
          <w:szCs w:val="18"/>
        </w:rPr>
        <w:t>with</w:t>
      </w:r>
      <w:r w:rsidRPr="00700A7A">
        <w:rPr>
          <w:snapToGrid w:val="0"/>
          <w:sz w:val="18"/>
          <w:szCs w:val="18"/>
        </w:rPr>
        <w:t xml:space="preserve"> R.S.</w:t>
      </w:r>
      <w:r w:rsidRPr="00700A7A">
        <w:rPr>
          <w:snapToGrid w:val="0"/>
          <w:spacing w:val="11"/>
          <w:sz w:val="18"/>
          <w:szCs w:val="18"/>
        </w:rPr>
        <w:t xml:space="preserve"> </w:t>
      </w:r>
      <w:r w:rsidRPr="00700A7A">
        <w:rPr>
          <w:snapToGrid w:val="0"/>
          <w:sz w:val="18"/>
          <w:szCs w:val="18"/>
        </w:rPr>
        <w:t xml:space="preserve">49:953. </w:t>
      </w:r>
      <w:r w:rsidRPr="00700A7A">
        <w:rPr>
          <w:snapToGrid w:val="0"/>
          <w:spacing w:val="-1"/>
          <w:sz w:val="18"/>
          <w:szCs w:val="18"/>
        </w:rPr>
        <w:t>The</w:t>
      </w:r>
      <w:r w:rsidRPr="00700A7A">
        <w:rPr>
          <w:snapToGrid w:val="0"/>
          <w:spacing w:val="12"/>
          <w:sz w:val="18"/>
          <w:szCs w:val="18"/>
        </w:rPr>
        <w:t xml:space="preserve"> </w:t>
      </w:r>
      <w:r w:rsidRPr="00700A7A">
        <w:rPr>
          <w:snapToGrid w:val="0"/>
          <w:spacing w:val="-1"/>
          <w:sz w:val="18"/>
          <w:szCs w:val="18"/>
        </w:rPr>
        <w:t>publication</w:t>
      </w:r>
      <w:r w:rsidRPr="00700A7A">
        <w:rPr>
          <w:snapToGrid w:val="0"/>
          <w:spacing w:val="14"/>
          <w:sz w:val="18"/>
          <w:szCs w:val="18"/>
        </w:rPr>
        <w:t xml:space="preserve"> </w:t>
      </w:r>
      <w:r w:rsidRPr="00700A7A">
        <w:rPr>
          <w:snapToGrid w:val="0"/>
          <w:sz w:val="18"/>
          <w:szCs w:val="18"/>
        </w:rPr>
        <w:t xml:space="preserve">date </w:t>
      </w:r>
      <w:r w:rsidRPr="00700A7A">
        <w:rPr>
          <w:snapToGrid w:val="0"/>
          <w:spacing w:val="-1"/>
          <w:sz w:val="18"/>
          <w:szCs w:val="18"/>
        </w:rPr>
        <w:t>for</w:t>
      </w:r>
      <w:r w:rsidRPr="00700A7A">
        <w:rPr>
          <w:snapToGrid w:val="0"/>
          <w:sz w:val="18"/>
          <w:szCs w:val="18"/>
        </w:rPr>
        <w:t xml:space="preserve"> this</w:t>
      </w:r>
      <w:r w:rsidRPr="00700A7A">
        <w:rPr>
          <w:snapToGrid w:val="0"/>
          <w:spacing w:val="12"/>
          <w:sz w:val="18"/>
          <w:szCs w:val="18"/>
        </w:rPr>
        <w:t xml:space="preserve"> </w:t>
      </w:r>
      <w:r w:rsidRPr="00700A7A">
        <w:rPr>
          <w:snapToGrid w:val="0"/>
          <w:sz w:val="18"/>
          <w:szCs w:val="18"/>
        </w:rPr>
        <w:t xml:space="preserve">issue of the </w:t>
      </w:r>
      <w:r w:rsidRPr="00700A7A">
        <w:rPr>
          <w:i/>
          <w:iCs/>
          <w:snapToGrid w:val="0"/>
          <w:spacing w:val="-1"/>
          <w:sz w:val="18"/>
          <w:szCs w:val="18"/>
        </w:rPr>
        <w:t>Louisiana</w:t>
      </w:r>
      <w:r w:rsidRPr="00700A7A">
        <w:rPr>
          <w:i/>
          <w:iCs/>
          <w:snapToGrid w:val="0"/>
          <w:sz w:val="18"/>
          <w:szCs w:val="18"/>
        </w:rPr>
        <w:t xml:space="preserve"> Register </w:t>
      </w:r>
      <w:r w:rsidRPr="00700A7A">
        <w:rPr>
          <w:snapToGrid w:val="0"/>
          <w:sz w:val="18"/>
          <w:szCs w:val="18"/>
        </w:rPr>
        <w:t>is</w:t>
      </w:r>
      <w:r w:rsidRPr="00700A7A">
        <w:rPr>
          <w:snapToGrid w:val="0"/>
          <w:spacing w:val="69"/>
          <w:sz w:val="18"/>
          <w:szCs w:val="18"/>
        </w:rPr>
        <w:t xml:space="preserve"> </w:t>
      </w:r>
      <w:r w:rsidRPr="00700A7A">
        <w:rPr>
          <w:snapToGrid w:val="0"/>
          <w:spacing w:val="69"/>
          <w:sz w:val="18"/>
          <w:szCs w:val="18"/>
        </w:rPr>
        <w:br/>
      </w:r>
      <w:r w:rsidRPr="00700A7A">
        <w:rPr>
          <w:snapToGrid w:val="0"/>
          <w:sz w:val="18"/>
          <w:szCs w:val="18"/>
        </w:rPr>
        <w:t>September</w:t>
      </w:r>
      <w:r w:rsidRPr="00700A7A">
        <w:rPr>
          <w:snapToGrid w:val="0"/>
          <w:spacing w:val="25"/>
          <w:sz w:val="18"/>
          <w:szCs w:val="18"/>
        </w:rPr>
        <w:t xml:space="preserve"> </w:t>
      </w:r>
      <w:r w:rsidRPr="00700A7A">
        <w:rPr>
          <w:snapToGrid w:val="0"/>
          <w:sz w:val="18"/>
          <w:szCs w:val="18"/>
        </w:rPr>
        <w:t>20,</w:t>
      </w:r>
      <w:r w:rsidRPr="00700A7A">
        <w:rPr>
          <w:snapToGrid w:val="0"/>
          <w:spacing w:val="29"/>
          <w:sz w:val="18"/>
          <w:szCs w:val="18"/>
        </w:rPr>
        <w:t xml:space="preserve"> </w:t>
      </w:r>
      <w:r w:rsidRPr="00700A7A">
        <w:rPr>
          <w:snapToGrid w:val="0"/>
          <w:spacing w:val="-1"/>
          <w:sz w:val="18"/>
          <w:szCs w:val="18"/>
        </w:rPr>
        <w:t>2026.</w:t>
      </w:r>
      <w:r w:rsidRPr="00700A7A">
        <w:rPr>
          <w:snapToGrid w:val="0"/>
          <w:spacing w:val="27"/>
          <w:sz w:val="18"/>
          <w:szCs w:val="18"/>
        </w:rPr>
        <w:t xml:space="preserve"> </w:t>
      </w:r>
      <w:r w:rsidRPr="00700A7A">
        <w:rPr>
          <w:snapToGrid w:val="0"/>
          <w:spacing w:val="-1"/>
          <w:sz w:val="18"/>
          <w:szCs w:val="18"/>
        </w:rPr>
        <w:t>The</w:t>
      </w:r>
      <w:r w:rsidRPr="00700A7A">
        <w:rPr>
          <w:snapToGrid w:val="0"/>
          <w:spacing w:val="28"/>
          <w:sz w:val="18"/>
          <w:szCs w:val="18"/>
        </w:rPr>
        <w:t xml:space="preserve"> </w:t>
      </w:r>
      <w:r w:rsidRPr="00700A7A">
        <w:rPr>
          <w:snapToGrid w:val="0"/>
          <w:spacing w:val="-1"/>
          <w:sz w:val="18"/>
          <w:szCs w:val="18"/>
        </w:rPr>
        <w:t>Office</w:t>
      </w:r>
      <w:r w:rsidRPr="00700A7A">
        <w:rPr>
          <w:snapToGrid w:val="0"/>
          <w:spacing w:val="28"/>
          <w:sz w:val="18"/>
          <w:szCs w:val="18"/>
        </w:rPr>
        <w:t xml:space="preserve"> </w:t>
      </w:r>
      <w:r w:rsidRPr="00700A7A">
        <w:rPr>
          <w:snapToGrid w:val="0"/>
          <w:sz w:val="18"/>
          <w:szCs w:val="18"/>
        </w:rPr>
        <w:t>of</w:t>
      </w:r>
      <w:r w:rsidRPr="00700A7A">
        <w:rPr>
          <w:snapToGrid w:val="0"/>
          <w:spacing w:val="26"/>
          <w:sz w:val="18"/>
          <w:szCs w:val="18"/>
        </w:rPr>
        <w:t xml:space="preserve"> </w:t>
      </w:r>
      <w:r w:rsidRPr="00700A7A">
        <w:rPr>
          <w:snapToGrid w:val="0"/>
          <w:sz w:val="18"/>
          <w:szCs w:val="18"/>
        </w:rPr>
        <w:t>the</w:t>
      </w:r>
      <w:r w:rsidRPr="00700A7A">
        <w:rPr>
          <w:snapToGrid w:val="0"/>
          <w:spacing w:val="28"/>
          <w:sz w:val="18"/>
          <w:szCs w:val="18"/>
        </w:rPr>
        <w:t xml:space="preserve"> </w:t>
      </w:r>
      <w:r w:rsidRPr="00700A7A">
        <w:rPr>
          <w:snapToGrid w:val="0"/>
          <w:sz w:val="18"/>
          <w:szCs w:val="18"/>
        </w:rPr>
        <w:t>State</w:t>
      </w:r>
      <w:r w:rsidRPr="00700A7A">
        <w:rPr>
          <w:snapToGrid w:val="0"/>
          <w:spacing w:val="28"/>
          <w:sz w:val="18"/>
          <w:szCs w:val="18"/>
        </w:rPr>
        <w:t xml:space="preserve"> </w:t>
      </w:r>
      <w:r w:rsidRPr="00700A7A">
        <w:rPr>
          <w:snapToGrid w:val="0"/>
          <w:spacing w:val="-1"/>
          <w:sz w:val="18"/>
          <w:szCs w:val="18"/>
        </w:rPr>
        <w:t>Register</w:t>
      </w:r>
      <w:r w:rsidRPr="00700A7A">
        <w:rPr>
          <w:snapToGrid w:val="0"/>
          <w:spacing w:val="28"/>
          <w:sz w:val="18"/>
          <w:szCs w:val="18"/>
        </w:rPr>
        <w:t xml:space="preserve"> </w:t>
      </w:r>
      <w:r w:rsidRPr="00700A7A">
        <w:rPr>
          <w:snapToGrid w:val="0"/>
          <w:sz w:val="18"/>
          <w:szCs w:val="18"/>
        </w:rPr>
        <w:t>is</w:t>
      </w:r>
      <w:r w:rsidRPr="00700A7A">
        <w:rPr>
          <w:snapToGrid w:val="0"/>
          <w:spacing w:val="29"/>
          <w:sz w:val="18"/>
          <w:szCs w:val="18"/>
        </w:rPr>
        <w:t xml:space="preserve"> </w:t>
      </w:r>
      <w:r w:rsidRPr="00700A7A">
        <w:rPr>
          <w:snapToGrid w:val="0"/>
          <w:sz w:val="18"/>
          <w:szCs w:val="18"/>
        </w:rPr>
        <w:t>the</w:t>
      </w:r>
      <w:r w:rsidRPr="00700A7A">
        <w:rPr>
          <w:snapToGrid w:val="0"/>
          <w:spacing w:val="28"/>
          <w:sz w:val="18"/>
          <w:szCs w:val="18"/>
        </w:rPr>
        <w:t xml:space="preserve"> </w:t>
      </w:r>
      <w:r w:rsidRPr="00700A7A">
        <w:rPr>
          <w:snapToGrid w:val="0"/>
          <w:spacing w:val="-1"/>
          <w:sz w:val="18"/>
          <w:szCs w:val="18"/>
        </w:rPr>
        <w:t>official</w:t>
      </w:r>
      <w:r w:rsidRPr="00700A7A">
        <w:rPr>
          <w:snapToGrid w:val="0"/>
          <w:spacing w:val="29"/>
          <w:sz w:val="18"/>
          <w:szCs w:val="18"/>
        </w:rPr>
        <w:t xml:space="preserve"> </w:t>
      </w:r>
      <w:r w:rsidRPr="00700A7A">
        <w:rPr>
          <w:snapToGrid w:val="0"/>
          <w:spacing w:val="-1"/>
          <w:sz w:val="18"/>
          <w:szCs w:val="18"/>
        </w:rPr>
        <w:t>state</w:t>
      </w:r>
      <w:r w:rsidRPr="00700A7A">
        <w:rPr>
          <w:snapToGrid w:val="0"/>
          <w:spacing w:val="28"/>
          <w:sz w:val="18"/>
          <w:szCs w:val="18"/>
        </w:rPr>
        <w:t xml:space="preserve"> </w:t>
      </w:r>
      <w:r w:rsidRPr="00700A7A">
        <w:rPr>
          <w:snapToGrid w:val="0"/>
          <w:sz w:val="18"/>
          <w:szCs w:val="18"/>
        </w:rPr>
        <w:t>entity</w:t>
      </w:r>
      <w:r w:rsidRPr="00700A7A">
        <w:rPr>
          <w:snapToGrid w:val="0"/>
          <w:spacing w:val="25"/>
          <w:sz w:val="18"/>
          <w:szCs w:val="18"/>
        </w:rPr>
        <w:t xml:space="preserve"> </w:t>
      </w:r>
      <w:r w:rsidRPr="00700A7A">
        <w:rPr>
          <w:snapToGrid w:val="0"/>
          <w:spacing w:val="-1"/>
          <w:sz w:val="18"/>
          <w:szCs w:val="18"/>
        </w:rPr>
        <w:t>for</w:t>
      </w:r>
      <w:r w:rsidRPr="00700A7A">
        <w:rPr>
          <w:snapToGrid w:val="0"/>
          <w:spacing w:val="29"/>
          <w:sz w:val="18"/>
          <w:szCs w:val="18"/>
        </w:rPr>
        <w:t xml:space="preserve"> </w:t>
      </w:r>
      <w:r w:rsidRPr="00700A7A">
        <w:rPr>
          <w:snapToGrid w:val="0"/>
          <w:spacing w:val="-1"/>
          <w:sz w:val="18"/>
          <w:szCs w:val="18"/>
        </w:rPr>
        <w:t>all</w:t>
      </w:r>
      <w:r w:rsidRPr="00700A7A">
        <w:rPr>
          <w:snapToGrid w:val="0"/>
          <w:spacing w:val="29"/>
          <w:sz w:val="18"/>
          <w:szCs w:val="18"/>
        </w:rPr>
        <w:t xml:space="preserve"> </w:t>
      </w:r>
      <w:r w:rsidRPr="00700A7A">
        <w:rPr>
          <w:snapToGrid w:val="0"/>
          <w:spacing w:val="-1"/>
          <w:sz w:val="18"/>
          <w:szCs w:val="18"/>
        </w:rPr>
        <w:t>certified</w:t>
      </w:r>
      <w:r w:rsidRPr="00700A7A">
        <w:rPr>
          <w:snapToGrid w:val="0"/>
          <w:spacing w:val="29"/>
          <w:sz w:val="18"/>
          <w:szCs w:val="18"/>
        </w:rPr>
        <w:t xml:space="preserve"> </w:t>
      </w:r>
      <w:r w:rsidRPr="00700A7A">
        <w:rPr>
          <w:snapToGrid w:val="0"/>
          <w:sz w:val="18"/>
          <w:szCs w:val="18"/>
        </w:rPr>
        <w:t>copies</w:t>
      </w:r>
      <w:r w:rsidRPr="00700A7A">
        <w:rPr>
          <w:snapToGrid w:val="0"/>
          <w:spacing w:val="28"/>
          <w:sz w:val="18"/>
          <w:szCs w:val="18"/>
        </w:rPr>
        <w:t xml:space="preserve"> </w:t>
      </w:r>
      <w:r w:rsidRPr="00700A7A">
        <w:rPr>
          <w:snapToGrid w:val="0"/>
          <w:sz w:val="18"/>
          <w:szCs w:val="18"/>
        </w:rPr>
        <w:t>of</w:t>
      </w:r>
      <w:r w:rsidRPr="00700A7A">
        <w:rPr>
          <w:snapToGrid w:val="0"/>
          <w:spacing w:val="26"/>
          <w:sz w:val="18"/>
          <w:szCs w:val="18"/>
        </w:rPr>
        <w:t xml:space="preserve"> </w:t>
      </w:r>
      <w:r w:rsidRPr="00700A7A">
        <w:rPr>
          <w:snapToGrid w:val="0"/>
          <w:sz w:val="18"/>
          <w:szCs w:val="18"/>
        </w:rPr>
        <w:t>the</w:t>
      </w:r>
      <w:r w:rsidRPr="00700A7A">
        <w:rPr>
          <w:snapToGrid w:val="0"/>
          <w:spacing w:val="37"/>
          <w:sz w:val="18"/>
          <w:szCs w:val="18"/>
        </w:rPr>
        <w:t xml:space="preserve"> </w:t>
      </w:r>
      <w:r w:rsidRPr="00700A7A">
        <w:rPr>
          <w:i/>
          <w:iCs/>
          <w:snapToGrid w:val="0"/>
          <w:spacing w:val="-1"/>
          <w:sz w:val="18"/>
          <w:szCs w:val="18"/>
        </w:rPr>
        <w:t>Louisiana</w:t>
      </w:r>
      <w:r w:rsidRPr="00700A7A">
        <w:rPr>
          <w:i/>
          <w:iCs/>
          <w:snapToGrid w:val="0"/>
          <w:spacing w:val="30"/>
          <w:sz w:val="18"/>
          <w:szCs w:val="18"/>
        </w:rPr>
        <w:t xml:space="preserve"> </w:t>
      </w:r>
      <w:r w:rsidRPr="00700A7A">
        <w:rPr>
          <w:i/>
          <w:iCs/>
          <w:snapToGrid w:val="0"/>
          <w:spacing w:val="-1"/>
          <w:sz w:val="18"/>
          <w:szCs w:val="18"/>
        </w:rPr>
        <w:t>Register</w:t>
      </w:r>
      <w:r w:rsidRPr="00700A7A">
        <w:rPr>
          <w:i/>
          <w:iCs/>
          <w:snapToGrid w:val="0"/>
          <w:spacing w:val="28"/>
          <w:sz w:val="18"/>
          <w:szCs w:val="18"/>
        </w:rPr>
        <w:t xml:space="preserve"> </w:t>
      </w:r>
      <w:r w:rsidRPr="00700A7A">
        <w:rPr>
          <w:snapToGrid w:val="0"/>
          <w:sz w:val="18"/>
          <w:szCs w:val="18"/>
        </w:rPr>
        <w:t>and</w:t>
      </w:r>
      <w:r w:rsidRPr="00700A7A">
        <w:rPr>
          <w:snapToGrid w:val="0"/>
          <w:spacing w:val="27"/>
          <w:sz w:val="18"/>
          <w:szCs w:val="18"/>
        </w:rPr>
        <w:t xml:space="preserve"> </w:t>
      </w:r>
      <w:r w:rsidRPr="00700A7A">
        <w:rPr>
          <w:snapToGrid w:val="0"/>
          <w:sz w:val="18"/>
          <w:szCs w:val="18"/>
        </w:rPr>
        <w:t>the</w:t>
      </w:r>
      <w:r w:rsidRPr="00700A7A">
        <w:rPr>
          <w:snapToGrid w:val="0"/>
          <w:spacing w:val="28"/>
          <w:sz w:val="18"/>
          <w:szCs w:val="18"/>
        </w:rPr>
        <w:t xml:space="preserve"> </w:t>
      </w:r>
      <w:r w:rsidRPr="00700A7A">
        <w:rPr>
          <w:snapToGrid w:val="0"/>
          <w:spacing w:val="-1"/>
          <w:sz w:val="18"/>
          <w:szCs w:val="18"/>
        </w:rPr>
        <w:t>content</w:t>
      </w:r>
      <w:r w:rsidRPr="00700A7A">
        <w:rPr>
          <w:snapToGrid w:val="0"/>
          <w:spacing w:val="103"/>
          <w:sz w:val="18"/>
          <w:szCs w:val="18"/>
        </w:rPr>
        <w:t xml:space="preserve"> </w:t>
      </w:r>
      <w:r w:rsidRPr="00700A7A">
        <w:rPr>
          <w:snapToGrid w:val="0"/>
          <w:sz w:val="18"/>
          <w:szCs w:val="18"/>
        </w:rPr>
        <w:t>contained</w:t>
      </w:r>
      <w:r w:rsidRPr="00700A7A">
        <w:rPr>
          <w:snapToGrid w:val="0"/>
          <w:spacing w:val="-1"/>
          <w:sz w:val="18"/>
          <w:szCs w:val="18"/>
        </w:rPr>
        <w:t xml:space="preserve"> herein.</w:t>
      </w:r>
    </w:p>
    <w:p w14:paraId="1B865E9B" w14:textId="77777777" w:rsidR="00700A7A" w:rsidRPr="00700A7A" w:rsidRDefault="00700A7A" w:rsidP="00700A7A">
      <w:pPr>
        <w:widowControl w:val="0"/>
        <w:kinsoku w:val="0"/>
        <w:overflowPunct w:val="0"/>
        <w:spacing w:after="120" w:line="242" w:lineRule="auto"/>
        <w:ind w:left="66" w:right="102"/>
        <w:jc w:val="both"/>
        <w:rPr>
          <w:snapToGrid w:val="0"/>
          <w:spacing w:val="-1"/>
          <w:sz w:val="18"/>
          <w:szCs w:val="18"/>
        </w:rPr>
      </w:pPr>
      <w:r w:rsidRPr="00700A7A">
        <w:rPr>
          <w:noProof/>
          <w:spacing w:val="-1"/>
          <w:sz w:val="18"/>
          <w:szCs w:val="18"/>
        </w:rPr>
        <mc:AlternateContent>
          <mc:Choice Requires="wps">
            <w:drawing>
              <wp:anchor distT="0" distB="0" distL="114300" distR="114300" simplePos="0" relativeHeight="251660288" behindDoc="0" locked="0" layoutInCell="1" allowOverlap="1" wp14:anchorId="7B978B0F" wp14:editId="7FBEAF83">
                <wp:simplePos x="0" y="0"/>
                <wp:positionH relativeFrom="column">
                  <wp:posOffset>-45206</wp:posOffset>
                </wp:positionH>
                <wp:positionV relativeFrom="paragraph">
                  <wp:posOffset>174589</wp:posOffset>
                </wp:positionV>
                <wp:extent cx="6765532" cy="513423"/>
                <wp:effectExtent l="0" t="0" r="16510" b="20320"/>
                <wp:wrapNone/>
                <wp:docPr id="801513694" name="Rectangle 3"/>
                <wp:cNvGraphicFramePr/>
                <a:graphic xmlns:a="http://schemas.openxmlformats.org/drawingml/2006/main">
                  <a:graphicData uri="http://schemas.microsoft.com/office/word/2010/wordprocessingShape">
                    <wps:wsp>
                      <wps:cNvSpPr/>
                      <wps:spPr>
                        <a:xfrm>
                          <a:off x="0" y="0"/>
                          <a:ext cx="6765532" cy="513423"/>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4B0CD" id="Rectangle 3" o:spid="_x0000_s1026" style="position:absolute;margin-left:-3.55pt;margin-top:13.75pt;width:532.7pt;height:4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" filled="f" strokecolor="#042433" strokeweight="1pt"/>
            </w:pict>
          </mc:Fallback>
        </mc:AlternateContent>
      </w:r>
    </w:p>
    <w:p w14:paraId="0CE82D1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snapToGrid w:val="0"/>
          <w:spacing w:val="-1"/>
          <w:sz w:val="18"/>
          <w:szCs w:val="18"/>
        </w:rPr>
        <w:t>The</w:t>
      </w:r>
      <w:r w:rsidRPr="00700A7A">
        <w:rPr>
          <w:snapToGrid w:val="0"/>
          <w:spacing w:val="30"/>
          <w:sz w:val="18"/>
          <w:szCs w:val="18"/>
        </w:rPr>
        <w:t xml:space="preserve"> </w:t>
      </w:r>
      <w:r w:rsidRPr="00700A7A">
        <w:rPr>
          <w:snapToGrid w:val="0"/>
          <w:spacing w:val="-1"/>
          <w:sz w:val="18"/>
          <w:szCs w:val="18"/>
        </w:rPr>
        <w:t>Office</w:t>
      </w:r>
      <w:r w:rsidRPr="00700A7A">
        <w:rPr>
          <w:snapToGrid w:val="0"/>
          <w:spacing w:val="30"/>
          <w:sz w:val="18"/>
          <w:szCs w:val="18"/>
        </w:rPr>
        <w:t xml:space="preserve"> </w:t>
      </w:r>
      <w:r w:rsidRPr="00700A7A">
        <w:rPr>
          <w:snapToGrid w:val="0"/>
          <w:sz w:val="18"/>
          <w:szCs w:val="18"/>
        </w:rPr>
        <w:t>of</w:t>
      </w:r>
      <w:r w:rsidRPr="00700A7A">
        <w:rPr>
          <w:snapToGrid w:val="0"/>
          <w:spacing w:val="29"/>
          <w:sz w:val="18"/>
          <w:szCs w:val="18"/>
        </w:rPr>
        <w:t xml:space="preserve"> </w:t>
      </w:r>
      <w:r w:rsidRPr="00700A7A">
        <w:rPr>
          <w:snapToGrid w:val="0"/>
          <w:sz w:val="18"/>
          <w:szCs w:val="18"/>
        </w:rPr>
        <w:t>the</w:t>
      </w:r>
      <w:r w:rsidRPr="00700A7A">
        <w:rPr>
          <w:snapToGrid w:val="0"/>
          <w:spacing w:val="30"/>
          <w:sz w:val="18"/>
          <w:szCs w:val="18"/>
        </w:rPr>
        <w:t xml:space="preserve"> </w:t>
      </w:r>
      <w:r w:rsidRPr="00700A7A">
        <w:rPr>
          <w:snapToGrid w:val="0"/>
          <w:spacing w:val="-1"/>
          <w:sz w:val="18"/>
          <w:szCs w:val="18"/>
        </w:rPr>
        <w:t>State</w:t>
      </w:r>
      <w:r w:rsidRPr="00700A7A">
        <w:rPr>
          <w:snapToGrid w:val="0"/>
          <w:spacing w:val="30"/>
          <w:sz w:val="18"/>
          <w:szCs w:val="18"/>
        </w:rPr>
        <w:t xml:space="preserve"> </w:t>
      </w:r>
      <w:r w:rsidRPr="00700A7A">
        <w:rPr>
          <w:snapToGrid w:val="0"/>
          <w:spacing w:val="-1"/>
          <w:sz w:val="18"/>
          <w:szCs w:val="18"/>
        </w:rPr>
        <w:t>Register</w:t>
      </w:r>
      <w:r w:rsidRPr="00700A7A">
        <w:rPr>
          <w:snapToGrid w:val="0"/>
          <w:spacing w:val="33"/>
          <w:sz w:val="18"/>
          <w:szCs w:val="18"/>
        </w:rPr>
        <w:t xml:space="preserve"> </w:t>
      </w:r>
      <w:r w:rsidRPr="00700A7A">
        <w:rPr>
          <w:snapToGrid w:val="0"/>
          <w:sz w:val="18"/>
          <w:szCs w:val="18"/>
        </w:rPr>
        <w:t>provides</w:t>
      </w:r>
      <w:r w:rsidRPr="00700A7A">
        <w:rPr>
          <w:snapToGrid w:val="0"/>
          <w:spacing w:val="31"/>
          <w:sz w:val="18"/>
          <w:szCs w:val="18"/>
        </w:rPr>
        <w:t xml:space="preserve"> </w:t>
      </w:r>
      <w:r w:rsidRPr="00700A7A">
        <w:rPr>
          <w:snapToGrid w:val="0"/>
          <w:spacing w:val="-1"/>
          <w:sz w:val="18"/>
          <w:szCs w:val="18"/>
        </w:rPr>
        <w:t>auxiliary</w:t>
      </w:r>
      <w:r w:rsidRPr="00700A7A">
        <w:rPr>
          <w:snapToGrid w:val="0"/>
          <w:spacing w:val="27"/>
          <w:sz w:val="18"/>
          <w:szCs w:val="18"/>
        </w:rPr>
        <w:t xml:space="preserve"> </w:t>
      </w:r>
      <w:r w:rsidRPr="00700A7A">
        <w:rPr>
          <w:snapToGrid w:val="0"/>
          <w:sz w:val="18"/>
          <w:szCs w:val="18"/>
        </w:rPr>
        <w:t>aids</w:t>
      </w:r>
      <w:r w:rsidRPr="00700A7A">
        <w:rPr>
          <w:snapToGrid w:val="0"/>
          <w:spacing w:val="31"/>
          <w:sz w:val="18"/>
          <w:szCs w:val="18"/>
        </w:rPr>
        <w:t xml:space="preserve"> </w:t>
      </w:r>
      <w:r w:rsidRPr="00700A7A">
        <w:rPr>
          <w:snapToGrid w:val="0"/>
          <w:spacing w:val="-1"/>
          <w:sz w:val="18"/>
          <w:szCs w:val="18"/>
        </w:rPr>
        <w:t>for</w:t>
      </w:r>
      <w:r w:rsidRPr="00700A7A">
        <w:rPr>
          <w:snapToGrid w:val="0"/>
          <w:spacing w:val="31"/>
          <w:sz w:val="18"/>
          <w:szCs w:val="18"/>
        </w:rPr>
        <w:t xml:space="preserve"> </w:t>
      </w:r>
      <w:r w:rsidRPr="00700A7A">
        <w:rPr>
          <w:snapToGrid w:val="0"/>
          <w:sz w:val="18"/>
          <w:szCs w:val="18"/>
        </w:rPr>
        <w:t>the</w:t>
      </w:r>
      <w:r w:rsidRPr="00700A7A">
        <w:rPr>
          <w:snapToGrid w:val="0"/>
          <w:spacing w:val="35"/>
          <w:sz w:val="18"/>
          <w:szCs w:val="18"/>
        </w:rPr>
        <w:t xml:space="preserve"> </w:t>
      </w:r>
      <w:r w:rsidRPr="00700A7A">
        <w:rPr>
          <w:i/>
          <w:iCs/>
          <w:snapToGrid w:val="0"/>
          <w:spacing w:val="-1"/>
          <w:sz w:val="18"/>
          <w:szCs w:val="18"/>
        </w:rPr>
        <w:t>Louisiana</w:t>
      </w:r>
      <w:r w:rsidRPr="00700A7A">
        <w:rPr>
          <w:i/>
          <w:iCs/>
          <w:snapToGrid w:val="0"/>
          <w:spacing w:val="32"/>
          <w:sz w:val="18"/>
          <w:szCs w:val="18"/>
        </w:rPr>
        <w:t xml:space="preserve"> </w:t>
      </w:r>
      <w:r w:rsidRPr="00700A7A">
        <w:rPr>
          <w:i/>
          <w:iCs/>
          <w:snapToGrid w:val="0"/>
          <w:spacing w:val="-1"/>
          <w:sz w:val="18"/>
          <w:szCs w:val="18"/>
        </w:rPr>
        <w:t>Register</w:t>
      </w:r>
      <w:r w:rsidRPr="00700A7A">
        <w:rPr>
          <w:i/>
          <w:iCs/>
          <w:snapToGrid w:val="0"/>
          <w:spacing w:val="32"/>
          <w:sz w:val="18"/>
          <w:szCs w:val="18"/>
        </w:rPr>
        <w:t xml:space="preserve"> </w:t>
      </w:r>
      <w:r w:rsidRPr="00700A7A">
        <w:rPr>
          <w:snapToGrid w:val="0"/>
          <w:spacing w:val="-1"/>
          <w:sz w:val="18"/>
          <w:szCs w:val="18"/>
        </w:rPr>
        <w:t>for</w:t>
      </w:r>
      <w:r w:rsidRPr="00700A7A">
        <w:rPr>
          <w:snapToGrid w:val="0"/>
          <w:spacing w:val="31"/>
          <w:sz w:val="18"/>
          <w:szCs w:val="18"/>
        </w:rPr>
        <w:t xml:space="preserve"> </w:t>
      </w:r>
      <w:r w:rsidRPr="00700A7A">
        <w:rPr>
          <w:snapToGrid w:val="0"/>
          <w:spacing w:val="-1"/>
          <w:sz w:val="18"/>
          <w:szCs w:val="18"/>
        </w:rPr>
        <w:t>visually</w:t>
      </w:r>
      <w:r w:rsidRPr="00700A7A">
        <w:rPr>
          <w:snapToGrid w:val="0"/>
          <w:spacing w:val="28"/>
          <w:sz w:val="18"/>
          <w:szCs w:val="18"/>
        </w:rPr>
        <w:t xml:space="preserve"> </w:t>
      </w:r>
      <w:r w:rsidRPr="00700A7A">
        <w:rPr>
          <w:snapToGrid w:val="0"/>
          <w:spacing w:val="-1"/>
          <w:sz w:val="18"/>
          <w:szCs w:val="18"/>
        </w:rPr>
        <w:t>impaired</w:t>
      </w:r>
      <w:r w:rsidRPr="00700A7A">
        <w:rPr>
          <w:snapToGrid w:val="0"/>
          <w:spacing w:val="32"/>
          <w:sz w:val="18"/>
          <w:szCs w:val="18"/>
        </w:rPr>
        <w:t xml:space="preserve"> </w:t>
      </w:r>
      <w:r w:rsidRPr="00700A7A">
        <w:rPr>
          <w:snapToGrid w:val="0"/>
          <w:sz w:val="18"/>
          <w:szCs w:val="18"/>
        </w:rPr>
        <w:t>individuals.</w:t>
      </w:r>
      <w:r w:rsidRPr="00700A7A">
        <w:rPr>
          <w:snapToGrid w:val="0"/>
          <w:spacing w:val="29"/>
          <w:sz w:val="18"/>
          <w:szCs w:val="18"/>
        </w:rPr>
        <w:t xml:space="preserve"> </w:t>
      </w:r>
      <w:r w:rsidRPr="00700A7A">
        <w:rPr>
          <w:snapToGrid w:val="0"/>
          <w:sz w:val="18"/>
          <w:szCs w:val="18"/>
        </w:rPr>
        <w:t>By</w:t>
      </w:r>
      <w:r w:rsidRPr="00700A7A">
        <w:rPr>
          <w:snapToGrid w:val="0"/>
          <w:spacing w:val="28"/>
          <w:sz w:val="18"/>
          <w:szCs w:val="18"/>
        </w:rPr>
        <w:t xml:space="preserve"> </w:t>
      </w:r>
      <w:r w:rsidRPr="00700A7A">
        <w:rPr>
          <w:snapToGrid w:val="0"/>
          <w:sz w:val="18"/>
          <w:szCs w:val="18"/>
        </w:rPr>
        <w:t>appointment,</w:t>
      </w:r>
      <w:r w:rsidRPr="00700A7A">
        <w:rPr>
          <w:snapToGrid w:val="0"/>
          <w:spacing w:val="32"/>
          <w:sz w:val="18"/>
          <w:szCs w:val="18"/>
        </w:rPr>
        <w:t xml:space="preserve"> </w:t>
      </w:r>
      <w:r w:rsidRPr="00700A7A">
        <w:rPr>
          <w:snapToGrid w:val="0"/>
          <w:spacing w:val="-1"/>
          <w:sz w:val="18"/>
          <w:szCs w:val="18"/>
        </w:rPr>
        <w:t>oral</w:t>
      </w:r>
      <w:r w:rsidRPr="00700A7A">
        <w:rPr>
          <w:snapToGrid w:val="0"/>
          <w:spacing w:val="101"/>
          <w:sz w:val="18"/>
          <w:szCs w:val="18"/>
        </w:rPr>
        <w:t xml:space="preserve"> </w:t>
      </w:r>
      <w:r w:rsidRPr="00700A7A">
        <w:rPr>
          <w:snapToGrid w:val="0"/>
          <w:sz w:val="18"/>
          <w:szCs w:val="18"/>
        </w:rPr>
        <w:t>presentation</w:t>
      </w:r>
      <w:r w:rsidRPr="00700A7A">
        <w:rPr>
          <w:snapToGrid w:val="0"/>
          <w:spacing w:val="20"/>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z w:val="18"/>
          <w:szCs w:val="18"/>
        </w:rPr>
        <w:t>the</w:t>
      </w:r>
      <w:r w:rsidRPr="00700A7A">
        <w:rPr>
          <w:snapToGrid w:val="0"/>
          <w:spacing w:val="23"/>
          <w:sz w:val="18"/>
          <w:szCs w:val="18"/>
        </w:rPr>
        <w:t xml:space="preserve"> </w:t>
      </w:r>
      <w:r w:rsidRPr="00700A7A">
        <w:rPr>
          <w:i/>
          <w:iCs/>
          <w:snapToGrid w:val="0"/>
          <w:spacing w:val="-1"/>
          <w:sz w:val="18"/>
          <w:szCs w:val="18"/>
        </w:rPr>
        <w:t>Louisiana</w:t>
      </w:r>
      <w:r w:rsidRPr="00700A7A">
        <w:rPr>
          <w:i/>
          <w:iCs/>
          <w:snapToGrid w:val="0"/>
          <w:spacing w:val="23"/>
          <w:sz w:val="18"/>
          <w:szCs w:val="18"/>
        </w:rPr>
        <w:t xml:space="preserve"> </w:t>
      </w:r>
      <w:r w:rsidRPr="00700A7A">
        <w:rPr>
          <w:i/>
          <w:iCs/>
          <w:snapToGrid w:val="0"/>
          <w:spacing w:val="-1"/>
          <w:sz w:val="18"/>
          <w:szCs w:val="18"/>
        </w:rPr>
        <w:t>Register</w:t>
      </w:r>
      <w:r w:rsidRPr="00700A7A">
        <w:rPr>
          <w:i/>
          <w:iCs/>
          <w:snapToGrid w:val="0"/>
          <w:spacing w:val="22"/>
          <w:sz w:val="18"/>
          <w:szCs w:val="18"/>
        </w:rPr>
        <w:t xml:space="preserve"> </w:t>
      </w:r>
      <w:r w:rsidRPr="00700A7A">
        <w:rPr>
          <w:snapToGrid w:val="0"/>
          <w:sz w:val="18"/>
          <w:szCs w:val="18"/>
        </w:rPr>
        <w:t>is</w:t>
      </w:r>
      <w:r w:rsidRPr="00700A7A">
        <w:rPr>
          <w:snapToGrid w:val="0"/>
          <w:spacing w:val="21"/>
          <w:sz w:val="18"/>
          <w:szCs w:val="18"/>
        </w:rPr>
        <w:t xml:space="preserve"> </w:t>
      </w:r>
      <w:r w:rsidRPr="00700A7A">
        <w:rPr>
          <w:snapToGrid w:val="0"/>
          <w:spacing w:val="-1"/>
          <w:sz w:val="18"/>
          <w:szCs w:val="18"/>
        </w:rPr>
        <w:t>available</w:t>
      </w:r>
      <w:r w:rsidRPr="00700A7A">
        <w:rPr>
          <w:snapToGrid w:val="0"/>
          <w:spacing w:val="21"/>
          <w:sz w:val="18"/>
          <w:szCs w:val="18"/>
        </w:rPr>
        <w:t xml:space="preserve"> </w:t>
      </w:r>
      <w:r w:rsidRPr="00700A7A">
        <w:rPr>
          <w:snapToGrid w:val="0"/>
          <w:spacing w:val="-1"/>
          <w:sz w:val="18"/>
          <w:szCs w:val="18"/>
        </w:rPr>
        <w:t>at</w:t>
      </w:r>
      <w:r w:rsidRPr="00700A7A">
        <w:rPr>
          <w:snapToGrid w:val="0"/>
          <w:spacing w:val="22"/>
          <w:sz w:val="18"/>
          <w:szCs w:val="18"/>
        </w:rPr>
        <w:t xml:space="preserve"> </w:t>
      </w:r>
      <w:r w:rsidRPr="00700A7A">
        <w:rPr>
          <w:snapToGrid w:val="0"/>
          <w:sz w:val="18"/>
          <w:szCs w:val="18"/>
        </w:rPr>
        <w:t>the</w:t>
      </w:r>
      <w:r w:rsidRPr="00700A7A">
        <w:rPr>
          <w:snapToGrid w:val="0"/>
          <w:spacing w:val="21"/>
          <w:sz w:val="18"/>
          <w:szCs w:val="18"/>
        </w:rPr>
        <w:t xml:space="preserve"> </w:t>
      </w:r>
      <w:r w:rsidRPr="00700A7A">
        <w:rPr>
          <w:snapToGrid w:val="0"/>
          <w:spacing w:val="-2"/>
          <w:sz w:val="18"/>
          <w:szCs w:val="18"/>
        </w:rPr>
        <w:t>Office</w:t>
      </w:r>
      <w:r w:rsidRPr="00700A7A">
        <w:rPr>
          <w:snapToGrid w:val="0"/>
          <w:spacing w:val="23"/>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z w:val="18"/>
          <w:szCs w:val="18"/>
        </w:rPr>
        <w:t>the</w:t>
      </w:r>
      <w:r w:rsidRPr="00700A7A">
        <w:rPr>
          <w:snapToGrid w:val="0"/>
          <w:spacing w:val="21"/>
          <w:sz w:val="18"/>
          <w:szCs w:val="18"/>
        </w:rPr>
        <w:t xml:space="preserve"> </w:t>
      </w:r>
      <w:r w:rsidRPr="00700A7A">
        <w:rPr>
          <w:snapToGrid w:val="0"/>
          <w:sz w:val="18"/>
          <w:szCs w:val="18"/>
        </w:rPr>
        <w:t>State</w:t>
      </w:r>
      <w:r w:rsidRPr="00700A7A">
        <w:rPr>
          <w:snapToGrid w:val="0"/>
          <w:spacing w:val="21"/>
          <w:sz w:val="18"/>
          <w:szCs w:val="18"/>
        </w:rPr>
        <w:t xml:space="preserve"> </w:t>
      </w:r>
      <w:r w:rsidRPr="00700A7A">
        <w:rPr>
          <w:snapToGrid w:val="0"/>
          <w:spacing w:val="-2"/>
          <w:sz w:val="18"/>
          <w:szCs w:val="18"/>
        </w:rPr>
        <w:t>Register,</w:t>
      </w:r>
      <w:r w:rsidRPr="00700A7A">
        <w:rPr>
          <w:snapToGrid w:val="0"/>
          <w:spacing w:val="22"/>
          <w:sz w:val="18"/>
          <w:szCs w:val="18"/>
        </w:rPr>
        <w:t xml:space="preserve"> </w:t>
      </w:r>
      <w:r w:rsidRPr="00700A7A">
        <w:rPr>
          <w:snapToGrid w:val="0"/>
          <w:sz w:val="18"/>
          <w:szCs w:val="18"/>
        </w:rPr>
        <w:t>or</w:t>
      </w:r>
      <w:r w:rsidRPr="00700A7A">
        <w:rPr>
          <w:snapToGrid w:val="0"/>
          <w:spacing w:val="22"/>
          <w:sz w:val="18"/>
          <w:szCs w:val="18"/>
        </w:rPr>
        <w:t xml:space="preserve"> </w:t>
      </w:r>
      <w:r w:rsidRPr="00700A7A">
        <w:rPr>
          <w:snapToGrid w:val="0"/>
          <w:spacing w:val="-1"/>
          <w:sz w:val="18"/>
          <w:szCs w:val="18"/>
        </w:rPr>
        <w:t>an</w:t>
      </w:r>
      <w:r w:rsidRPr="00700A7A">
        <w:rPr>
          <w:snapToGrid w:val="0"/>
          <w:spacing w:val="20"/>
          <w:sz w:val="18"/>
          <w:szCs w:val="18"/>
        </w:rPr>
        <w:t xml:space="preserve"> </w:t>
      </w:r>
      <w:r w:rsidRPr="00700A7A">
        <w:rPr>
          <w:snapToGrid w:val="0"/>
          <w:spacing w:val="-1"/>
          <w:sz w:val="18"/>
          <w:szCs w:val="18"/>
        </w:rPr>
        <w:t>audio</w:t>
      </w:r>
      <w:r w:rsidRPr="00700A7A">
        <w:rPr>
          <w:snapToGrid w:val="0"/>
          <w:spacing w:val="23"/>
          <w:sz w:val="18"/>
          <w:szCs w:val="18"/>
        </w:rPr>
        <w:t xml:space="preserve"> </w:t>
      </w:r>
      <w:r w:rsidRPr="00700A7A">
        <w:rPr>
          <w:snapToGrid w:val="0"/>
          <w:spacing w:val="-1"/>
          <w:sz w:val="18"/>
          <w:szCs w:val="18"/>
        </w:rPr>
        <w:t>file</w:t>
      </w:r>
      <w:r w:rsidRPr="00700A7A">
        <w:rPr>
          <w:snapToGrid w:val="0"/>
          <w:spacing w:val="21"/>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pacing w:val="-1"/>
          <w:sz w:val="18"/>
          <w:szCs w:val="18"/>
        </w:rPr>
        <w:t>requested</w:t>
      </w:r>
      <w:r w:rsidRPr="00700A7A">
        <w:rPr>
          <w:snapToGrid w:val="0"/>
          <w:spacing w:val="23"/>
          <w:sz w:val="18"/>
          <w:szCs w:val="18"/>
        </w:rPr>
        <w:t xml:space="preserve"> </w:t>
      </w:r>
      <w:r w:rsidRPr="00700A7A">
        <w:rPr>
          <w:snapToGrid w:val="0"/>
          <w:spacing w:val="-1"/>
          <w:sz w:val="18"/>
          <w:szCs w:val="18"/>
        </w:rPr>
        <w:t>sections</w:t>
      </w:r>
      <w:r w:rsidRPr="00700A7A">
        <w:rPr>
          <w:snapToGrid w:val="0"/>
          <w:spacing w:val="19"/>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pacing w:val="-1"/>
          <w:sz w:val="18"/>
          <w:szCs w:val="18"/>
        </w:rPr>
        <w:t>the</w:t>
      </w:r>
      <w:r w:rsidRPr="00700A7A">
        <w:rPr>
          <w:snapToGrid w:val="0"/>
          <w:spacing w:val="26"/>
          <w:sz w:val="18"/>
          <w:szCs w:val="18"/>
        </w:rPr>
        <w:t xml:space="preserve"> </w:t>
      </w:r>
      <w:r w:rsidRPr="00700A7A">
        <w:rPr>
          <w:i/>
          <w:iCs/>
          <w:snapToGrid w:val="0"/>
          <w:spacing w:val="-1"/>
          <w:sz w:val="18"/>
          <w:szCs w:val="18"/>
        </w:rPr>
        <w:t>Louisiana</w:t>
      </w:r>
      <w:r w:rsidRPr="00700A7A">
        <w:rPr>
          <w:i/>
          <w:iCs/>
          <w:snapToGrid w:val="0"/>
          <w:spacing w:val="131"/>
          <w:sz w:val="18"/>
          <w:szCs w:val="18"/>
        </w:rPr>
        <w:t xml:space="preserve"> </w:t>
      </w:r>
      <w:r w:rsidRPr="00700A7A">
        <w:rPr>
          <w:i/>
          <w:iCs/>
          <w:snapToGrid w:val="0"/>
          <w:sz w:val="18"/>
          <w:szCs w:val="18"/>
        </w:rPr>
        <w:t xml:space="preserve">Register </w:t>
      </w:r>
      <w:r w:rsidRPr="00700A7A">
        <w:rPr>
          <w:snapToGrid w:val="0"/>
          <w:spacing w:val="-1"/>
          <w:sz w:val="18"/>
          <w:szCs w:val="18"/>
        </w:rPr>
        <w:t>can</w:t>
      </w:r>
      <w:r w:rsidRPr="00700A7A">
        <w:rPr>
          <w:snapToGrid w:val="0"/>
          <w:spacing w:val="1"/>
          <w:sz w:val="18"/>
          <w:szCs w:val="18"/>
        </w:rPr>
        <w:t xml:space="preserve"> </w:t>
      </w:r>
      <w:r w:rsidRPr="00700A7A">
        <w:rPr>
          <w:snapToGrid w:val="0"/>
          <w:sz w:val="18"/>
          <w:szCs w:val="18"/>
        </w:rPr>
        <w:t>be</w:t>
      </w:r>
      <w:r w:rsidRPr="00700A7A">
        <w:rPr>
          <w:snapToGrid w:val="0"/>
          <w:spacing w:val="-1"/>
          <w:sz w:val="18"/>
          <w:szCs w:val="18"/>
        </w:rPr>
        <w:t xml:space="preserve"> provided for</w:t>
      </w:r>
      <w:r w:rsidRPr="00700A7A">
        <w:rPr>
          <w:snapToGrid w:val="0"/>
          <w:sz w:val="18"/>
          <w:szCs w:val="18"/>
        </w:rPr>
        <w:t xml:space="preserve"> the</w:t>
      </w:r>
      <w:r w:rsidRPr="00700A7A">
        <w:rPr>
          <w:snapToGrid w:val="0"/>
          <w:spacing w:val="-1"/>
          <w:sz w:val="18"/>
          <w:szCs w:val="18"/>
        </w:rPr>
        <w:t xml:space="preserve"> production</w:t>
      </w:r>
      <w:r w:rsidRPr="00700A7A">
        <w:rPr>
          <w:snapToGrid w:val="0"/>
          <w:spacing w:val="1"/>
          <w:sz w:val="18"/>
          <w:szCs w:val="18"/>
        </w:rPr>
        <w:t xml:space="preserve"> </w:t>
      </w:r>
      <w:r w:rsidRPr="00700A7A">
        <w:rPr>
          <w:snapToGrid w:val="0"/>
          <w:sz w:val="18"/>
          <w:szCs w:val="18"/>
        </w:rPr>
        <w:t xml:space="preserve">cost </w:t>
      </w:r>
      <w:r w:rsidRPr="00700A7A">
        <w:rPr>
          <w:snapToGrid w:val="0"/>
          <w:spacing w:val="-1"/>
          <w:sz w:val="18"/>
          <w:szCs w:val="18"/>
        </w:rPr>
        <w:t>incurred.</w:t>
      </w:r>
      <w:r w:rsidRPr="00700A7A">
        <w:rPr>
          <w:snapToGrid w:val="0"/>
          <w:sz w:val="18"/>
          <w:szCs w:val="18"/>
        </w:rPr>
        <w:t xml:space="preserve"> </w:t>
      </w:r>
      <w:r w:rsidRPr="00700A7A">
        <w:rPr>
          <w:snapToGrid w:val="0"/>
          <w:spacing w:val="-1"/>
          <w:sz w:val="18"/>
          <w:szCs w:val="18"/>
        </w:rPr>
        <w:t>For</w:t>
      </w:r>
      <w:r w:rsidRPr="00700A7A">
        <w:rPr>
          <w:snapToGrid w:val="0"/>
          <w:sz w:val="18"/>
          <w:szCs w:val="18"/>
        </w:rPr>
        <w:t xml:space="preserve"> </w:t>
      </w:r>
      <w:r w:rsidRPr="00700A7A">
        <w:rPr>
          <w:snapToGrid w:val="0"/>
          <w:spacing w:val="-1"/>
          <w:sz w:val="18"/>
          <w:szCs w:val="18"/>
        </w:rPr>
        <w:t>more information,</w:t>
      </w:r>
      <w:r w:rsidRPr="00700A7A">
        <w:rPr>
          <w:snapToGrid w:val="0"/>
          <w:sz w:val="18"/>
          <w:szCs w:val="18"/>
        </w:rPr>
        <w:t xml:space="preserve"> </w:t>
      </w:r>
      <w:r w:rsidRPr="00700A7A">
        <w:rPr>
          <w:snapToGrid w:val="0"/>
          <w:spacing w:val="-1"/>
          <w:sz w:val="18"/>
          <w:szCs w:val="18"/>
        </w:rPr>
        <w:t>contact the Office of the State Register.</w:t>
      </w:r>
    </w:p>
    <w:p w14:paraId="05393744" w14:textId="77777777" w:rsidR="00700A7A" w:rsidRDefault="00700A7A" w:rsidP="00E61A9D">
      <w:pPr>
        <w:pStyle w:val="RegSectionTitle"/>
        <w:sectPr w:rsidR="00700A7A" w:rsidSect="00700A7A">
          <w:footerReference w:type="even" r:id="rId7"/>
          <w:footerReference w:type="default" r:id="rId8"/>
          <w:type w:val="continuous"/>
          <w:pgSz w:w="12240" w:h="15840"/>
          <w:pgMar w:top="720" w:right="864" w:bottom="864" w:left="864" w:header="576" w:footer="432" w:gutter="0"/>
          <w:pgNumType w:fmt="lowerRoman" w:start="1"/>
          <w:cols w:space="720"/>
          <w:docGrid w:linePitch="272"/>
        </w:sectPr>
      </w:pPr>
    </w:p>
    <w:p w14:paraId="7F09D955" w14:textId="77777777" w:rsidR="00700A7A" w:rsidRDefault="00700A7A" w:rsidP="00E61A9D">
      <w:pPr>
        <w:pStyle w:val="RegSectionTitle"/>
        <w:sectPr w:rsidR="00700A7A" w:rsidSect="00700A7A">
          <w:footerReference w:type="even" r:id="rId9"/>
          <w:type w:val="evenPage"/>
          <w:pgSz w:w="12240" w:h="15840"/>
          <w:pgMar w:top="720" w:right="864" w:bottom="864" w:left="864" w:header="576" w:footer="432" w:gutter="0"/>
          <w:pgNumType w:start="1466"/>
          <w:cols w:space="720"/>
          <w:docGrid w:linePitch="272"/>
        </w:sectPr>
      </w:pPr>
    </w:p>
    <w:p w14:paraId="7CFDE2A4" w14:textId="7ED53ED7" w:rsidR="00E61A9D" w:rsidRPr="00E61A9D" w:rsidRDefault="00E61A9D" w:rsidP="00E61A9D">
      <w:pPr>
        <w:pStyle w:val="RegSectionTitle"/>
      </w:pPr>
      <w:r>
        <w:t>Executive Orders</w:t>
      </w:r>
    </w:p>
    <w:p w14:paraId="32ECB1D4" w14:textId="7FB375E7" w:rsidR="00E61A9D" w:rsidRPr="00E61A9D" w:rsidRDefault="00E61A9D" w:rsidP="00E61A9D"/>
    <w:p w14:paraId="3D6EDC6B" w14:textId="77777777" w:rsidR="00E61A9D" w:rsidRPr="00E61A9D" w:rsidRDefault="00E61A9D" w:rsidP="00E61A9D"/>
    <w:p w14:paraId="610ADCDF" w14:textId="77777777" w:rsidR="00E61A9D" w:rsidRPr="00E61A9D" w:rsidRDefault="00E61A9D" w:rsidP="00E61A9D">
      <w:pPr>
        <w:sectPr w:rsidR="00E61A9D" w:rsidRPr="00E61A9D" w:rsidSect="00700A7A">
          <w:type w:val="continuous"/>
          <w:pgSz w:w="12240" w:h="15840"/>
          <w:pgMar w:top="720" w:right="864" w:bottom="864" w:left="864" w:header="576" w:footer="432" w:gutter="0"/>
          <w:pgNumType w:start="1466"/>
          <w:cols w:space="720"/>
          <w:docGrid w:linePitch="272"/>
        </w:sectPr>
      </w:pPr>
    </w:p>
    <w:p w14:paraId="375134A5" w14:textId="77777777" w:rsidR="00E61A9D" w:rsidRDefault="00E61A9D" w:rsidP="00511BC2">
      <w:pPr>
        <w:pStyle w:val="RegItemFirstLine"/>
      </w:pPr>
      <w:bookmarkStart w:id="5" w:name="MergeStartHere"/>
      <w:bookmarkStart w:id="6" w:name="TextCutPoint"/>
      <w:bookmarkEnd w:id="5"/>
      <w:r>
        <w:t>EXECUTIVE ORDER JML 26-076</w:t>
      </w:r>
    </w:p>
    <w:p w14:paraId="415D6174" w14:textId="77777777" w:rsidR="00E61A9D" w:rsidRPr="00770637" w:rsidRDefault="00E61A9D" w:rsidP="00C81B24">
      <w:pPr>
        <w:pStyle w:val="RegItemTitle"/>
      </w:pPr>
      <w:r w:rsidRPr="00770637">
        <w:t>Amended Louisiana Rural Health</w:t>
      </w:r>
      <w:r>
        <w:br/>
      </w:r>
      <w:r w:rsidRPr="00770637">
        <w:t>Transformation Program</w:t>
      </w:r>
    </w:p>
    <w:p w14:paraId="36706BDE" w14:textId="77777777" w:rsidR="00E61A9D" w:rsidRPr="00770637" w:rsidRDefault="00E61A9D" w:rsidP="00511BC2">
      <w:pPr>
        <w:pStyle w:val="ExoNormal"/>
      </w:pPr>
      <w:r w:rsidRPr="00770637">
        <w:t>WHEREAS, Louisiana ranks 50th in national health rankings, taking the spot as the “least healthy state” in the United States based on 49 measures across five categories of health, including social and economic factors, physical environment, clinical care, behaviors, and health outcomes;</w:t>
      </w:r>
    </w:p>
    <w:p w14:paraId="11E6FD7E" w14:textId="77777777" w:rsidR="00E61A9D" w:rsidRPr="00770637" w:rsidRDefault="00E61A9D" w:rsidP="00511BC2">
      <w:pPr>
        <w:pStyle w:val="ExoNormal"/>
      </w:pPr>
      <w:r w:rsidRPr="00770637">
        <w:t>WHEREAS, nearly 1.1 million Louisiana residents (23.8% of the population) live in rural parishes, with 37% covered by Medicaid and 22% covered by Medicare;</w:t>
      </w:r>
    </w:p>
    <w:p w14:paraId="65977614" w14:textId="77777777" w:rsidR="00E61A9D" w:rsidRPr="00770637" w:rsidRDefault="00E61A9D" w:rsidP="00511BC2">
      <w:pPr>
        <w:pStyle w:val="ExoNormal"/>
      </w:pPr>
      <w:r w:rsidRPr="00770637">
        <w:t>WHEREAS, residents in rural areas travel an average of 7 miles to hospitals, 20 miles to clinics, and 12 miles to pharmacies, compared to much shorter distances in non-rural areas, translating into 13.5 healthcare facilities per 100,000 rural residents;</w:t>
      </w:r>
    </w:p>
    <w:p w14:paraId="7E99DD04" w14:textId="77777777" w:rsidR="00E61A9D" w:rsidRPr="00770637" w:rsidRDefault="00E61A9D" w:rsidP="00511BC2">
      <w:pPr>
        <w:pStyle w:val="ExoNormal"/>
      </w:pPr>
      <w:r w:rsidRPr="00770637">
        <w:t>WHEREAS, with 75% of rural hospitals not offering labor and delivery services, access gaps threaten both maternal and neonatal outcomes;</w:t>
      </w:r>
    </w:p>
    <w:p w14:paraId="6FC0D70A" w14:textId="77777777" w:rsidR="00E61A9D" w:rsidRPr="00770637" w:rsidRDefault="00E61A9D" w:rsidP="00511BC2">
      <w:pPr>
        <w:pStyle w:val="ExoNormal"/>
      </w:pPr>
      <w:r w:rsidRPr="00770637">
        <w:t xml:space="preserve">WHEREAS, compared to urban populations, residents of rural Louisiana experience disproportionately higher rates of chronic and adverse health conditions, including hypertension (44%), obesity (43%), heart disease (9.2%), diabetes (17%), chronic obstructive pulmonary disease (11%), and lung cancer prevalence (68%); </w:t>
      </w:r>
    </w:p>
    <w:p w14:paraId="54068CBF" w14:textId="77777777" w:rsidR="00E61A9D" w:rsidRPr="00770637" w:rsidRDefault="00E61A9D" w:rsidP="00511BC2">
      <w:pPr>
        <w:pStyle w:val="ExoNormal"/>
      </w:pPr>
      <w:r w:rsidRPr="00770637">
        <w:t xml:space="preserve">WHEREAS, rural residents face significantly elevated maternal health risks, including a maternal mortality rate of 37%, which is 14 percentage points higher than the national average, and with approximately 12% lacking access to a birthing hospital within 30 minutes of their residence, compared to roughly 10% nationwide; </w:t>
      </w:r>
    </w:p>
    <w:p w14:paraId="1A526DCE" w14:textId="77777777" w:rsidR="00E61A9D" w:rsidRPr="00770637" w:rsidRDefault="00E61A9D" w:rsidP="00511BC2">
      <w:pPr>
        <w:pStyle w:val="ExoNormal"/>
      </w:pPr>
      <w:r w:rsidRPr="00770637">
        <w:t xml:space="preserve">WHEREAS, 42 USC 254c was enacted by the Federal Government to provide grants for expanded delivery of health care services in rural areas, for the planning and implementation of integrated health care networks in rural areas, and for the planning and implementation of small health care provider quality improvement activities; </w:t>
      </w:r>
    </w:p>
    <w:p w14:paraId="674B3952" w14:textId="77777777" w:rsidR="00E61A9D" w:rsidRPr="00770637" w:rsidRDefault="00E61A9D" w:rsidP="00511BC2">
      <w:pPr>
        <w:pStyle w:val="ExoNormal"/>
      </w:pPr>
      <w:r w:rsidRPr="00770637">
        <w:t>WHEREAS, Louisiana Department of Health has applied for the Rural Health Transformation Program to the Centers for Medicare &amp; Medicaid Services;</w:t>
      </w:r>
    </w:p>
    <w:p w14:paraId="4BE2F58D" w14:textId="77777777" w:rsidR="00E61A9D" w:rsidRPr="00770637" w:rsidRDefault="00E61A9D" w:rsidP="00511BC2">
      <w:pPr>
        <w:pStyle w:val="ExoNormal"/>
      </w:pPr>
      <w:r w:rsidRPr="00770637">
        <w:t xml:space="preserve">WHEREAS, a Louisiana Rural Health Transformation Program grounded in the core principles and strategic goals of the federal Rural Health Transformation Program, will support rural communities across Louisiana; </w:t>
      </w:r>
    </w:p>
    <w:p w14:paraId="5CF2F83D" w14:textId="77777777" w:rsidR="00E61A9D" w:rsidRPr="00770637" w:rsidRDefault="00E61A9D" w:rsidP="00511BC2">
      <w:pPr>
        <w:pStyle w:val="ExoNormal"/>
      </w:pPr>
      <w:r w:rsidRPr="00770637">
        <w:t xml:space="preserve">WHEREAS, the Louisiana Rural Health Transformation Program will focus on three key areas: improving population health outcomes; expanding access to care; and strengthening system capacity; </w:t>
      </w:r>
    </w:p>
    <w:p w14:paraId="702A2A14" w14:textId="05A0B46F" w:rsidR="00E61A9D" w:rsidRPr="00770637" w:rsidRDefault="00E61A9D" w:rsidP="00511BC2">
      <w:pPr>
        <w:pStyle w:val="ExoNormal"/>
      </w:pPr>
      <w:r w:rsidRPr="00770637">
        <w:rPr>
          <w:bCs/>
        </w:rPr>
        <w:t>WHEREAS,</w:t>
      </w:r>
      <w:r w:rsidRPr="00770637">
        <w:t xml:space="preserve"> these efforts will aim to reduce uncontrolled chronic diseases and support earlier detection and management of conditions such as diabetes, hypertension, and cancer; decrease emergency department visits and </w:t>
      </w:r>
      <w:r w:rsidR="00B852FC">
        <w:br w:type="column"/>
      </w:r>
      <w:r w:rsidRPr="00770637">
        <w:t>preventable hospitalizations while increasing preventive care and access to behavioral health services in underserved rural parishes; and strengthen the rural healthcare workforce and modernize care delivery through education partnerships, targeted recruitment, and expanded use of technology; and</w:t>
      </w:r>
    </w:p>
    <w:p w14:paraId="1C9D2D04" w14:textId="77777777" w:rsidR="00E61A9D" w:rsidRPr="00770637" w:rsidRDefault="00E61A9D" w:rsidP="00511BC2">
      <w:pPr>
        <w:pStyle w:val="ExoNormal"/>
      </w:pPr>
      <w:r w:rsidRPr="00770637">
        <w:rPr>
          <w:bCs/>
        </w:rPr>
        <w:t>WHEREAS,</w:t>
      </w:r>
      <w:r w:rsidRPr="00770637">
        <w:t xml:space="preserve"> through these investments the Louisiana Rural Health Transformation Program will expand access, strengthen provider capacity and improve outcomes for Louisiana’s 1.1 million rural residents;</w:t>
      </w:r>
    </w:p>
    <w:p w14:paraId="54D4ADB8" w14:textId="77777777" w:rsidR="00E61A9D" w:rsidRPr="00770637" w:rsidRDefault="00E61A9D" w:rsidP="00511BC2">
      <w:pPr>
        <w:pStyle w:val="ExoNormal"/>
      </w:pPr>
      <w:r w:rsidRPr="00770637">
        <w:rPr>
          <w:bCs/>
        </w:rPr>
        <w:t xml:space="preserve">WHEREAS, </w:t>
      </w:r>
      <w:r w:rsidRPr="00770637">
        <w:t>it is necessary to amend JML 26-032 issued on April 7, 2026;</w:t>
      </w:r>
    </w:p>
    <w:p w14:paraId="7E195FAE" w14:textId="77777777" w:rsidR="00E61A9D" w:rsidRPr="00770637" w:rsidRDefault="00E61A9D" w:rsidP="00511BC2">
      <w:pPr>
        <w:pStyle w:val="ExoNormal"/>
      </w:pPr>
      <w:r w:rsidRPr="00770637">
        <w:t>NOW THEREFORE, I, JEFF LANDRY, Governor of the State of Louisiana, by virtue of the authority vested by the Constitution and laws of the State of Louisiana, order and direct as follows:</w:t>
      </w:r>
    </w:p>
    <w:p w14:paraId="2E788F5F" w14:textId="77777777" w:rsidR="00E61A9D" w:rsidRPr="00770637" w:rsidRDefault="00E61A9D" w:rsidP="00C81B24">
      <w:pPr>
        <w:pStyle w:val="1"/>
      </w:pPr>
      <w:r w:rsidRPr="00770637">
        <w:t>Section 1:</w:t>
      </w:r>
      <w:r w:rsidRPr="00770637">
        <w:tab/>
        <w:t>The Office of Rural Health Transformation and Sustainability is hereby created within the Office of the Secretary in Louisiana Department of Health and shall, through the Louisiana Rural Health Transformation Program, prioritize and pursue the following initiatives:</w:t>
      </w:r>
    </w:p>
    <w:p w14:paraId="6220FE69" w14:textId="77777777" w:rsidR="00E61A9D" w:rsidRPr="00770637" w:rsidRDefault="00E61A9D" w:rsidP="00C81B24">
      <w:pPr>
        <w:pStyle w:val="1"/>
      </w:pPr>
      <w:r>
        <w:t>1.</w:t>
      </w:r>
      <w:r>
        <w:tab/>
      </w:r>
      <w:r w:rsidRPr="00770637">
        <w:t>Strengthen and sustain a stable rural healthcare workforce by partnering with educational institutions and the private sector to expand healthcare education, training, and career pathways.</w:t>
      </w:r>
    </w:p>
    <w:p w14:paraId="26CCE640" w14:textId="77777777" w:rsidR="00E61A9D" w:rsidRPr="00770637" w:rsidRDefault="00E61A9D" w:rsidP="00C81B24">
      <w:pPr>
        <w:pStyle w:val="1"/>
      </w:pPr>
      <w:r>
        <w:t>2.</w:t>
      </w:r>
      <w:r>
        <w:tab/>
      </w:r>
      <w:r w:rsidRPr="00770637">
        <w:t>Develop and implement a unified health technology ecosystem that enhances data sharing among healthcare providers, Medicaid, and public health systems to accelerate diagnosis, treatment, and improved health outcomes.</w:t>
      </w:r>
    </w:p>
    <w:p w14:paraId="1DA9F281" w14:textId="77777777" w:rsidR="00E61A9D" w:rsidRPr="00770637" w:rsidRDefault="00E61A9D" w:rsidP="00C81B24">
      <w:pPr>
        <w:pStyle w:val="1"/>
      </w:pPr>
      <w:r>
        <w:t>3.</w:t>
      </w:r>
      <w:r>
        <w:tab/>
      </w:r>
      <w:r w:rsidRPr="00770637">
        <w:t>Promote and implement innovative, outcomes-driven care models for underserved and hard-to-reach populations through community-based partnerships.</w:t>
      </w:r>
    </w:p>
    <w:p w14:paraId="1BC8FCC2" w14:textId="77777777" w:rsidR="00E61A9D" w:rsidRPr="00770637" w:rsidRDefault="00E61A9D" w:rsidP="00C81B24">
      <w:pPr>
        <w:pStyle w:val="1"/>
      </w:pPr>
      <w:r>
        <w:t>4.</w:t>
      </w:r>
      <w:r>
        <w:tab/>
      </w:r>
      <w:r w:rsidRPr="00770637">
        <w:t>Integrate nutrition into healthcare delivery by improving access to healthy foods and providing education on nutrition and chronic disease management, including conditions such as diabetes.</w:t>
      </w:r>
    </w:p>
    <w:p w14:paraId="0895534E" w14:textId="77777777" w:rsidR="00E61A9D" w:rsidRPr="00770637" w:rsidRDefault="00E61A9D" w:rsidP="00C81B24">
      <w:pPr>
        <w:pStyle w:val="1"/>
      </w:pPr>
      <w:r>
        <w:t>5.</w:t>
      </w:r>
      <w:r>
        <w:tab/>
      </w:r>
      <w:r w:rsidRPr="00770637">
        <w:t>Align and coordinate fragmented healthcare services into an integrated delivery framework that ensures rural residents can access care through a consistent and cohesive model.</w:t>
      </w:r>
    </w:p>
    <w:p w14:paraId="63A98CFC" w14:textId="77777777" w:rsidR="00E61A9D" w:rsidRPr="00770637" w:rsidRDefault="00E61A9D" w:rsidP="00C81B24">
      <w:pPr>
        <w:pStyle w:val="1"/>
      </w:pPr>
      <w:r>
        <w:t>6.</w:t>
      </w:r>
      <w:r>
        <w:tab/>
      </w:r>
      <w:r w:rsidRPr="00770637">
        <w:t>Advance capital improvement initiatives to modernize rural healthcare facilities and equipment, improving both health outcomes and long-term facility sustainability.</w:t>
      </w:r>
    </w:p>
    <w:p w14:paraId="7A927B7B" w14:textId="77777777" w:rsidR="00E61A9D" w:rsidRPr="00770637" w:rsidRDefault="00E61A9D" w:rsidP="00511BC2">
      <w:pPr>
        <w:pStyle w:val="ExoNormal"/>
      </w:pPr>
      <w:r w:rsidRPr="00770637">
        <w:t>Section 2:</w:t>
      </w:r>
      <w:r w:rsidRPr="00770637">
        <w:rPr>
          <w:bCs/>
        </w:rPr>
        <w:tab/>
      </w:r>
      <w:r w:rsidRPr="00770637">
        <w:t>The Louisiana Rural Health Transformation Program Advisory Council (“Council”) is established within the Office of Rural Health Transformation and Sustainability.</w:t>
      </w:r>
    </w:p>
    <w:p w14:paraId="60981904" w14:textId="77777777" w:rsidR="00E61A9D" w:rsidRPr="00770637" w:rsidRDefault="00E61A9D" w:rsidP="00511BC2">
      <w:pPr>
        <w:pStyle w:val="ExoNormal"/>
      </w:pPr>
      <w:r w:rsidRPr="00770637">
        <w:t>Section 3:</w:t>
      </w:r>
      <w:r w:rsidRPr="00770637">
        <w:tab/>
        <w:t xml:space="preserve">The Council shall review quarterly and annual grant reports submitted to CMS and provide strategic guidance and stakeholder engagement on all reporting requirements. The Council will work to ensure that rural health transformation initiatives align with statewide priorities, reflect the needs of local communities, and advance sustainable, data-informed improvements in care delivery. The Council will support transparency, accountability, and </w:t>
      </w:r>
      <w:r w:rsidRPr="00770637">
        <w:lastRenderedPageBreak/>
        <w:t xml:space="preserve">coordination in the implementation of rural health initiatives and grant investments. </w:t>
      </w:r>
    </w:p>
    <w:p w14:paraId="460487B1" w14:textId="77777777" w:rsidR="00E61A9D" w:rsidRPr="00770637" w:rsidRDefault="00E61A9D" w:rsidP="00511BC2">
      <w:pPr>
        <w:pStyle w:val="ExoNormal"/>
      </w:pPr>
      <w:r w:rsidRPr="00770637">
        <w:t>Section 4:</w:t>
      </w:r>
      <w:r>
        <w:rPr>
          <w:bCs/>
        </w:rPr>
        <w:tab/>
      </w:r>
      <w:r w:rsidRPr="00770637">
        <w:t xml:space="preserve">The Council shall be composed of 11 members, who unless otherwise specified, shall be appointed by and serve at the pleasure of the Governor. The membership of the Council shall be as follows: </w:t>
      </w:r>
    </w:p>
    <w:p w14:paraId="36D677F4" w14:textId="77777777" w:rsidR="00E61A9D" w:rsidRPr="00770637" w:rsidRDefault="00E61A9D" w:rsidP="00C81B24">
      <w:pPr>
        <w:pStyle w:val="A0"/>
      </w:pPr>
      <w:r>
        <w:t>A.</w:t>
      </w:r>
      <w:r>
        <w:tab/>
      </w:r>
      <w:r w:rsidRPr="00770637">
        <w:t>The Secretary of the Louisiana Department of Health or their designee</w:t>
      </w:r>
    </w:p>
    <w:p w14:paraId="5CC49FA2" w14:textId="77777777" w:rsidR="00E61A9D" w:rsidRPr="00770637" w:rsidRDefault="00E61A9D" w:rsidP="00C81B24">
      <w:pPr>
        <w:pStyle w:val="A0"/>
      </w:pPr>
      <w:r>
        <w:t>B.</w:t>
      </w:r>
      <w:r>
        <w:tab/>
      </w:r>
      <w:r w:rsidRPr="00770637">
        <w:t>The Secretary of Louisiana Works or their designee</w:t>
      </w:r>
    </w:p>
    <w:p w14:paraId="7E2CFB70" w14:textId="77777777" w:rsidR="00E61A9D" w:rsidRPr="00770637" w:rsidRDefault="00E61A9D" w:rsidP="00C81B24">
      <w:pPr>
        <w:pStyle w:val="A0"/>
      </w:pPr>
      <w:r>
        <w:t>C.</w:t>
      </w:r>
      <w:r>
        <w:tab/>
      </w:r>
      <w:r w:rsidRPr="00770637">
        <w:t>The President of the Louisiana Community Technical College or their designee</w:t>
      </w:r>
    </w:p>
    <w:p w14:paraId="1EB705FB" w14:textId="77777777" w:rsidR="00E61A9D" w:rsidRPr="00770637" w:rsidRDefault="00E61A9D" w:rsidP="00C81B24">
      <w:pPr>
        <w:pStyle w:val="A0"/>
      </w:pPr>
      <w:r>
        <w:t>D.</w:t>
      </w:r>
      <w:r>
        <w:tab/>
      </w:r>
      <w:r w:rsidRPr="00770637">
        <w:t>The executive director of the Louisiana Rural Hospital Coalition or their designee</w:t>
      </w:r>
    </w:p>
    <w:p w14:paraId="6E6D1F42" w14:textId="77777777" w:rsidR="00E61A9D" w:rsidRPr="00770637" w:rsidRDefault="00E61A9D" w:rsidP="00C81B24">
      <w:pPr>
        <w:pStyle w:val="A0"/>
      </w:pPr>
      <w:r>
        <w:t>E.</w:t>
      </w:r>
      <w:r>
        <w:tab/>
      </w:r>
      <w:r w:rsidRPr="00770637">
        <w:t xml:space="preserve">The President of the Louisiana Independent Pharmacies Association or their designee </w:t>
      </w:r>
    </w:p>
    <w:p w14:paraId="6B552634" w14:textId="77777777" w:rsidR="00E61A9D" w:rsidRPr="00770637" w:rsidRDefault="00E61A9D" w:rsidP="00C81B24">
      <w:pPr>
        <w:pStyle w:val="A0"/>
      </w:pPr>
      <w:r>
        <w:t>F.</w:t>
      </w:r>
      <w:r>
        <w:tab/>
      </w:r>
      <w:r w:rsidRPr="00770637">
        <w:t>The Chair of the House Committee on Health and Welfare or their designee</w:t>
      </w:r>
    </w:p>
    <w:p w14:paraId="3CA78337" w14:textId="77777777" w:rsidR="00E61A9D" w:rsidRPr="00770637" w:rsidRDefault="00E61A9D" w:rsidP="00C81B24">
      <w:pPr>
        <w:pStyle w:val="A0"/>
      </w:pPr>
      <w:r>
        <w:t>G.</w:t>
      </w:r>
      <w:r>
        <w:tab/>
      </w:r>
      <w:r w:rsidRPr="00770637">
        <w:t>The Chair of the Senate Committee on Health and Welfare or their designee</w:t>
      </w:r>
    </w:p>
    <w:p w14:paraId="0161A53C" w14:textId="77777777" w:rsidR="00E61A9D" w:rsidRPr="00770637" w:rsidRDefault="00E61A9D" w:rsidP="00C81B24">
      <w:pPr>
        <w:pStyle w:val="A0"/>
      </w:pPr>
      <w:r>
        <w:t>H.</w:t>
      </w:r>
      <w:r>
        <w:tab/>
      </w:r>
      <w:r w:rsidRPr="00770637">
        <w:t>Four at-large members with demonstrated experience or active involvement in rural healthcare</w:t>
      </w:r>
    </w:p>
    <w:p w14:paraId="1A0C9084" w14:textId="77777777" w:rsidR="00E61A9D" w:rsidRPr="00770637" w:rsidRDefault="00E61A9D" w:rsidP="00C81B24">
      <w:pPr>
        <w:pStyle w:val="1"/>
      </w:pPr>
      <w:r w:rsidRPr="00770637">
        <w:t>Section 5:</w:t>
      </w:r>
      <w:r w:rsidRPr="00770637">
        <w:tab/>
        <w:t>The chair of the Council shall be the Secretary of the Louisiana Department of Health or their designee.</w:t>
      </w:r>
    </w:p>
    <w:p w14:paraId="6F10E7C0" w14:textId="77777777" w:rsidR="00E61A9D" w:rsidRPr="00770637" w:rsidRDefault="00E61A9D" w:rsidP="00C81B24">
      <w:pPr>
        <w:pStyle w:val="1"/>
      </w:pPr>
      <w:r w:rsidRPr="00770637">
        <w:t>Section 6:</w:t>
      </w:r>
      <w:r>
        <w:rPr>
          <w:bCs/>
        </w:rPr>
        <w:tab/>
      </w:r>
      <w:r w:rsidRPr="00770637">
        <w:t>The Council shall meet at regularly scheduled intervals and at the call of the chair.</w:t>
      </w:r>
    </w:p>
    <w:p w14:paraId="7697A73F" w14:textId="77777777" w:rsidR="00E61A9D" w:rsidRPr="00770637" w:rsidRDefault="00E61A9D" w:rsidP="00C81B24">
      <w:pPr>
        <w:pStyle w:val="1"/>
      </w:pPr>
      <w:r w:rsidRPr="00770637">
        <w:t>Section 7:</w:t>
      </w:r>
      <w:r>
        <w:rPr>
          <w:bCs/>
        </w:rPr>
        <w:tab/>
      </w:r>
      <w:r w:rsidRPr="00770637">
        <w:t>Council members shall not receive additional compensation or a per diem from the Louisiana Department of Health for serving on the Council.</w:t>
      </w:r>
    </w:p>
    <w:p w14:paraId="32F81319" w14:textId="77777777" w:rsidR="00E61A9D" w:rsidRPr="00770637" w:rsidRDefault="00E61A9D" w:rsidP="00511BC2">
      <w:pPr>
        <w:pStyle w:val="ExoNormal"/>
      </w:pPr>
      <w:r w:rsidRPr="00770637">
        <w:t xml:space="preserve">Council members who are employees or elected public officials of the State of Louisiana or a political subdivision thereof may seek reimbursement of travel expenses, in accordance with PPM 49, from their employing and/or elected department, agency and/or office. </w:t>
      </w:r>
    </w:p>
    <w:p w14:paraId="72017F9E" w14:textId="77777777" w:rsidR="00E61A9D" w:rsidRPr="00770637" w:rsidRDefault="00E61A9D" w:rsidP="00511BC2">
      <w:pPr>
        <w:pStyle w:val="ExoNormal"/>
      </w:pPr>
      <w:r w:rsidRPr="00770637">
        <w:t>Council members who are also members of the Louisiana Legislature may seek a per diem from the Louisiana State Senate or House of Representatives, as appropriate, for their attendance.</w:t>
      </w:r>
    </w:p>
    <w:p w14:paraId="3E89D2ED" w14:textId="77777777" w:rsidR="00E61A9D" w:rsidRPr="00770637" w:rsidRDefault="00E61A9D" w:rsidP="00511BC2">
      <w:pPr>
        <w:pStyle w:val="ExoNormal"/>
      </w:pPr>
      <w:r w:rsidRPr="00770637">
        <w:t>Section 8:</w:t>
      </w:r>
      <w:r w:rsidRPr="00770637">
        <w:tab/>
      </w:r>
      <w:r w:rsidRPr="00770637">
        <w:tab/>
        <w:t>Support staff, facilities, and resources for the Board shall be provided by the Louisiana Department of Health.</w:t>
      </w:r>
    </w:p>
    <w:p w14:paraId="486D91C2" w14:textId="77777777" w:rsidR="00E61A9D" w:rsidRPr="00770637" w:rsidRDefault="00E61A9D" w:rsidP="00511BC2">
      <w:pPr>
        <w:pStyle w:val="ExoNormal"/>
      </w:pPr>
      <w:r w:rsidRPr="00770637">
        <w:t>Section 9:</w:t>
      </w:r>
      <w:r w:rsidRPr="00770637">
        <w:tab/>
        <w:t>All departments, commissions, boards, offices, entities, agencies, and officers of the State of Louisiana, or any political subdivision thereof, are authorized and directed to cooperate with the Louisiana Department of Health and the Office of Rural Health Transformation and Sustainability in implementing the provisions of this Order.</w:t>
      </w:r>
    </w:p>
    <w:p w14:paraId="2E7D9A24" w14:textId="77777777" w:rsidR="00E61A9D" w:rsidRPr="00770637" w:rsidRDefault="00E61A9D" w:rsidP="00511BC2">
      <w:pPr>
        <w:pStyle w:val="ExoNormal"/>
      </w:pPr>
      <w:r w:rsidRPr="00770637">
        <w:t>Section 10:</w:t>
      </w:r>
      <w:r w:rsidRPr="00770637">
        <w:tab/>
        <w:t>This Order is effective upon signature and shall continue in effect until amended, modified, terminated or rescinded by the Governor, or terminated by operation of law.</w:t>
      </w:r>
    </w:p>
    <w:p w14:paraId="238F28AD" w14:textId="77777777" w:rsidR="00E61A9D" w:rsidRDefault="00E61A9D" w:rsidP="00511BC2">
      <w:pPr>
        <w:pStyle w:val="ExoNormal"/>
      </w:pPr>
      <w:r w:rsidRPr="00770637">
        <w:rPr>
          <w:bCs/>
        </w:rPr>
        <w:t xml:space="preserve">IN WITNESS WHEREOF, </w:t>
      </w:r>
      <w:r w:rsidRPr="00770637">
        <w:t>I have set my hand officially and caused to be affixed the Great Seal of Louisiana, at the Capitol, in the City of Baton Rouge, on this 10th day of August, 2026.</w:t>
      </w:r>
    </w:p>
    <w:p w14:paraId="46184745" w14:textId="77777777" w:rsidR="00E61A9D" w:rsidRDefault="00E61A9D" w:rsidP="00511BC2">
      <w:pPr>
        <w:pStyle w:val="RegSignature"/>
      </w:pPr>
      <w:bookmarkStart w:id="7" w:name="LastPara"/>
      <w:bookmarkStart w:id="8" w:name="FNoteInsertionPoint"/>
      <w:bookmarkEnd w:id="7"/>
      <w:bookmarkEnd w:id="8"/>
    </w:p>
    <w:p w14:paraId="2C72F46A" w14:textId="77777777" w:rsidR="00E61A9D" w:rsidRDefault="00E61A9D" w:rsidP="00511BC2">
      <w:pPr>
        <w:pStyle w:val="RegSignature"/>
      </w:pPr>
      <w:r>
        <w:t>Jeff Landry</w:t>
      </w:r>
    </w:p>
    <w:p w14:paraId="511751E3" w14:textId="77777777" w:rsidR="00E61A9D" w:rsidRDefault="00E61A9D" w:rsidP="00511BC2">
      <w:pPr>
        <w:pStyle w:val="RegSignature"/>
      </w:pPr>
      <w:r>
        <w:t>Governor</w:t>
      </w:r>
    </w:p>
    <w:p w14:paraId="06AD40F8" w14:textId="77777777" w:rsidR="00E61A9D" w:rsidRDefault="00E61A9D" w:rsidP="00511BC2">
      <w:pPr>
        <w:pStyle w:val="ExoSecOfState"/>
      </w:pPr>
      <w:r>
        <w:t>ATTEST BY</w:t>
      </w:r>
    </w:p>
    <w:p w14:paraId="3FA212DB" w14:textId="77777777" w:rsidR="00E61A9D" w:rsidRDefault="00E61A9D" w:rsidP="00511BC2">
      <w:pPr>
        <w:pStyle w:val="ExoSecOfState"/>
      </w:pPr>
      <w:r>
        <w:t>THE GOVERNOR</w:t>
      </w:r>
    </w:p>
    <w:p w14:paraId="47BA2E34" w14:textId="77777777" w:rsidR="00E61A9D" w:rsidRDefault="00E61A9D" w:rsidP="00511BC2">
      <w:pPr>
        <w:pStyle w:val="ExoSecOfState"/>
      </w:pPr>
      <w:r>
        <w:t>Nancy Landry</w:t>
      </w:r>
    </w:p>
    <w:p w14:paraId="4C8B6824" w14:textId="77777777" w:rsidR="00E61A9D" w:rsidRDefault="00E61A9D" w:rsidP="00511BC2">
      <w:pPr>
        <w:pStyle w:val="ExoSecOfState"/>
      </w:pPr>
      <w:r>
        <w:t>Secretary of State</w:t>
      </w:r>
    </w:p>
    <w:p w14:paraId="1B271275" w14:textId="77777777" w:rsidR="00E61A9D" w:rsidRPr="00770637" w:rsidRDefault="00E61A9D" w:rsidP="00511BC2">
      <w:pPr>
        <w:pStyle w:val="RegLogNumber"/>
      </w:pPr>
      <w:r>
        <w:t>2609#</w:t>
      </w:r>
      <w:bookmarkEnd w:id="6"/>
      <w:r>
        <w:t>081</w:t>
      </w:r>
    </w:p>
    <w:p w14:paraId="06CC18E3" w14:textId="77777777" w:rsidR="00E61A9D" w:rsidRDefault="00E61A9D" w:rsidP="0016002B">
      <w:pPr>
        <w:pStyle w:val="RegItemFirstLine"/>
      </w:pPr>
      <w:bookmarkStart w:id="9" w:name="ParasHere"/>
      <w:bookmarkEnd w:id="9"/>
      <w:r>
        <w:t>EXECUTIVE ORDER JML 26-077</w:t>
      </w:r>
    </w:p>
    <w:p w14:paraId="5EE3624D" w14:textId="77777777" w:rsidR="00E61A9D" w:rsidRDefault="00E61A9D" w:rsidP="0016002B">
      <w:pPr>
        <w:pStyle w:val="RegItemTitle"/>
      </w:pPr>
      <w:r w:rsidRPr="009F25D6">
        <w:t>Bond Allocation 2026 Ceiling Amendment</w:t>
      </w:r>
    </w:p>
    <w:p w14:paraId="543F19C2" w14:textId="77777777" w:rsidR="00E61A9D" w:rsidRPr="009F25D6" w:rsidRDefault="00E61A9D" w:rsidP="0016002B">
      <w:pPr>
        <w:pStyle w:val="ExoNormal"/>
      </w:pPr>
      <w:r w:rsidRPr="009F25D6">
        <w:rPr>
          <w:bCs/>
        </w:rPr>
        <w:t>WHEREAS,</w:t>
      </w:r>
      <w:r w:rsidRPr="009F25D6">
        <w:t xml:space="preserve"> Section 146 of the Internal Revenue Code of 1986 (hereafter the “Act”), as amended (hereafter the “Code”), restricts the total principal amount of certain private activity bonds (hereafter the “Bonds”) that exclude interest from gross income for federal income tax purposes under Section 103 of the Code;</w:t>
      </w:r>
    </w:p>
    <w:p w14:paraId="13CC1600" w14:textId="77777777" w:rsidR="00E61A9D" w:rsidRPr="009F25D6" w:rsidRDefault="00E61A9D" w:rsidP="0016002B">
      <w:pPr>
        <w:pStyle w:val="ExoNormal"/>
      </w:pPr>
      <w:r w:rsidRPr="009F25D6">
        <w:rPr>
          <w:bCs/>
        </w:rPr>
        <w:t>WHEREAS,</w:t>
      </w:r>
      <w:r w:rsidRPr="009F25D6">
        <w:t xml:space="preserve"> Act No. 51 of the 1986 Regular Session of the Louisiana Legislature (hereafter “Act No. 51 of 1986”) authorizes the Governor to allocate the volume limit applicable to the Bonds (hereafter the “ceiling”) among the State and its political subdivisions in such a manner as the Governor deems to be in the best interest of the State of Louisiana;</w:t>
      </w:r>
    </w:p>
    <w:p w14:paraId="1774AE68" w14:textId="77777777" w:rsidR="00E61A9D" w:rsidRPr="009F25D6" w:rsidRDefault="00E61A9D" w:rsidP="0016002B">
      <w:pPr>
        <w:pStyle w:val="ExoNormal"/>
      </w:pPr>
      <w:r w:rsidRPr="009F25D6">
        <w:rPr>
          <w:bCs/>
        </w:rPr>
        <w:t>WHEREAS,</w:t>
      </w:r>
      <w:r w:rsidRPr="009F25D6">
        <w:t xml:space="preserve"> pursuant to the Act and Act No. 51 of 1986, Executive Order No. JML 2024-123 was issued to establish: </w:t>
      </w:r>
    </w:p>
    <w:p w14:paraId="72538C4B" w14:textId="77777777" w:rsidR="00E61A9D" w:rsidRPr="009F25D6" w:rsidRDefault="00E61A9D" w:rsidP="0016002B">
      <w:pPr>
        <w:pStyle w:val="A0"/>
      </w:pPr>
      <w:r w:rsidRPr="009F25D6">
        <w:t>A)</w:t>
      </w:r>
      <w:r w:rsidRPr="009F25D6">
        <w:tab/>
        <w:t>the manner in which the ceiling shall be determined,</w:t>
      </w:r>
    </w:p>
    <w:p w14:paraId="0A3A0226" w14:textId="77777777" w:rsidR="00E61A9D" w:rsidRPr="009F25D6" w:rsidRDefault="00E61A9D" w:rsidP="0016002B">
      <w:pPr>
        <w:pStyle w:val="A0"/>
      </w:pPr>
      <w:r w:rsidRPr="009F25D6">
        <w:t>B)</w:t>
      </w:r>
      <w:r w:rsidRPr="009F25D6">
        <w:tab/>
        <w:t xml:space="preserve">the method to be used in allocating the ceiling, </w:t>
      </w:r>
    </w:p>
    <w:p w14:paraId="6E712AAB" w14:textId="77777777" w:rsidR="00E61A9D" w:rsidRPr="009F25D6" w:rsidRDefault="00E61A9D" w:rsidP="0016002B">
      <w:pPr>
        <w:pStyle w:val="A0"/>
      </w:pPr>
      <w:r w:rsidRPr="009F25D6">
        <w:t>C)</w:t>
      </w:r>
      <w:r w:rsidRPr="009F25D6">
        <w:tab/>
        <w:t xml:space="preserve">the application procedure for obtaining an allocation of Bonds subject to such ceiling, and </w:t>
      </w:r>
    </w:p>
    <w:p w14:paraId="067ECB2D" w14:textId="77777777" w:rsidR="00E61A9D" w:rsidRPr="009F25D6" w:rsidRDefault="00E61A9D" w:rsidP="0016002B">
      <w:pPr>
        <w:pStyle w:val="A0"/>
      </w:pPr>
      <w:r w:rsidRPr="009F25D6">
        <w:t>D)</w:t>
      </w:r>
      <w:r w:rsidRPr="009F25D6">
        <w:tab/>
        <w:t>a system of record keeping for such allocations.</w:t>
      </w:r>
    </w:p>
    <w:p w14:paraId="494523EF" w14:textId="77777777" w:rsidR="00E61A9D" w:rsidRPr="009F25D6" w:rsidRDefault="00E61A9D" w:rsidP="0016002B">
      <w:pPr>
        <w:pStyle w:val="ExoNormal"/>
      </w:pPr>
      <w:r w:rsidRPr="009F25D6">
        <w:rPr>
          <w:bCs/>
        </w:rPr>
        <w:t>WHEREAS,</w:t>
      </w:r>
      <w:r w:rsidRPr="009F25D6">
        <w:t xml:space="preserve"> the Louisiana Housing Corporation (hereafter the “Corporation”) has applied for an allocation of the 2026 ceiling to be used in connection with providing funds for the acquiring, constructing, rehabilitating, and equipping of residential rental housing for individuals and families of low and moderate income. </w:t>
      </w:r>
    </w:p>
    <w:p w14:paraId="7C807691" w14:textId="77777777" w:rsidR="00E61A9D" w:rsidRPr="009F25D6" w:rsidRDefault="00E61A9D" w:rsidP="0016002B">
      <w:pPr>
        <w:pStyle w:val="ExoNormal"/>
        <w:rPr>
          <w:w w:val="105"/>
        </w:rPr>
      </w:pPr>
      <w:r w:rsidRPr="009F25D6">
        <w:rPr>
          <w:w w:val="105"/>
        </w:rPr>
        <w:t>NOW THEREFORE,</w:t>
      </w:r>
      <w:r w:rsidRPr="009F25D6">
        <w:rPr>
          <w:spacing w:val="1"/>
          <w:w w:val="105"/>
        </w:rPr>
        <w:t xml:space="preserve"> </w:t>
      </w:r>
      <w:r w:rsidRPr="009F25D6">
        <w:rPr>
          <w:w w:val="105"/>
        </w:rPr>
        <w:t>I, JEFF LANDRY, Governor of the State of Louisiana, by</w:t>
      </w:r>
      <w:r w:rsidRPr="009F25D6">
        <w:rPr>
          <w:spacing w:val="1"/>
          <w:w w:val="105"/>
        </w:rPr>
        <w:t xml:space="preserve"> </w:t>
      </w:r>
      <w:r w:rsidRPr="009F25D6">
        <w:rPr>
          <w:w w:val="105"/>
        </w:rPr>
        <w:t>virtue of</w:t>
      </w:r>
      <w:r w:rsidRPr="009F25D6">
        <w:rPr>
          <w:spacing w:val="1"/>
          <w:w w:val="105"/>
        </w:rPr>
        <w:t xml:space="preserve"> </w:t>
      </w:r>
      <w:r w:rsidRPr="009F25D6">
        <w:rPr>
          <w:w w:val="105"/>
        </w:rPr>
        <w:t>the authority</w:t>
      </w:r>
      <w:r w:rsidRPr="009F25D6">
        <w:rPr>
          <w:spacing w:val="1"/>
          <w:w w:val="105"/>
        </w:rPr>
        <w:t xml:space="preserve"> </w:t>
      </w:r>
      <w:r w:rsidRPr="009F25D6">
        <w:rPr>
          <w:w w:val="105"/>
        </w:rPr>
        <w:t>vested by the Constitution and laws of the State of Louisiana, do hereby</w:t>
      </w:r>
      <w:r w:rsidRPr="009F25D6">
        <w:rPr>
          <w:spacing w:val="1"/>
          <w:w w:val="105"/>
        </w:rPr>
        <w:t xml:space="preserve"> </w:t>
      </w:r>
      <w:r w:rsidRPr="009F25D6">
        <w:rPr>
          <w:w w:val="105"/>
        </w:rPr>
        <w:t>order</w:t>
      </w:r>
      <w:r w:rsidRPr="009F25D6">
        <w:rPr>
          <w:spacing w:val="2"/>
          <w:w w:val="105"/>
        </w:rPr>
        <w:t xml:space="preserve"> </w:t>
      </w:r>
      <w:r w:rsidRPr="009F25D6">
        <w:rPr>
          <w:w w:val="105"/>
        </w:rPr>
        <w:t>and</w:t>
      </w:r>
      <w:r w:rsidRPr="009F25D6">
        <w:rPr>
          <w:spacing w:val="10"/>
          <w:w w:val="105"/>
        </w:rPr>
        <w:t xml:space="preserve"> </w:t>
      </w:r>
      <w:r w:rsidRPr="009F25D6">
        <w:rPr>
          <w:w w:val="105"/>
        </w:rPr>
        <w:t>direct</w:t>
      </w:r>
      <w:r w:rsidRPr="009F25D6">
        <w:rPr>
          <w:spacing w:val="16"/>
          <w:w w:val="105"/>
        </w:rPr>
        <w:t xml:space="preserve"> </w:t>
      </w:r>
      <w:r w:rsidRPr="009F25D6">
        <w:rPr>
          <w:w w:val="105"/>
        </w:rPr>
        <w:t>as</w:t>
      </w:r>
      <w:r w:rsidRPr="009F25D6">
        <w:rPr>
          <w:spacing w:val="5"/>
          <w:w w:val="105"/>
        </w:rPr>
        <w:t xml:space="preserve"> </w:t>
      </w:r>
      <w:r w:rsidRPr="009F25D6">
        <w:rPr>
          <w:w w:val="105"/>
        </w:rPr>
        <w:t>follows:</w:t>
      </w:r>
    </w:p>
    <w:p w14:paraId="67518458" w14:textId="77777777" w:rsidR="00E61A9D" w:rsidRDefault="00E61A9D" w:rsidP="00F4626F">
      <w:pPr>
        <w:pStyle w:val="1"/>
        <w:rPr>
          <w:w w:val="105"/>
        </w:rPr>
      </w:pPr>
      <w:bookmarkStart w:id="10" w:name="_Hlk158210616"/>
      <w:r w:rsidRPr="009F25D6">
        <w:rPr>
          <w:bCs/>
          <w:w w:val="105"/>
        </w:rPr>
        <w:t>Section 1:</w:t>
      </w:r>
      <w:bookmarkEnd w:id="10"/>
      <w:r w:rsidRPr="009F25D6">
        <w:rPr>
          <w:w w:val="105"/>
        </w:rPr>
        <w:tab/>
        <w:t>The bond</w:t>
      </w:r>
      <w:r w:rsidRPr="009F25D6">
        <w:rPr>
          <w:spacing w:val="1"/>
          <w:w w:val="105"/>
        </w:rPr>
        <w:t xml:space="preserve"> </w:t>
      </w:r>
      <w:r w:rsidRPr="009F25D6">
        <w:rPr>
          <w:w w:val="105"/>
        </w:rPr>
        <w:t>issues, as described</w:t>
      </w:r>
      <w:r w:rsidRPr="009F25D6">
        <w:rPr>
          <w:spacing w:val="1"/>
          <w:w w:val="105"/>
        </w:rPr>
        <w:t xml:space="preserve"> </w:t>
      </w:r>
      <w:r w:rsidRPr="009F25D6">
        <w:rPr>
          <w:w w:val="105"/>
        </w:rPr>
        <w:t>in</w:t>
      </w:r>
      <w:r w:rsidRPr="009F25D6">
        <w:rPr>
          <w:spacing w:val="1"/>
          <w:w w:val="105"/>
        </w:rPr>
        <w:t xml:space="preserve"> </w:t>
      </w:r>
      <w:r w:rsidRPr="009F25D6">
        <w:rPr>
          <w:w w:val="105"/>
        </w:rPr>
        <w:t>this Section, shall</w:t>
      </w:r>
      <w:r w:rsidRPr="009F25D6">
        <w:rPr>
          <w:spacing w:val="1"/>
          <w:w w:val="105"/>
        </w:rPr>
        <w:t xml:space="preserve"> </w:t>
      </w:r>
      <w:r w:rsidRPr="009F25D6">
        <w:rPr>
          <w:w w:val="105"/>
        </w:rPr>
        <w:t>be and are hereby</w:t>
      </w:r>
      <w:r w:rsidRPr="009F25D6">
        <w:rPr>
          <w:spacing w:val="1"/>
          <w:w w:val="105"/>
        </w:rPr>
        <w:t xml:space="preserve"> </w:t>
      </w:r>
      <w:r w:rsidRPr="009F25D6">
        <w:rPr>
          <w:w w:val="105"/>
        </w:rPr>
        <w:t>granted</w:t>
      </w:r>
      <w:r w:rsidRPr="009F25D6">
        <w:rPr>
          <w:spacing w:val="1"/>
          <w:w w:val="105"/>
        </w:rPr>
        <w:t xml:space="preserve"> </w:t>
      </w:r>
      <w:r w:rsidRPr="009F25D6">
        <w:rPr>
          <w:w w:val="105"/>
        </w:rPr>
        <w:t>allocations</w:t>
      </w:r>
      <w:r w:rsidRPr="009F25D6">
        <w:rPr>
          <w:spacing w:val="25"/>
          <w:w w:val="105"/>
        </w:rPr>
        <w:t xml:space="preserve"> </w:t>
      </w:r>
      <w:r w:rsidRPr="009F25D6">
        <w:rPr>
          <w:w w:val="105"/>
        </w:rPr>
        <w:t>from</w:t>
      </w:r>
      <w:r w:rsidRPr="009F25D6">
        <w:rPr>
          <w:spacing w:val="16"/>
          <w:w w:val="105"/>
        </w:rPr>
        <w:t xml:space="preserve"> </w:t>
      </w:r>
      <w:r w:rsidRPr="009F25D6">
        <w:rPr>
          <w:w w:val="105"/>
        </w:rPr>
        <w:t>the</w:t>
      </w:r>
      <w:r w:rsidRPr="009F25D6">
        <w:rPr>
          <w:spacing w:val="4"/>
          <w:w w:val="105"/>
        </w:rPr>
        <w:t xml:space="preserve"> </w:t>
      </w:r>
      <w:r w:rsidRPr="009F25D6">
        <w:rPr>
          <w:w w:val="105"/>
        </w:rPr>
        <w:t>2026 ceiling</w:t>
      </w:r>
      <w:r w:rsidRPr="009F25D6">
        <w:rPr>
          <w:spacing w:val="19"/>
          <w:w w:val="105"/>
        </w:rPr>
        <w:t xml:space="preserve"> </w:t>
      </w:r>
      <w:r w:rsidRPr="009F25D6">
        <w:rPr>
          <w:w w:val="105"/>
        </w:rPr>
        <w:t>in</w:t>
      </w:r>
      <w:r w:rsidRPr="009F25D6">
        <w:rPr>
          <w:spacing w:val="21"/>
          <w:w w:val="105"/>
        </w:rPr>
        <w:t xml:space="preserve"> </w:t>
      </w:r>
      <w:r w:rsidRPr="009F25D6">
        <w:rPr>
          <w:w w:val="105"/>
        </w:rPr>
        <w:t>the</w:t>
      </w:r>
      <w:r w:rsidRPr="009F25D6">
        <w:rPr>
          <w:spacing w:val="6"/>
          <w:w w:val="105"/>
        </w:rPr>
        <w:t xml:space="preserve"> </w:t>
      </w:r>
      <w:r w:rsidRPr="009F25D6">
        <w:rPr>
          <w:w w:val="105"/>
        </w:rPr>
        <w:t>amounts</w:t>
      </w:r>
      <w:r w:rsidRPr="009F25D6">
        <w:rPr>
          <w:spacing w:val="17"/>
          <w:w w:val="105"/>
        </w:rPr>
        <w:t xml:space="preserve"> </w:t>
      </w:r>
      <w:r w:rsidRPr="009F25D6">
        <w:rPr>
          <w:w w:val="105"/>
        </w:rPr>
        <w:t>shown:</w:t>
      </w:r>
    </w:p>
    <w:p w14:paraId="3D4F24EC" w14:textId="77777777" w:rsidR="00E61A9D" w:rsidRPr="009F25D6" w:rsidRDefault="00E61A9D" w:rsidP="0016002B">
      <w:pPr>
        <w:pStyle w:val="A0"/>
        <w:rPr>
          <w:w w:val="105"/>
        </w:rPr>
      </w:pPr>
    </w:p>
    <w:tbl>
      <w:tblPr>
        <w:tblW w:w="505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1728"/>
        <w:gridCol w:w="1620"/>
        <w:gridCol w:w="1710"/>
      </w:tblGrid>
      <w:tr w:rsidR="00E61A9D" w:rsidRPr="009F25D6" w14:paraId="0346F450" w14:textId="77777777" w:rsidTr="0016002B">
        <w:trPr>
          <w:cantSplit/>
          <w:trHeight w:val="570"/>
        </w:trPr>
        <w:tc>
          <w:tcPr>
            <w:tcW w:w="1728" w:type="dxa"/>
            <w:shd w:val="clear" w:color="auto" w:fill="BFBFBF" w:themeFill="background1" w:themeFillShade="BF"/>
            <w:vAlign w:val="center"/>
            <w:hideMark/>
          </w:tcPr>
          <w:p w14:paraId="20483C5D" w14:textId="77777777" w:rsidR="00E61A9D" w:rsidRPr="0016002B" w:rsidRDefault="00E61A9D" w:rsidP="0016002B">
            <w:pPr>
              <w:keepNext/>
              <w:jc w:val="center"/>
              <w:rPr>
                <w:b/>
                <w:color w:val="000000"/>
                <w:sz w:val="16"/>
                <w:szCs w:val="16"/>
              </w:rPr>
            </w:pPr>
            <w:bookmarkStart w:id="11" w:name="Place"/>
            <w:r w:rsidRPr="0016002B">
              <w:rPr>
                <w:b/>
                <w:color w:val="000000"/>
                <w:sz w:val="16"/>
                <w:szCs w:val="16"/>
              </w:rPr>
              <w:t>Amount of Allocation</w:t>
            </w:r>
          </w:p>
        </w:tc>
        <w:tc>
          <w:tcPr>
            <w:tcW w:w="1620" w:type="dxa"/>
            <w:shd w:val="clear" w:color="auto" w:fill="BFBFBF" w:themeFill="background1" w:themeFillShade="BF"/>
            <w:vAlign w:val="center"/>
            <w:hideMark/>
          </w:tcPr>
          <w:p w14:paraId="0E409255" w14:textId="77777777" w:rsidR="00E61A9D" w:rsidRPr="0016002B" w:rsidRDefault="00E61A9D" w:rsidP="0016002B">
            <w:pPr>
              <w:keepNext/>
              <w:jc w:val="center"/>
              <w:rPr>
                <w:b/>
                <w:color w:val="000000"/>
                <w:sz w:val="16"/>
                <w:szCs w:val="16"/>
              </w:rPr>
            </w:pPr>
            <w:r w:rsidRPr="0016002B">
              <w:rPr>
                <w:b/>
                <w:color w:val="000000"/>
                <w:sz w:val="16"/>
                <w:szCs w:val="16"/>
              </w:rPr>
              <w:t>Name of Issuer</w:t>
            </w:r>
          </w:p>
        </w:tc>
        <w:tc>
          <w:tcPr>
            <w:tcW w:w="1710" w:type="dxa"/>
            <w:shd w:val="clear" w:color="auto" w:fill="BFBFBF" w:themeFill="background1" w:themeFillShade="BF"/>
            <w:vAlign w:val="center"/>
            <w:hideMark/>
          </w:tcPr>
          <w:p w14:paraId="5E3A727C" w14:textId="77777777" w:rsidR="00E61A9D" w:rsidRPr="0016002B" w:rsidRDefault="00E61A9D" w:rsidP="0016002B">
            <w:pPr>
              <w:keepNext/>
              <w:jc w:val="center"/>
              <w:rPr>
                <w:b/>
                <w:color w:val="000000"/>
                <w:sz w:val="16"/>
                <w:szCs w:val="16"/>
              </w:rPr>
            </w:pPr>
            <w:r w:rsidRPr="0016002B">
              <w:rPr>
                <w:b/>
                <w:color w:val="000000"/>
                <w:sz w:val="16"/>
                <w:szCs w:val="16"/>
              </w:rPr>
              <w:t>Name of Project</w:t>
            </w:r>
          </w:p>
        </w:tc>
      </w:tr>
      <w:bookmarkEnd w:id="11"/>
      <w:tr w:rsidR="00E61A9D" w:rsidRPr="009F25D6" w14:paraId="21B51660" w14:textId="77777777" w:rsidTr="0016002B">
        <w:trPr>
          <w:cantSplit/>
          <w:trHeight w:val="600"/>
        </w:trPr>
        <w:tc>
          <w:tcPr>
            <w:tcW w:w="1728" w:type="dxa"/>
            <w:vAlign w:val="center"/>
          </w:tcPr>
          <w:p w14:paraId="54175ECD" w14:textId="77777777" w:rsidR="00E61A9D" w:rsidRPr="0016002B" w:rsidRDefault="00E61A9D" w:rsidP="00B37BD3">
            <w:pPr>
              <w:jc w:val="center"/>
              <w:rPr>
                <w:bCs/>
                <w:color w:val="000000"/>
                <w:sz w:val="16"/>
                <w:szCs w:val="16"/>
              </w:rPr>
            </w:pPr>
            <w:r w:rsidRPr="0016002B">
              <w:rPr>
                <w:bCs/>
                <w:color w:val="000000"/>
                <w:sz w:val="16"/>
                <w:szCs w:val="16"/>
              </w:rPr>
              <w:t>$52,215,000</w:t>
            </w:r>
          </w:p>
        </w:tc>
        <w:tc>
          <w:tcPr>
            <w:tcW w:w="1620" w:type="dxa"/>
            <w:vAlign w:val="center"/>
          </w:tcPr>
          <w:p w14:paraId="1F9CD217" w14:textId="77777777" w:rsidR="00E61A9D" w:rsidRPr="0016002B" w:rsidRDefault="00E61A9D" w:rsidP="00B37BD3">
            <w:pPr>
              <w:jc w:val="center"/>
              <w:rPr>
                <w:color w:val="000000"/>
                <w:sz w:val="16"/>
                <w:szCs w:val="16"/>
              </w:rPr>
            </w:pPr>
            <w:r w:rsidRPr="0016002B">
              <w:rPr>
                <w:color w:val="000000"/>
                <w:sz w:val="16"/>
                <w:szCs w:val="16"/>
              </w:rPr>
              <w:t>Louisiana Housing Corporation</w:t>
            </w:r>
          </w:p>
        </w:tc>
        <w:tc>
          <w:tcPr>
            <w:tcW w:w="1710" w:type="dxa"/>
            <w:vAlign w:val="center"/>
          </w:tcPr>
          <w:p w14:paraId="5E34913F" w14:textId="77777777" w:rsidR="00E61A9D" w:rsidRPr="0016002B" w:rsidRDefault="00E61A9D" w:rsidP="00B37BD3">
            <w:pPr>
              <w:jc w:val="center"/>
              <w:rPr>
                <w:color w:val="000000"/>
                <w:sz w:val="16"/>
                <w:szCs w:val="16"/>
              </w:rPr>
            </w:pPr>
            <w:bookmarkStart w:id="12" w:name="End"/>
            <w:r w:rsidRPr="0016002B">
              <w:rPr>
                <w:color w:val="000000"/>
                <w:sz w:val="16"/>
                <w:szCs w:val="16"/>
              </w:rPr>
              <w:t xml:space="preserve">The Batture Apartments Project Series 2026 </w:t>
            </w:r>
            <w:bookmarkEnd w:id="12"/>
          </w:p>
        </w:tc>
      </w:tr>
    </w:tbl>
    <w:p w14:paraId="3B281759" w14:textId="77777777" w:rsidR="00E61A9D" w:rsidRPr="009F25D6" w:rsidRDefault="00E61A9D" w:rsidP="0016002B">
      <w:pPr>
        <w:pStyle w:val="A0"/>
      </w:pPr>
    </w:p>
    <w:p w14:paraId="0C148D33" w14:textId="77777777" w:rsidR="00E61A9D" w:rsidRPr="00F4626F" w:rsidRDefault="00E61A9D" w:rsidP="00F4626F">
      <w:pPr>
        <w:pStyle w:val="1"/>
        <w:rPr>
          <w:w w:val="105"/>
        </w:rPr>
      </w:pPr>
      <w:bookmarkStart w:id="13" w:name="_Hlk158210587"/>
      <w:r w:rsidRPr="00F4626F">
        <w:rPr>
          <w:w w:val="105"/>
        </w:rPr>
        <w:t>Section 2:</w:t>
      </w:r>
      <w:bookmarkEnd w:id="13"/>
      <w:r w:rsidRPr="00F4626F">
        <w:rPr>
          <w:w w:val="105"/>
        </w:rPr>
        <w:tab/>
        <w:t>The allocation granted herein shall be used only for the bond issues described in Section l and for the general purpose set forth in the “Application for Allocation of a Portion of the State of Louisiana's Private Activity Volume Cap” submitted in connection with the bond issues described in Section 1.</w:t>
      </w:r>
    </w:p>
    <w:p w14:paraId="0B79852B" w14:textId="77777777" w:rsidR="00E61A9D" w:rsidRPr="009F25D6" w:rsidRDefault="00E61A9D" w:rsidP="00F4626F">
      <w:pPr>
        <w:pStyle w:val="1"/>
      </w:pPr>
      <w:bookmarkStart w:id="14" w:name="_Hlk158210581"/>
      <w:r w:rsidRPr="009F25D6">
        <w:rPr>
          <w:bCs/>
          <w:w w:val="110"/>
        </w:rPr>
        <w:t>Section 3:</w:t>
      </w:r>
      <w:bookmarkEnd w:id="14"/>
      <w:r w:rsidRPr="009F25D6">
        <w:rPr>
          <w:w w:val="110"/>
        </w:rPr>
        <w:tab/>
      </w:r>
      <w:r w:rsidRPr="009F25D6">
        <w:rPr>
          <w:w w:val="105"/>
        </w:rPr>
        <w:t>The allocations granted herein shall be valid and in full force and effect through</w:t>
      </w:r>
      <w:r w:rsidRPr="009F25D6">
        <w:rPr>
          <w:spacing w:val="1"/>
          <w:w w:val="105"/>
        </w:rPr>
        <w:t xml:space="preserve"> November 30, 2026</w:t>
      </w:r>
      <w:r w:rsidRPr="009F25D6">
        <w:rPr>
          <w:w w:val="105"/>
        </w:rPr>
        <w:t>; therefore, any unused amount of the 2026 ceiling allocation shall be deemed returned as of December 1, 2026.</w:t>
      </w:r>
    </w:p>
    <w:p w14:paraId="4FF67978" w14:textId="77777777" w:rsidR="00E61A9D" w:rsidRPr="009F25D6" w:rsidRDefault="00E61A9D" w:rsidP="00F4626F">
      <w:pPr>
        <w:pStyle w:val="1"/>
        <w:rPr>
          <w:w w:val="105"/>
        </w:rPr>
      </w:pPr>
      <w:bookmarkStart w:id="15" w:name="_Hlk158210575"/>
      <w:r w:rsidRPr="009F25D6">
        <w:rPr>
          <w:bCs/>
          <w:color w:val="1D1D1D"/>
          <w:w w:val="110"/>
        </w:rPr>
        <w:t>Section 4:</w:t>
      </w:r>
      <w:bookmarkEnd w:id="15"/>
      <w:r w:rsidRPr="009F25D6">
        <w:rPr>
          <w:bCs/>
          <w:color w:val="1D1D1D"/>
          <w:w w:val="110"/>
        </w:rPr>
        <w:tab/>
      </w:r>
      <w:r w:rsidRPr="009F25D6">
        <w:rPr>
          <w:w w:val="105"/>
        </w:rPr>
        <w:t>This Order is effective upon signature and shall remain in effect until amended,</w:t>
      </w:r>
      <w:r w:rsidRPr="009F25D6">
        <w:rPr>
          <w:spacing w:val="1"/>
          <w:w w:val="105"/>
        </w:rPr>
        <w:t xml:space="preserve"> </w:t>
      </w:r>
      <w:r w:rsidRPr="009F25D6">
        <w:rPr>
          <w:spacing w:val="-1"/>
          <w:w w:val="105"/>
        </w:rPr>
        <w:t xml:space="preserve">modified, terminated, </w:t>
      </w:r>
      <w:r w:rsidRPr="009F25D6">
        <w:rPr>
          <w:w w:val="105"/>
        </w:rPr>
        <w:t>or rescinded by the Governor, or terminated by operation of</w:t>
      </w:r>
      <w:r>
        <w:rPr>
          <w:w w:val="105"/>
        </w:rPr>
        <w:t xml:space="preserve"> </w:t>
      </w:r>
      <w:r w:rsidRPr="009F25D6">
        <w:rPr>
          <w:spacing w:val="-58"/>
          <w:w w:val="105"/>
        </w:rPr>
        <w:t xml:space="preserve"> </w:t>
      </w:r>
      <w:r w:rsidRPr="009F25D6">
        <w:rPr>
          <w:w w:val="105"/>
        </w:rPr>
        <w:t>law.</w:t>
      </w:r>
    </w:p>
    <w:p w14:paraId="44751366" w14:textId="77777777" w:rsidR="00724E40" w:rsidRDefault="00724E40" w:rsidP="0016002B">
      <w:pPr>
        <w:pStyle w:val="ExoNormal"/>
        <w:rPr>
          <w:bCs/>
        </w:rPr>
      </w:pPr>
      <w:bookmarkStart w:id="16" w:name="_Hlk158210529"/>
      <w:r>
        <w:rPr>
          <w:bCs/>
        </w:rPr>
        <w:br w:type="page"/>
      </w:r>
    </w:p>
    <w:p w14:paraId="3D9EC8EF" w14:textId="2B67B41A" w:rsidR="00E61A9D" w:rsidRDefault="00E61A9D" w:rsidP="0016002B">
      <w:pPr>
        <w:pStyle w:val="ExoNormal"/>
      </w:pPr>
      <w:r w:rsidRPr="009F25D6">
        <w:rPr>
          <w:bCs/>
        </w:rPr>
        <w:lastRenderedPageBreak/>
        <w:t>IN</w:t>
      </w:r>
      <w:r w:rsidRPr="009F25D6">
        <w:rPr>
          <w:bCs/>
          <w:spacing w:val="1"/>
        </w:rPr>
        <w:t xml:space="preserve"> </w:t>
      </w:r>
      <w:r w:rsidRPr="009F25D6">
        <w:rPr>
          <w:bCs/>
        </w:rPr>
        <w:t>WITNESS</w:t>
      </w:r>
      <w:r w:rsidRPr="009F25D6">
        <w:rPr>
          <w:bCs/>
          <w:spacing w:val="1"/>
        </w:rPr>
        <w:t xml:space="preserve"> </w:t>
      </w:r>
      <w:r w:rsidRPr="009F25D6">
        <w:rPr>
          <w:bCs/>
        </w:rPr>
        <w:t>WHEREOF</w:t>
      </w:r>
      <w:r w:rsidRPr="009F25D6">
        <w:rPr>
          <w:bCs/>
          <w:color w:val="383838"/>
        </w:rPr>
        <w:t>,</w:t>
      </w:r>
      <w:r w:rsidRPr="009F25D6">
        <w:rPr>
          <w:bCs/>
          <w:color w:val="383838"/>
          <w:spacing w:val="1"/>
        </w:rPr>
        <w:t xml:space="preserve"> </w:t>
      </w:r>
      <w:r w:rsidRPr="009F25D6">
        <w:t>I</w:t>
      </w:r>
      <w:r w:rsidRPr="009F25D6">
        <w:rPr>
          <w:spacing w:val="1"/>
        </w:rPr>
        <w:t xml:space="preserve"> </w:t>
      </w:r>
      <w:r w:rsidRPr="009F25D6">
        <w:t>have</w:t>
      </w:r>
      <w:r w:rsidRPr="009F25D6">
        <w:rPr>
          <w:spacing w:val="1"/>
        </w:rPr>
        <w:t xml:space="preserve"> </w:t>
      </w:r>
      <w:r w:rsidRPr="009F25D6">
        <w:t>set</w:t>
      </w:r>
      <w:r w:rsidRPr="009F25D6">
        <w:rPr>
          <w:spacing w:val="1"/>
        </w:rPr>
        <w:t xml:space="preserve"> </w:t>
      </w:r>
      <w:r w:rsidRPr="009F25D6">
        <w:t>my</w:t>
      </w:r>
      <w:r w:rsidRPr="009F25D6">
        <w:rPr>
          <w:spacing w:val="1"/>
        </w:rPr>
        <w:t xml:space="preserve"> </w:t>
      </w:r>
      <w:r w:rsidRPr="009F25D6">
        <w:t>hand</w:t>
      </w:r>
      <w:r w:rsidRPr="009F25D6">
        <w:rPr>
          <w:spacing w:val="1"/>
        </w:rPr>
        <w:t xml:space="preserve"> </w:t>
      </w:r>
      <w:r w:rsidRPr="009F25D6">
        <w:t>officially and caused to be affixed</w:t>
      </w:r>
      <w:r w:rsidRPr="009F25D6">
        <w:rPr>
          <w:spacing w:val="57"/>
        </w:rPr>
        <w:t xml:space="preserve"> </w:t>
      </w:r>
      <w:r w:rsidRPr="009F25D6">
        <w:t>the Great Seal of</w:t>
      </w:r>
      <w:r w:rsidRPr="009F25D6">
        <w:rPr>
          <w:spacing w:val="1"/>
        </w:rPr>
        <w:t xml:space="preserve"> </w:t>
      </w:r>
      <w:r w:rsidRPr="009F25D6">
        <w:t>the State of</w:t>
      </w:r>
      <w:r w:rsidRPr="009F25D6">
        <w:rPr>
          <w:spacing w:val="1"/>
        </w:rPr>
        <w:t xml:space="preserve"> </w:t>
      </w:r>
      <w:r w:rsidRPr="009F25D6">
        <w:t>Louisiana</w:t>
      </w:r>
      <w:r w:rsidRPr="009F25D6">
        <w:rPr>
          <w:spacing w:val="57"/>
        </w:rPr>
        <w:t xml:space="preserve"> </w:t>
      </w:r>
      <w:r w:rsidRPr="009F25D6">
        <w:t>in</w:t>
      </w:r>
      <w:r w:rsidRPr="009F25D6">
        <w:rPr>
          <w:spacing w:val="58"/>
        </w:rPr>
        <w:t xml:space="preserve"> </w:t>
      </w:r>
      <w:r w:rsidRPr="009F25D6">
        <w:t>the City of</w:t>
      </w:r>
      <w:r w:rsidRPr="009F25D6">
        <w:rPr>
          <w:spacing w:val="57"/>
        </w:rPr>
        <w:t xml:space="preserve"> </w:t>
      </w:r>
      <w:r w:rsidRPr="009F25D6">
        <w:t>Baton</w:t>
      </w:r>
      <w:r w:rsidRPr="009F25D6">
        <w:rPr>
          <w:spacing w:val="58"/>
        </w:rPr>
        <w:t xml:space="preserve"> </w:t>
      </w:r>
      <w:r w:rsidRPr="009F25D6">
        <w:t>Rouge,</w:t>
      </w:r>
      <w:r w:rsidRPr="009F25D6">
        <w:rPr>
          <w:spacing w:val="1"/>
        </w:rPr>
        <w:t xml:space="preserve"> </w:t>
      </w:r>
      <w:r w:rsidRPr="009F25D6">
        <w:t>on</w:t>
      </w:r>
      <w:r w:rsidRPr="009F25D6">
        <w:rPr>
          <w:spacing w:val="18"/>
        </w:rPr>
        <w:t xml:space="preserve"> </w:t>
      </w:r>
      <w:r w:rsidRPr="009F25D6">
        <w:t>this</w:t>
      </w:r>
      <w:r w:rsidRPr="009F25D6">
        <w:rPr>
          <w:spacing w:val="2"/>
        </w:rPr>
        <w:t xml:space="preserve"> </w:t>
      </w:r>
      <w:r w:rsidRPr="009F25D6">
        <w:t>11</w:t>
      </w:r>
      <w:r w:rsidRPr="009F25D6">
        <w:rPr>
          <w:vertAlign w:val="superscript"/>
        </w:rPr>
        <w:t>th</w:t>
      </w:r>
      <w:r w:rsidRPr="009F25D6">
        <w:t xml:space="preserve"> day of August, 2026.</w:t>
      </w:r>
    </w:p>
    <w:bookmarkEnd w:id="16"/>
    <w:p w14:paraId="0F8F5896" w14:textId="77777777" w:rsidR="00E61A9D" w:rsidRDefault="00E61A9D" w:rsidP="0016002B">
      <w:pPr>
        <w:pStyle w:val="RegSignature"/>
      </w:pPr>
    </w:p>
    <w:p w14:paraId="09462B37" w14:textId="77777777" w:rsidR="00E61A9D" w:rsidRDefault="00E61A9D" w:rsidP="0016002B">
      <w:pPr>
        <w:pStyle w:val="RegSignature"/>
      </w:pPr>
      <w:r>
        <w:t>Jeff Landry</w:t>
      </w:r>
    </w:p>
    <w:p w14:paraId="63F4A3B6" w14:textId="77777777" w:rsidR="00E61A9D" w:rsidRDefault="00E61A9D" w:rsidP="0016002B">
      <w:pPr>
        <w:pStyle w:val="RegSignature"/>
      </w:pPr>
      <w:r>
        <w:t>Governor</w:t>
      </w:r>
    </w:p>
    <w:p w14:paraId="3B3968F1" w14:textId="77777777" w:rsidR="00E61A9D" w:rsidRDefault="00E61A9D" w:rsidP="0016002B">
      <w:pPr>
        <w:pStyle w:val="ExoSecOfState"/>
      </w:pPr>
      <w:r>
        <w:t>ATTEST BY</w:t>
      </w:r>
    </w:p>
    <w:p w14:paraId="247BA7A4" w14:textId="77777777" w:rsidR="00E61A9D" w:rsidRDefault="00E61A9D" w:rsidP="0016002B">
      <w:pPr>
        <w:pStyle w:val="ExoSecOfState"/>
      </w:pPr>
      <w:r>
        <w:t>THE GOVERNOR</w:t>
      </w:r>
    </w:p>
    <w:p w14:paraId="36DAF9FF" w14:textId="77777777" w:rsidR="00E61A9D" w:rsidRDefault="00E61A9D" w:rsidP="0016002B">
      <w:pPr>
        <w:pStyle w:val="ExoSecOfState"/>
      </w:pPr>
      <w:r>
        <w:t>Nancy Landry</w:t>
      </w:r>
    </w:p>
    <w:p w14:paraId="09B5870E" w14:textId="77777777" w:rsidR="00E61A9D" w:rsidRDefault="00E61A9D" w:rsidP="0016002B">
      <w:pPr>
        <w:pStyle w:val="ExoSecOfState"/>
      </w:pPr>
      <w:r>
        <w:t>Secretary of State</w:t>
      </w:r>
    </w:p>
    <w:p w14:paraId="140AC848" w14:textId="77777777" w:rsidR="00E61A9D" w:rsidRPr="009F25D6" w:rsidRDefault="00E61A9D" w:rsidP="0016002B">
      <w:pPr>
        <w:pStyle w:val="RegLogNumber"/>
      </w:pPr>
      <w:r>
        <w:t>2609#082</w:t>
      </w:r>
    </w:p>
    <w:p w14:paraId="043AABA2" w14:textId="77777777" w:rsidR="00E61A9D" w:rsidRPr="00E61A9D" w:rsidRDefault="00E61A9D" w:rsidP="00E61A9D"/>
    <w:p w14:paraId="2F9C656E" w14:textId="77777777" w:rsidR="00E61A9D" w:rsidRDefault="00E61A9D" w:rsidP="004523EC">
      <w:pPr>
        <w:pStyle w:val="RegItemFirstLine"/>
      </w:pPr>
      <w:r>
        <w:t>EXECUTIVE ORDER JML 26-078</w:t>
      </w:r>
    </w:p>
    <w:p w14:paraId="1DEBEAC7" w14:textId="77777777" w:rsidR="00E61A9D" w:rsidRPr="006A5646" w:rsidRDefault="00E61A9D" w:rsidP="004523EC">
      <w:pPr>
        <w:pStyle w:val="RegItemTitle"/>
      </w:pPr>
      <w:r w:rsidRPr="006A5646">
        <w:t>Expedited Environmental Permitting</w:t>
      </w:r>
    </w:p>
    <w:p w14:paraId="7E9AA882" w14:textId="77777777" w:rsidR="00E61A9D" w:rsidRPr="006A5646" w:rsidRDefault="00E61A9D" w:rsidP="004523EC">
      <w:pPr>
        <w:pStyle w:val="ExoNormal"/>
        <w:rPr>
          <w:bCs/>
        </w:rPr>
      </w:pPr>
      <w:r w:rsidRPr="006A5646">
        <w:rPr>
          <w:bCs/>
        </w:rPr>
        <w:t>WHEREAS,</w:t>
      </w:r>
      <w:r w:rsidRPr="006A5646">
        <w:t xml:space="preserve"> Article IX, Section 1 of the Constitution of Louisiana provides that “[t]he natural resources of the state, including air and water, and the healthful, scenic, historic, and esthetic quality of the environment shall be protected, conserved, and replenished insofar as possible and consistent with the health, safety, and welfare of the people,” and directs that the Legislature “shall enact laws to implement this policy”;</w:t>
      </w:r>
    </w:p>
    <w:p w14:paraId="0E3F89BA" w14:textId="77777777" w:rsidR="00E61A9D" w:rsidRPr="006A5646" w:rsidRDefault="00E61A9D" w:rsidP="004523EC">
      <w:pPr>
        <w:pStyle w:val="ExoNormal"/>
      </w:pPr>
      <w:r w:rsidRPr="006A5646">
        <w:rPr>
          <w:bCs/>
        </w:rPr>
        <w:t>WHEREAS,</w:t>
      </w:r>
      <w:r w:rsidRPr="006A5646">
        <w:t xml:space="preserve"> the Supreme Court of Louisiana, in </w:t>
      </w:r>
      <w:r w:rsidRPr="006A5646">
        <w:rPr>
          <w:i/>
          <w:iCs/>
        </w:rPr>
        <w:t>Save Ourselves, Inc. v. Louisiana Environmental Control Commission,</w:t>
      </w:r>
      <w:r w:rsidRPr="006A5646">
        <w:t xml:space="preserve"> 452 So.2d 1152 (La. 1984), construed Article IX, Section 1 to impose on the State a duty as a “public trustee” of the environment, requiring state agencies and officials to weigh the environmental costs and benefits of a proposed action and to determine whether alternatives that offer more protection to the environment or mitigate adverse environmental effects, without curtailing non-environmental benefits, are available and reasonable;</w:t>
      </w:r>
    </w:p>
    <w:p w14:paraId="369359D8" w14:textId="77777777" w:rsidR="00E61A9D" w:rsidRPr="006A5646" w:rsidRDefault="00E61A9D" w:rsidP="004523EC">
      <w:pPr>
        <w:pStyle w:val="ExoNormal"/>
        <w:rPr>
          <w:bCs/>
        </w:rPr>
      </w:pPr>
      <w:r w:rsidRPr="006A5646">
        <w:rPr>
          <w:bCs/>
        </w:rPr>
        <w:t>WHEREAS,</w:t>
      </w:r>
      <w:r w:rsidRPr="006A5646">
        <w:t xml:space="preserve"> the Legislature has fulfilled Article IX, Section 1’s mandate to implement the public trust doctrine by enacting the Louisiana Environmental Quality Act, La. R.S. 30:2001 </w:t>
      </w:r>
      <w:r w:rsidRPr="006A5646">
        <w:rPr>
          <w:i/>
          <w:iCs/>
        </w:rPr>
        <w:t>et seq.</w:t>
      </w:r>
      <w:r w:rsidRPr="006A5646">
        <w:t xml:space="preserve">, the Louisiana State and Local Coastal Resources Management Act, La. R.S. 49:214.21 </w:t>
      </w:r>
      <w:r w:rsidRPr="006A5646">
        <w:rPr>
          <w:i/>
          <w:iCs/>
        </w:rPr>
        <w:t>et seq.</w:t>
      </w:r>
      <w:r w:rsidRPr="006A5646">
        <w:t xml:space="preserve">, and other laws conditioning the issuance of permits upon satisfaction of the criteria announced in </w:t>
      </w:r>
      <w:r w:rsidRPr="006A5646">
        <w:rPr>
          <w:i/>
          <w:iCs/>
        </w:rPr>
        <w:t>Save Ourselves, Inc.</w:t>
      </w:r>
      <w:r w:rsidRPr="006A5646">
        <w:t>;</w:t>
      </w:r>
    </w:p>
    <w:p w14:paraId="4DEA92ED" w14:textId="77777777" w:rsidR="00E61A9D" w:rsidRPr="006A5646" w:rsidRDefault="00E61A9D" w:rsidP="004523EC">
      <w:pPr>
        <w:pStyle w:val="ExoNormal"/>
      </w:pPr>
      <w:r w:rsidRPr="006A5646">
        <w:rPr>
          <w:bCs/>
        </w:rPr>
        <w:t>WHEREAS,</w:t>
      </w:r>
      <w:r w:rsidRPr="006A5646">
        <w:t xml:space="preserve"> the public-trustee duty recognized in </w:t>
      </w:r>
      <w:r w:rsidRPr="006A5646">
        <w:rPr>
          <w:i/>
          <w:iCs/>
        </w:rPr>
        <w:t>Save Ourselves, Inc.</w:t>
      </w:r>
      <w:r w:rsidRPr="006A5646">
        <w:t xml:space="preserve"> derives from the Louisiana Constitution, and is distinct from, and not dependent upon, the requirements of the National Environmental Policy Act, 42 U.S.C. § 4321 </w:t>
      </w:r>
      <w:r w:rsidRPr="006A5646">
        <w:rPr>
          <w:i/>
          <w:iCs/>
        </w:rPr>
        <w:t>et seq.</w:t>
      </w:r>
      <w:r w:rsidRPr="006A5646">
        <w:t xml:space="preserve"> (“NEPA”), which by its terms governs only “major federal actions,” or the federal Clean Water Act, 42 U.S.C. § 7401 </w:t>
      </w:r>
      <w:r w:rsidRPr="006A5646">
        <w:rPr>
          <w:i/>
          <w:iCs/>
        </w:rPr>
        <w:t xml:space="preserve">et seq., </w:t>
      </w:r>
      <w:r w:rsidRPr="006A5646">
        <w:t>which applies only to “waters of the United States”;</w:t>
      </w:r>
    </w:p>
    <w:p w14:paraId="3B1377AC" w14:textId="77777777" w:rsidR="00E61A9D" w:rsidRPr="006A5646" w:rsidRDefault="00E61A9D" w:rsidP="004523EC">
      <w:pPr>
        <w:pStyle w:val="ExoNormal"/>
      </w:pPr>
      <w:r w:rsidRPr="006A5646">
        <w:rPr>
          <w:bCs/>
        </w:rPr>
        <w:t xml:space="preserve">WHEREAS, </w:t>
      </w:r>
      <w:r w:rsidRPr="006A5646">
        <w:t>the federal Clean Water Act expressly reserves to the States the primary responsibilities and rights to prevent, reduce, and eliminate pollution and to plan the development and use of land and water resources;</w:t>
      </w:r>
    </w:p>
    <w:p w14:paraId="74E2D8B3" w14:textId="77777777" w:rsidR="00E61A9D" w:rsidRPr="006A5646" w:rsidRDefault="00E61A9D" w:rsidP="004523EC">
      <w:pPr>
        <w:pStyle w:val="ExoNormal"/>
        <w:rPr>
          <w:bCs/>
        </w:rPr>
      </w:pPr>
      <w:r w:rsidRPr="006A5646">
        <w:rPr>
          <w:bCs/>
        </w:rPr>
        <w:t>WHEREAS,</w:t>
      </w:r>
      <w:r w:rsidRPr="006A5646">
        <w:t xml:space="preserve"> in </w:t>
      </w:r>
      <w:r w:rsidRPr="006A5646">
        <w:rPr>
          <w:i/>
          <w:iCs/>
        </w:rPr>
        <w:t>Sackett v. Environmental Protection Agency,</w:t>
      </w:r>
      <w:r w:rsidRPr="006A5646">
        <w:t xml:space="preserve"> 598 U.S. 651 (2023), the Supreme Court of the United States refuted the assertion by federal agencies of expansive jurisdiction under the Clean Water Act, holding instead that “waters of the United States” include only relatively permanent bodies of water connected to traditional interstate navigable waters and wetlands having a continuous surface connection with such bodies of water, such that it is </w:t>
      </w:r>
      <w:r w:rsidRPr="006A5646">
        <w:t>difficult to determine where the water ends and the wetlands begin;</w:t>
      </w:r>
    </w:p>
    <w:p w14:paraId="3DA0355A" w14:textId="77777777" w:rsidR="00E61A9D" w:rsidRPr="006A5646" w:rsidRDefault="00E61A9D" w:rsidP="004523EC">
      <w:pPr>
        <w:pStyle w:val="ExoNormal"/>
      </w:pPr>
      <w:r w:rsidRPr="006A5646">
        <w:rPr>
          <w:bCs/>
        </w:rPr>
        <w:t>WHEREAS,</w:t>
      </w:r>
      <w:r w:rsidRPr="006A5646">
        <w:t xml:space="preserve"> in </w:t>
      </w:r>
      <w:r w:rsidRPr="006A5646">
        <w:rPr>
          <w:i/>
          <w:iCs/>
        </w:rPr>
        <w:t>Seven County Infrastructure Coalition v. Eagle County,</w:t>
      </w:r>
      <w:r w:rsidRPr="006A5646">
        <w:t xml:space="preserve"> 605 U.S. 168 (2025), the Supreme Court of the United States observed that decades of litigation had expanded NEPA’s procedural environmental statutes far beyond their text, turning what was intended to be a reasonable notice</w:t>
      </w:r>
      <w:r w:rsidRPr="006A5646">
        <w:rPr>
          <w:rFonts w:hint="eastAsia"/>
        </w:rPr>
        <w:t>‑</w:t>
      </w:r>
      <w:r w:rsidRPr="006A5646">
        <w:t>and</w:t>
      </w:r>
      <w:r w:rsidRPr="006A5646">
        <w:rPr>
          <w:rFonts w:hint="eastAsia"/>
        </w:rPr>
        <w:t>‑</w:t>
      </w:r>
      <w:r w:rsidRPr="006A5646">
        <w:t>analysis requirement into a means of paralyzing development, necessitating a course correction to restore NEPA to its proper status as a practical, reasonable decision-making tool, instead of a weapon wielded by project opponents to require ever more analysis of separate projects, consideration of attenuated effects, exploration of alternatives to proposed agency action, speculation, consultation, estimation, and litigation;</w:t>
      </w:r>
    </w:p>
    <w:p w14:paraId="462B8DF2" w14:textId="77777777" w:rsidR="00E61A9D" w:rsidRPr="006A5646" w:rsidRDefault="00E61A9D" w:rsidP="004523EC">
      <w:pPr>
        <w:pStyle w:val="ExoNormal"/>
        <w:rPr>
          <w:bCs/>
        </w:rPr>
      </w:pPr>
      <w:r w:rsidRPr="006A5646">
        <w:rPr>
          <w:bCs/>
        </w:rPr>
        <w:t>WHEREAS,</w:t>
      </w:r>
      <w:r w:rsidRPr="006A5646">
        <w:t xml:space="preserve"> the proper scope of federal jurisdiction and federal environmental review reflected in these decisions of the United States Supreme Court greatly curtailed the authority historically asserted by federal agencies, with the result that certain projects in Louisiana that previously would have been subjected to extensive federal review may now proceed with reduced or no federal review at all, while still remaining subject to the requirements imposed by Louisiana law;</w:t>
      </w:r>
    </w:p>
    <w:p w14:paraId="0FF14500" w14:textId="77777777" w:rsidR="00E61A9D" w:rsidRPr="006A5646" w:rsidRDefault="00E61A9D" w:rsidP="004523EC">
      <w:pPr>
        <w:pStyle w:val="ExoNormal"/>
        <w:rPr>
          <w:bCs/>
        </w:rPr>
      </w:pPr>
      <w:r w:rsidRPr="006A5646">
        <w:rPr>
          <w:bCs/>
        </w:rPr>
        <w:t>WHEREAS,</w:t>
      </w:r>
      <w:r w:rsidRPr="006A5646">
        <w:t xml:space="preserve"> it is the policy of this administration to modernize and streamline State permitting so that projects meeting the applicable legal requirements of Louisiana law are allowed to proceed without unnecessary duplication, delay, or the imposition of review obligations beyond those required, while fully preserving the State’s constitutional public-trustee duty and the protections enacted by the Legislature and acknowledged by the Louisiana Supreme Court;</w:t>
      </w:r>
    </w:p>
    <w:p w14:paraId="35F0BA70" w14:textId="77777777" w:rsidR="00E61A9D" w:rsidRPr="006A5646" w:rsidRDefault="00E61A9D" w:rsidP="004523EC">
      <w:pPr>
        <w:pStyle w:val="ExoNormal"/>
        <w:rPr>
          <w:bCs/>
        </w:rPr>
      </w:pPr>
      <w:r w:rsidRPr="006A5646">
        <w:rPr>
          <w:bCs/>
        </w:rPr>
        <w:t>WHEREAS,</w:t>
      </w:r>
      <w:r w:rsidRPr="006A5646">
        <w:t xml:space="preserve"> the Governor is charged under Article IV, Section 5 of the Constitution of Louisiana with the faithful execution of the laws of this State and with the supervision and direction of the agencies of the executive branch;</w:t>
      </w:r>
    </w:p>
    <w:p w14:paraId="6F2D1F52" w14:textId="77777777" w:rsidR="00E61A9D" w:rsidRPr="006A5646" w:rsidRDefault="00E61A9D" w:rsidP="004523EC">
      <w:pPr>
        <w:pStyle w:val="ExoNormal"/>
        <w:rPr>
          <w:bCs/>
        </w:rPr>
      </w:pPr>
      <w:r w:rsidRPr="006A5646">
        <w:rPr>
          <w:bCs/>
        </w:rPr>
        <w:t xml:space="preserve">NOW THEREFORE, I, JEFF LANDRY, </w:t>
      </w:r>
      <w:r w:rsidRPr="006A5646">
        <w:t>Governor of the State of Louisiana, by virtue of the authority vested in me by the Constitution and laws of the State of Louisiana, do hereby order and direct as follows:</w:t>
      </w:r>
    </w:p>
    <w:p w14:paraId="31177551" w14:textId="77777777" w:rsidR="00E61A9D" w:rsidRPr="006A5646" w:rsidRDefault="00E61A9D" w:rsidP="004523EC">
      <w:pPr>
        <w:pStyle w:val="1"/>
        <w:rPr>
          <w:bCs/>
        </w:rPr>
      </w:pPr>
      <w:r w:rsidRPr="006A5646">
        <w:t>Section 1:</w:t>
      </w:r>
      <w:r w:rsidRPr="006A5646">
        <w:tab/>
        <w:t xml:space="preserve">It is the policy of the State of Louisiana that environmental permitting be administered efficiently and without duplication, and that permit applicants whose projects are not subject to federal jurisdiction and satisfy the minimum requirements of Louisiana law be allowed to proceed without being subjected to additional obligations. Nothing in this Order shall be construed to diminish the duty of the State, its agencies, and officers, as public trustees of the environment under Article IX, Section 1 of the Constitution of Louisiana and </w:t>
      </w:r>
      <w:r w:rsidRPr="006A5646">
        <w:rPr>
          <w:i/>
          <w:iCs/>
        </w:rPr>
        <w:t>Save Ourselves, Inc. v. Louisiana Environmental Control Commission,</w:t>
      </w:r>
      <w:r w:rsidRPr="006A5646">
        <w:t xml:space="preserve"> 452 So.2d 1152 (La. 1984), or acts of the Legislature, including, but not limited to, the Louisiana Environmental Quality Act and </w:t>
      </w:r>
      <w:bookmarkStart w:id="17" w:name="_Hlk236380276"/>
      <w:r w:rsidRPr="006A5646">
        <w:t>the Louisiana State and Local Coastal Resources Management Act.</w:t>
      </w:r>
      <w:bookmarkEnd w:id="17"/>
    </w:p>
    <w:p w14:paraId="6BFC66E3" w14:textId="77777777" w:rsidR="00E61A9D" w:rsidRPr="006A5646" w:rsidRDefault="00E61A9D" w:rsidP="004523EC">
      <w:pPr>
        <w:pStyle w:val="1"/>
        <w:rPr>
          <w:bCs/>
        </w:rPr>
      </w:pPr>
      <w:r w:rsidRPr="006A5646">
        <w:t>Section 2:</w:t>
      </w:r>
      <w:r w:rsidRPr="006A5646">
        <w:tab/>
        <w:t>Definitions.</w:t>
      </w:r>
    </w:p>
    <w:p w14:paraId="4D03F0B9" w14:textId="77777777" w:rsidR="00E61A9D" w:rsidRPr="006A5646" w:rsidRDefault="00E61A9D" w:rsidP="004523EC">
      <w:pPr>
        <w:pStyle w:val="1"/>
        <w:rPr>
          <w:bCs/>
        </w:rPr>
      </w:pPr>
      <w:r w:rsidRPr="006A5646">
        <w:t>(1)</w:t>
      </w:r>
      <w:r w:rsidRPr="006A5646">
        <w:tab/>
        <w:t>“Covered agency” means the Department of Environmental Quality, the Department of Conservation and Energy, and every other department, office, agency, board, or commission in the executive branch that issues environmental permits, licenses, registrations, variances, or approvals under the laws of this State.</w:t>
      </w:r>
    </w:p>
    <w:p w14:paraId="2B36D687" w14:textId="77777777" w:rsidR="00E61A9D" w:rsidRPr="006A5646" w:rsidRDefault="00E61A9D" w:rsidP="004523EC">
      <w:pPr>
        <w:pStyle w:val="1"/>
        <w:rPr>
          <w:bCs/>
        </w:rPr>
      </w:pPr>
      <w:r w:rsidRPr="006A5646">
        <w:lastRenderedPageBreak/>
        <w:t>(2)</w:t>
      </w:r>
      <w:r w:rsidRPr="006A5646">
        <w:tab/>
        <w:t>“Federal review” means a review or analysis required by a federal agency under NEPA, the federal Clean Water Act, or other federal law, before permitting a project or other activity to commence.</w:t>
      </w:r>
    </w:p>
    <w:p w14:paraId="71D0D367" w14:textId="77777777" w:rsidR="00E61A9D" w:rsidRPr="006A5646" w:rsidRDefault="00E61A9D" w:rsidP="004523EC">
      <w:pPr>
        <w:pStyle w:val="1"/>
        <w:rPr>
          <w:bCs/>
        </w:rPr>
      </w:pPr>
      <w:r w:rsidRPr="006A5646">
        <w:t>(3)</w:t>
      </w:r>
      <w:r w:rsidRPr="006A5646">
        <w:tab/>
        <w:t>“Minimum requirements of Louisiana law” means the substantive and procedural requirements imposed by the Constitution of Louisiana, the Louisiana Environmental Quality Act, the Louisiana State and Local Coastal Resources Management Act, other acts of the Legislature, and the rules promulgated by covered agencies applicable to a particular permit application.</w:t>
      </w:r>
    </w:p>
    <w:p w14:paraId="734B18DE" w14:textId="77777777" w:rsidR="00E61A9D" w:rsidRPr="006A5646" w:rsidRDefault="00E61A9D" w:rsidP="004523EC">
      <w:pPr>
        <w:pStyle w:val="1"/>
        <w:rPr>
          <w:bCs/>
        </w:rPr>
      </w:pPr>
      <w:r w:rsidRPr="006A5646">
        <w:t>Section 3.</w:t>
      </w:r>
      <w:r w:rsidRPr="006A5646">
        <w:tab/>
        <w:t xml:space="preserve">Where a project or activity is not subject to federal review or permitting requirements, or is subject to reduced federal review or permitting requirements, as a result of </w:t>
      </w:r>
      <w:r w:rsidRPr="006A5646">
        <w:rPr>
          <w:i/>
          <w:iCs/>
        </w:rPr>
        <w:t>Sackett v. EPA,</w:t>
      </w:r>
      <w:r w:rsidRPr="006A5646">
        <w:t xml:space="preserve"> </w:t>
      </w:r>
      <w:r w:rsidRPr="006A5646">
        <w:rPr>
          <w:i/>
          <w:iCs/>
        </w:rPr>
        <w:t>Seven County Infrastructure Coalition v. Eagle County,</w:t>
      </w:r>
      <w:r w:rsidRPr="006A5646">
        <w:t xml:space="preserve"> or federal guidance implementing these decisions, no covered agency shall impose or increase State review and permitting obligations to replicate or replace federal review or permitting obligations that no longer apply to the project or activity.</w:t>
      </w:r>
    </w:p>
    <w:p w14:paraId="2305DFA1" w14:textId="77777777" w:rsidR="00E61A9D" w:rsidRPr="006A5646" w:rsidRDefault="00E61A9D" w:rsidP="004523EC">
      <w:pPr>
        <w:pStyle w:val="1"/>
        <w:rPr>
          <w:bCs/>
        </w:rPr>
      </w:pPr>
      <w:r w:rsidRPr="006A5646">
        <w:t>Section 4.</w:t>
      </w:r>
      <w:r w:rsidRPr="006A5646">
        <w:tab/>
        <w:t>A covered agency shall not require an applicant to satisfy review or permitting requirements exceeding the minimum requirements of Louisiana law, unless such additional requirements are independently imposed through an act of the Legislature or the regulations promulgated by a covered agency pursuant thereto.</w:t>
      </w:r>
    </w:p>
    <w:p w14:paraId="3360FB61" w14:textId="77777777" w:rsidR="00E61A9D" w:rsidRPr="006A5646" w:rsidRDefault="00E61A9D" w:rsidP="004523EC">
      <w:pPr>
        <w:pStyle w:val="1"/>
      </w:pPr>
      <w:r w:rsidRPr="006A5646">
        <w:t>Section 5.</w:t>
      </w:r>
      <w:r w:rsidRPr="006A5646">
        <w:rPr>
          <w:bCs/>
        </w:rPr>
        <w:tab/>
      </w:r>
      <w:r w:rsidRPr="006A5646">
        <w:t xml:space="preserve">The Secretaries of the Department of Environmental Quality, the Department of Conservation and Energy, and the heads of all other covered agencies are hereby directed to implement the decisions of the United States Supreme Court </w:t>
      </w:r>
      <w:bookmarkStart w:id="18" w:name="_Hlk236383362"/>
      <w:r w:rsidRPr="006A5646">
        <w:t xml:space="preserve">in </w:t>
      </w:r>
      <w:r w:rsidRPr="006A5646">
        <w:rPr>
          <w:i/>
          <w:iCs/>
        </w:rPr>
        <w:t xml:space="preserve">Sackett v. EPA </w:t>
      </w:r>
      <w:r w:rsidRPr="006A5646">
        <w:t xml:space="preserve">and </w:t>
      </w:r>
      <w:r w:rsidRPr="006A5646">
        <w:rPr>
          <w:i/>
          <w:iCs/>
        </w:rPr>
        <w:t>Seven County Infrastructure Coalition v. Eagle County</w:t>
      </w:r>
      <w:bookmarkEnd w:id="18"/>
      <w:r w:rsidRPr="006A5646">
        <w:t xml:space="preserve"> to expedite permitting and, as appropriate, to promulgate rules pursuant to the Administrative Procedure Act to expand and streamline expedited application processing that satisfies the minimum requirements of Louisiana law.</w:t>
      </w:r>
    </w:p>
    <w:p w14:paraId="2A98948D" w14:textId="77777777" w:rsidR="00E61A9D" w:rsidRPr="006A5646" w:rsidRDefault="00E61A9D" w:rsidP="004523EC">
      <w:pPr>
        <w:pStyle w:val="1"/>
      </w:pPr>
      <w:r w:rsidRPr="006A5646">
        <w:t>Section 6.</w:t>
      </w:r>
      <w:r w:rsidRPr="006A5646">
        <w:tab/>
        <w:t>Each covered agency shall identify categories of permits, modifications, licenses, registrations, and variances that may be expedited when the applicant demonstrates compliance with the minimum requirements of Louisiana law and shall publish timeframes for the review and disposition of such applications.</w:t>
      </w:r>
    </w:p>
    <w:p w14:paraId="3A87B6AC" w14:textId="77777777" w:rsidR="00E61A9D" w:rsidRPr="006A5646" w:rsidRDefault="00E61A9D" w:rsidP="004523EC">
      <w:pPr>
        <w:pStyle w:val="1"/>
        <w:rPr>
          <w:bCs/>
        </w:rPr>
      </w:pPr>
      <w:r w:rsidRPr="006A5646">
        <w:t>Section 7.</w:t>
      </w:r>
      <w:r w:rsidRPr="006A5646">
        <w:tab/>
        <w:t xml:space="preserve">When a project or activity is subject to federal review and permitting requirements under the federal Clean Water Act, NEPA, or other federal law, and a covered agency is tasked with providing a certification or other information, including, but not limited to, certification pursuant to 33 U.S.C. § 1341, the covered agency shall provide such certification or information in the most timely manner feasible, and shall not request any extension of an existing regulatory timeline without prior approval from the Governor. </w:t>
      </w:r>
    </w:p>
    <w:p w14:paraId="0377A8F9" w14:textId="77777777" w:rsidR="00E61A9D" w:rsidRPr="006A5646" w:rsidRDefault="00E61A9D" w:rsidP="004523EC">
      <w:pPr>
        <w:pStyle w:val="1"/>
      </w:pPr>
      <w:r w:rsidRPr="006A5646">
        <w:t>Section 8.</w:t>
      </w:r>
      <w:r w:rsidRPr="006A5646">
        <w:tab/>
        <w:t>Each covered agency shall develop a checklist of information and documentation that applicants may provide to facilitate and expedite the determination of federal jurisdiction and identification of the applicable minimum requirements of Louisiana law.</w:t>
      </w:r>
    </w:p>
    <w:p w14:paraId="209A0CAF" w14:textId="77777777" w:rsidR="00E61A9D" w:rsidRPr="006A5646" w:rsidRDefault="00E61A9D" w:rsidP="004523EC">
      <w:pPr>
        <w:pStyle w:val="1"/>
      </w:pPr>
      <w:r w:rsidRPr="006A5646">
        <w:t>Section 9.</w:t>
      </w:r>
      <w:r w:rsidRPr="006A5646">
        <w:tab/>
        <w:t>Each covered agency shall continue to apply existing exemptions and reduced requirements for minor modifications, minor variances, minor sources, renewals, and all other categories or circumstances authorized by the Legislature.</w:t>
      </w:r>
    </w:p>
    <w:p w14:paraId="50E56034" w14:textId="77777777" w:rsidR="00E61A9D" w:rsidRPr="006A5646" w:rsidRDefault="00E61A9D" w:rsidP="004523EC">
      <w:pPr>
        <w:pStyle w:val="1"/>
        <w:rPr>
          <w:bCs/>
        </w:rPr>
      </w:pPr>
      <w:r w:rsidRPr="006A5646">
        <w:t>Section 10.</w:t>
      </w:r>
      <w:r w:rsidRPr="006A5646">
        <w:tab/>
        <w:t>Nothing in this Order shall be construed to: (1) relieve any covered agency or any applicant of the public-trustee requirements set forth in Article IX, Section 1 of the Constitution of Louisiana and its implementing statutes, (2) authorize a covered agency to forgo any review or analysis independently required by Louisiana law, or (3) authorize any action inconsistent with State law or applicable federal law.</w:t>
      </w:r>
    </w:p>
    <w:p w14:paraId="0AA88170" w14:textId="77777777" w:rsidR="00E61A9D" w:rsidRPr="006A5646" w:rsidRDefault="00E61A9D" w:rsidP="004523EC">
      <w:pPr>
        <w:pStyle w:val="1"/>
        <w:rPr>
          <w:bCs/>
        </w:rPr>
      </w:pPr>
      <w:r w:rsidRPr="006A5646">
        <w:t>Section 11.</w:t>
      </w:r>
      <w:r w:rsidRPr="006A5646">
        <w:tab/>
        <w:t xml:space="preserve">Within ninety (90) days of the effective date of this Order, each covered agency shall submit a report to the Governor identifying: (1) the permits or permit categories affected by the reduced scope of federal jurisdiction and the reduced extent of required federal review stated by the United States Supreme Court in in </w:t>
      </w:r>
      <w:r w:rsidRPr="006A5646">
        <w:rPr>
          <w:i/>
          <w:iCs/>
        </w:rPr>
        <w:t xml:space="preserve">Sackett v. EPA </w:t>
      </w:r>
      <w:r w:rsidRPr="006A5646">
        <w:t xml:space="preserve">and </w:t>
      </w:r>
      <w:r w:rsidRPr="006A5646">
        <w:rPr>
          <w:i/>
          <w:iCs/>
        </w:rPr>
        <w:t>Seven County Infrastructure Coalition v. Eagle County</w:t>
      </w:r>
      <w:r w:rsidRPr="006A5646">
        <w:t>, (2) any review or permitting requirements of the covered agency that exceed the minimum requirements of Louisiana law, and (3) recommended changes to the covered agency’s regulations or internal processes and procedures that will facilitate implementation of this Order.</w:t>
      </w:r>
    </w:p>
    <w:p w14:paraId="7D7A514B" w14:textId="77777777" w:rsidR="00E61A9D" w:rsidRPr="006A5646" w:rsidRDefault="00E61A9D" w:rsidP="004523EC">
      <w:pPr>
        <w:pStyle w:val="1"/>
      </w:pPr>
      <w:r w:rsidRPr="006A5646">
        <w:t>Section 12.</w:t>
      </w:r>
      <w:r w:rsidRPr="006A5646">
        <w:tab/>
        <w:t>This Order is effective upon signature and shall remain in effect until amended, modified, terminated, or rescinded by the Governor, or terminated by operation of law.</w:t>
      </w:r>
    </w:p>
    <w:p w14:paraId="588D9F82" w14:textId="77777777" w:rsidR="00E61A9D" w:rsidRDefault="00E61A9D" w:rsidP="004523EC">
      <w:pPr>
        <w:pStyle w:val="ExoNormal"/>
      </w:pPr>
      <w:r w:rsidRPr="006A5646">
        <w:rPr>
          <w:bCs/>
        </w:rPr>
        <w:t>IN WITNESS WHEREOF</w:t>
      </w:r>
      <w:r w:rsidRPr="006A5646">
        <w:t>, I have set my hand officially and caused to be affixed the Great Seal of the State of Louisiana in the City of Baton Rouge, on this 12</w:t>
      </w:r>
      <w:r w:rsidRPr="006A5646">
        <w:rPr>
          <w:vertAlign w:val="superscript"/>
        </w:rPr>
        <w:t>th</w:t>
      </w:r>
      <w:r w:rsidRPr="006A5646">
        <w:t xml:space="preserve"> day of August, 2026.</w:t>
      </w:r>
    </w:p>
    <w:p w14:paraId="4C2D2268" w14:textId="77777777" w:rsidR="00E61A9D" w:rsidRDefault="00E61A9D" w:rsidP="004523EC">
      <w:pPr>
        <w:pStyle w:val="RegSignature"/>
      </w:pPr>
    </w:p>
    <w:p w14:paraId="7A8DC3FF" w14:textId="77777777" w:rsidR="00E61A9D" w:rsidRDefault="00E61A9D" w:rsidP="004523EC">
      <w:pPr>
        <w:pStyle w:val="RegSignature"/>
      </w:pPr>
      <w:r>
        <w:t>Jeff Landry</w:t>
      </w:r>
    </w:p>
    <w:p w14:paraId="2BA51422" w14:textId="77777777" w:rsidR="00E61A9D" w:rsidRDefault="00E61A9D" w:rsidP="004523EC">
      <w:pPr>
        <w:pStyle w:val="RegSignature"/>
      </w:pPr>
      <w:r>
        <w:t>Governor</w:t>
      </w:r>
    </w:p>
    <w:p w14:paraId="770237FC" w14:textId="77777777" w:rsidR="00E61A9D" w:rsidRDefault="00E61A9D" w:rsidP="004523EC">
      <w:pPr>
        <w:pStyle w:val="ExoSecOfState"/>
      </w:pPr>
      <w:r>
        <w:t>ATTEST BY</w:t>
      </w:r>
    </w:p>
    <w:p w14:paraId="2B2AC45F" w14:textId="77777777" w:rsidR="00E61A9D" w:rsidRDefault="00E61A9D" w:rsidP="004523EC">
      <w:pPr>
        <w:pStyle w:val="ExoSecOfState"/>
      </w:pPr>
      <w:r>
        <w:t>THE GOVERNOR</w:t>
      </w:r>
    </w:p>
    <w:p w14:paraId="22BC33E0" w14:textId="77777777" w:rsidR="00E61A9D" w:rsidRDefault="00E61A9D" w:rsidP="004523EC">
      <w:pPr>
        <w:pStyle w:val="ExoSecOfState"/>
      </w:pPr>
      <w:r>
        <w:t>Nancy Landry</w:t>
      </w:r>
    </w:p>
    <w:p w14:paraId="291ED72B" w14:textId="77777777" w:rsidR="00E61A9D" w:rsidRDefault="00E61A9D" w:rsidP="004523EC">
      <w:pPr>
        <w:pStyle w:val="ExoSecOfState"/>
      </w:pPr>
      <w:r>
        <w:t>Secretary of State</w:t>
      </w:r>
    </w:p>
    <w:p w14:paraId="1F314857" w14:textId="77777777" w:rsidR="00E61A9D" w:rsidRPr="006A5646" w:rsidRDefault="00E61A9D" w:rsidP="004523EC">
      <w:pPr>
        <w:pStyle w:val="RegLogNumber"/>
      </w:pPr>
      <w:r>
        <w:t>2609#083</w:t>
      </w:r>
    </w:p>
    <w:p w14:paraId="29EB3499" w14:textId="77777777" w:rsidR="00E61A9D" w:rsidRPr="00E61A9D" w:rsidRDefault="00E61A9D" w:rsidP="00E61A9D"/>
    <w:p w14:paraId="3C0CB799" w14:textId="77777777" w:rsidR="00E61A9D" w:rsidRDefault="00E61A9D" w:rsidP="00152802">
      <w:pPr>
        <w:pStyle w:val="RegItemFirstLine"/>
      </w:pPr>
      <w:r>
        <w:t>EXECUTIVE ORDER JML 26-079</w:t>
      </w:r>
    </w:p>
    <w:p w14:paraId="4EEC3083" w14:textId="77777777" w:rsidR="00E61A9D" w:rsidRPr="002E50A1" w:rsidRDefault="00E61A9D" w:rsidP="00152802">
      <w:pPr>
        <w:pStyle w:val="RegItemTitle"/>
      </w:pPr>
      <w:r w:rsidRPr="002E50A1">
        <w:t xml:space="preserve">Securing Louisiana’s Critical Minerals Supply Chain and Unleashing Domestic Alumina Production </w:t>
      </w:r>
    </w:p>
    <w:p w14:paraId="560DF9D0" w14:textId="77777777" w:rsidR="00E61A9D" w:rsidRPr="002E50A1" w:rsidRDefault="00E61A9D" w:rsidP="00152802">
      <w:pPr>
        <w:pStyle w:val="ExoNormal"/>
      </w:pPr>
      <w:r w:rsidRPr="002E50A1">
        <w:rPr>
          <w:bCs/>
        </w:rPr>
        <w:t xml:space="preserve">WHEREAS, </w:t>
      </w:r>
      <w:r w:rsidRPr="002E50A1">
        <w:t>the economic prosperity, national security, and industrial dominance of the United States and the State of Louisiana depend upon a reliable, secure, and domestically sourced supply of critical minerals;</w:t>
      </w:r>
      <w:r>
        <w:t xml:space="preserve"> </w:t>
      </w:r>
    </w:p>
    <w:p w14:paraId="713593CD" w14:textId="77777777" w:rsidR="00E61A9D" w:rsidRPr="002E50A1" w:rsidRDefault="00E61A9D" w:rsidP="00152802">
      <w:pPr>
        <w:pStyle w:val="ExoNormal"/>
      </w:pPr>
      <w:r w:rsidRPr="002E50A1">
        <w:rPr>
          <w:bCs/>
        </w:rPr>
        <w:t xml:space="preserve">WHEREAS, </w:t>
      </w:r>
      <w:r w:rsidRPr="002E50A1">
        <w:t xml:space="preserve">for decades, the United States has dangerously relied on foreign adversaries for the processing and refinement of heavy rare earth elements and critical minerals, exposing our defense industrial base and advanced manufacturing sectors to severe supply chain vulnerabilities; </w:t>
      </w:r>
    </w:p>
    <w:p w14:paraId="2F740740" w14:textId="77777777" w:rsidR="00E61A9D" w:rsidRPr="002E50A1" w:rsidRDefault="00E61A9D" w:rsidP="00152802">
      <w:pPr>
        <w:pStyle w:val="ExoNormal"/>
      </w:pPr>
      <w:r w:rsidRPr="002E50A1">
        <w:rPr>
          <w:bCs/>
        </w:rPr>
        <w:t xml:space="preserve">WHEREAS, </w:t>
      </w:r>
      <w:r w:rsidRPr="002E50A1">
        <w:t xml:space="preserve">it is the policy of this Administration to unequivocally prioritize the onshoring of critical mineral production, remove regulatory barriers to industrial innovation, and secure America’s supply chains from the ground up; </w:t>
      </w:r>
    </w:p>
    <w:p w14:paraId="1146EBC2" w14:textId="77777777" w:rsidR="00E61A9D" w:rsidRPr="002E50A1" w:rsidRDefault="00E61A9D" w:rsidP="00152802">
      <w:pPr>
        <w:pStyle w:val="ExoNormal"/>
      </w:pPr>
      <w:r w:rsidRPr="002E50A1">
        <w:rPr>
          <w:bCs/>
        </w:rPr>
        <w:t xml:space="preserve">WHEREAS, </w:t>
      </w:r>
      <w:r w:rsidRPr="002E50A1">
        <w:t xml:space="preserve">the State of Louisiana is uniquely positioned to lead the nation in this endeavor, possessing the necessary infrastructure, a highly skilled workforce, abundant low-cost energy, and strategic access to the Mississippi River and deep-water ports, allowing access to global trade routes and providing unmatched domestic connectivity; </w:t>
      </w:r>
    </w:p>
    <w:p w14:paraId="68CF2C38" w14:textId="77777777" w:rsidR="00E61A9D" w:rsidRPr="002E50A1" w:rsidRDefault="00E61A9D" w:rsidP="00152802">
      <w:pPr>
        <w:pStyle w:val="ExoNormal"/>
      </w:pPr>
      <w:r w:rsidRPr="002E50A1">
        <w:rPr>
          <w:bCs/>
        </w:rPr>
        <w:t xml:space="preserve">WHEREAS, </w:t>
      </w:r>
      <w:r w:rsidRPr="002E50A1">
        <w:t xml:space="preserve">Louisiana is proudly home to the nation’s sole active alumina refinery, located in Gramercy, which produces essential materials for American industry and holds </w:t>
      </w:r>
      <w:r w:rsidRPr="002E50A1">
        <w:lastRenderedPageBreak/>
        <w:t xml:space="preserve">massive, untapped potential in its bauxite residue, which can be reclaimed and processed into strategic minerals such as gallium, scandium, iron and titanium; </w:t>
      </w:r>
    </w:p>
    <w:p w14:paraId="6EE049C4" w14:textId="77777777" w:rsidR="00E61A9D" w:rsidRPr="002E50A1" w:rsidRDefault="00E61A9D" w:rsidP="00152802">
      <w:pPr>
        <w:pStyle w:val="ExoNormal"/>
      </w:pPr>
      <w:r w:rsidRPr="002E50A1">
        <w:rPr>
          <w:bCs/>
        </w:rPr>
        <w:t xml:space="preserve">WHEREAS, </w:t>
      </w:r>
      <w:r w:rsidRPr="002E50A1">
        <w:t xml:space="preserve">recent historic investments, supported by both the State of Louisiana and federal defense and energy initiatives, demonstrate that Louisiana is at the forefront of modernizing the critical minerals industry; and </w:t>
      </w:r>
    </w:p>
    <w:p w14:paraId="2D7AD3D9" w14:textId="77777777" w:rsidR="00E61A9D" w:rsidRPr="002E50A1" w:rsidRDefault="00E61A9D" w:rsidP="00152802">
      <w:pPr>
        <w:pStyle w:val="ExoNormal"/>
      </w:pPr>
      <w:r w:rsidRPr="002E50A1">
        <w:rPr>
          <w:bCs/>
        </w:rPr>
        <w:t xml:space="preserve">WHEREAS, </w:t>
      </w:r>
      <w:r w:rsidRPr="002E50A1">
        <w:t xml:space="preserve">by harnessing state-level resources, aggressively cutting bureaucratic red tape, and prioritizing world-class industrial infrastructure, Louisiana will drive the American resurgence in critical minerals and materials production, creating thousands of high-paying jobs for our citizens. </w:t>
      </w:r>
    </w:p>
    <w:p w14:paraId="5C1DF82F" w14:textId="77777777" w:rsidR="00E61A9D" w:rsidRPr="002E50A1" w:rsidRDefault="00E61A9D" w:rsidP="00152802">
      <w:pPr>
        <w:pStyle w:val="ExoNormal"/>
      </w:pPr>
      <w:r w:rsidRPr="002E50A1">
        <w:rPr>
          <w:bCs/>
        </w:rPr>
        <w:t xml:space="preserve">NOW THEREFORE, I, JEFF LANDRY, </w:t>
      </w:r>
      <w:r w:rsidRPr="002E50A1">
        <w:t>Governor of the State of Louisiana, by virtue of the authority vested in me by the Constitution and laws of the State of Louisiana, do hereby order and direct as follows:</w:t>
      </w:r>
    </w:p>
    <w:p w14:paraId="04C70070" w14:textId="77777777" w:rsidR="00E61A9D" w:rsidRPr="002E50A1" w:rsidRDefault="00E61A9D" w:rsidP="00152802">
      <w:pPr>
        <w:pStyle w:val="1"/>
      </w:pPr>
      <w:r w:rsidRPr="002E50A1">
        <w:t>Section 1:</w:t>
      </w:r>
      <w:r w:rsidRPr="002E50A1">
        <w:tab/>
        <w:t>It is hereby declared the policy of the State of Louisiana to aggressively pursue, support, and expand the domestic production, refinement, and processing of critical minerals, with a specific focus on alumina and its byproducts. Louisiana shall utilize all available state resources to streamline infrastructure development, attract capital investment, and onshore defense and energy supply chains.</w:t>
      </w:r>
    </w:p>
    <w:p w14:paraId="6168889A" w14:textId="77777777" w:rsidR="00E61A9D" w:rsidRPr="002E50A1" w:rsidRDefault="00E61A9D" w:rsidP="00152802">
      <w:pPr>
        <w:pStyle w:val="1"/>
      </w:pPr>
      <w:r w:rsidRPr="002E50A1">
        <w:t>Section 2:</w:t>
      </w:r>
      <w:r w:rsidRPr="002E50A1">
        <w:tab/>
        <w:t>Louisiana Economic Development (“LED”) shall immediately develop and implement a comprehensive economic development strategy to attract, retain, and expand critical mineral and mineral processing operations in the state, leveraging Louisiana’s existing industrial base, infrastructure, workforce, energy resources, and logistics assets to strengthen domestic supply chains, support commercial-scale investment, and position Louisiana as a leading U.S. location for critical mineral processing, refining, manufacturing, and related industries.</w:t>
      </w:r>
    </w:p>
    <w:p w14:paraId="024D5377" w14:textId="77777777" w:rsidR="00E61A9D" w:rsidRPr="002E50A1" w:rsidRDefault="00E61A9D" w:rsidP="00152802">
      <w:pPr>
        <w:pStyle w:val="1"/>
      </w:pPr>
      <w:r w:rsidRPr="002E50A1">
        <w:t>Section 3:</w:t>
      </w:r>
      <w:r w:rsidRPr="002E50A1">
        <w:tab/>
        <w:t xml:space="preserve">To ensure the rapid deployment of production facilities, the Louisiana Department of Environmental Quality (“LDEQ”), the Department of Conservation and Energy (“C&amp;E”), the Department of Transportation and Development, and any other executive branch agency with permitting authority applicable to proposed new production facilities or the expansion of existing production facilities, are directed to implement a priority review process for permits related to critical mineral extraction, refinement, and heavy manufacturing, consistent with the directives of Executive Order Numbers JML 24-166, JML 25-102, and JML 26-078. Agencies shall identify and streamline any state-level regulatory barriers that unnecessarily delay these vital economic and national security projects. </w:t>
      </w:r>
    </w:p>
    <w:p w14:paraId="6B87B5B3" w14:textId="77777777" w:rsidR="00E61A9D" w:rsidRPr="002E50A1" w:rsidRDefault="00E61A9D" w:rsidP="00152802">
      <w:pPr>
        <w:pStyle w:val="1"/>
      </w:pPr>
      <w:r w:rsidRPr="002E50A1">
        <w:t>Section 4:</w:t>
      </w:r>
      <w:r w:rsidRPr="002E50A1">
        <w:tab/>
        <w:t xml:space="preserve">The Department of Transportation and Development (“DOTD”) and Louisiana Economic Development (“LED”) shall immediately evaluate the infrastructure needs – including road, rail, port, and utility access – of existing and proposed mineral processing facilities in the state, prioritizing resources for the River Parish Region and other critical industrial corridors to support massive commercial-scale operations. </w:t>
      </w:r>
    </w:p>
    <w:p w14:paraId="50527A15" w14:textId="77777777" w:rsidR="00E61A9D" w:rsidRPr="002E50A1" w:rsidRDefault="00E61A9D" w:rsidP="00152802">
      <w:pPr>
        <w:pStyle w:val="1"/>
      </w:pPr>
      <w:r w:rsidRPr="002E50A1">
        <w:t>Section 5:</w:t>
      </w:r>
      <w:r w:rsidRPr="002E50A1">
        <w:tab/>
        <w:t xml:space="preserve">To support the massive capital requirements of revitalizing the domestic critical minerals supply chain, LED is explicitly directed to prioritize critical mineral processing, heavy rare earth extraction, and alumina refining projects for the Industrial Tax Exemption Program </w:t>
      </w:r>
      <w:r w:rsidRPr="002E50A1">
        <w:t xml:space="preserve">(“ITEP”), the Quality Jobs program, and other relevant state economic development incentives. </w:t>
      </w:r>
    </w:p>
    <w:p w14:paraId="07225152" w14:textId="77777777" w:rsidR="00E61A9D" w:rsidRPr="002E50A1" w:rsidRDefault="00E61A9D" w:rsidP="00152802">
      <w:pPr>
        <w:pStyle w:val="1"/>
      </w:pPr>
      <w:r w:rsidRPr="002E50A1">
        <w:t>Section 6:</w:t>
      </w:r>
      <w:r w:rsidRPr="002E50A1">
        <w:tab/>
        <w:t xml:space="preserve">Given the highly energy-intensive nature of alumina refining and critical mineral extraction, the Louisiana Public Service Commission (“LPSC”) is strongly encouraged to evaluate energy grid reliability in critical industrial corridors and explore special industrial power rates that maintain Louisiana’s global competitive advantage and support continuous, large-scale manufacturing. </w:t>
      </w:r>
    </w:p>
    <w:p w14:paraId="4A967A86" w14:textId="77777777" w:rsidR="00E61A9D" w:rsidRPr="002E50A1" w:rsidRDefault="00E61A9D" w:rsidP="00152802">
      <w:pPr>
        <w:pStyle w:val="1"/>
      </w:pPr>
      <w:r w:rsidRPr="002E50A1">
        <w:t>Section 7:</w:t>
      </w:r>
      <w:r w:rsidRPr="002E50A1">
        <w:tab/>
        <w:t>Louisiana Economic Development, through the LED FastStart program, shall collaborate with state universities, technical colleges, and private industry partners to develop specialized workforce training programs tailored to the advanced chemical processing, metallurgical, and rare earth extraction industries.</w:t>
      </w:r>
    </w:p>
    <w:p w14:paraId="09E74851" w14:textId="77777777" w:rsidR="00E61A9D" w:rsidRPr="002E50A1" w:rsidRDefault="00E61A9D" w:rsidP="00152802">
      <w:pPr>
        <w:pStyle w:val="1"/>
      </w:pPr>
      <w:r w:rsidRPr="002E50A1">
        <w:t>Section 8:</w:t>
      </w:r>
      <w:r w:rsidRPr="002E50A1">
        <w:tab/>
        <w:t xml:space="preserve">To ensure that state resources strictly protect United States national security interests, any critical minerals facility or project receiving state economic incentives, grants, or expedited permitting under this Order must verify that its proprietary extraction technologies, intellectual property, and primary supply chain partnerships are secure and not subject to the control, influence, or ownership of foreign adversaries. </w:t>
      </w:r>
    </w:p>
    <w:p w14:paraId="08CDF28B" w14:textId="77777777" w:rsidR="00E61A9D" w:rsidRPr="002E50A1" w:rsidRDefault="00E61A9D" w:rsidP="00152802">
      <w:pPr>
        <w:pStyle w:val="1"/>
      </w:pPr>
      <w:r w:rsidRPr="002E50A1">
        <w:t>Section 9:</w:t>
      </w:r>
      <w:r w:rsidRPr="002E50A1">
        <w:tab/>
        <w:t xml:space="preserve">All departments, commissions, boards, offices, entities, agencies, and officers of the State of Louisiana, or any political subdivision thereof, are authorized and directed to cooperate fully with the execution of this Order. </w:t>
      </w:r>
    </w:p>
    <w:p w14:paraId="5FDE6AED" w14:textId="77777777" w:rsidR="00E61A9D" w:rsidRPr="002E50A1" w:rsidRDefault="00E61A9D" w:rsidP="00152802">
      <w:pPr>
        <w:pStyle w:val="1"/>
      </w:pPr>
      <w:r w:rsidRPr="002E50A1">
        <w:t>Section 10:</w:t>
      </w:r>
      <w:r w:rsidRPr="002E50A1">
        <w:tab/>
        <w:t xml:space="preserve">The State of Louisiana shall actively coordinate and partner with the United States Department of War, federal defense agencies, and the defense industrial base to align state resources with federal national security priorities. Building upon Louisiana's proud history of supporting the American warfighter, securing defense supply chains, and hosting world-class military and research infrastructure, the State shall prioritize projects that ensure a secure, resilient, and uninterrupted supply of materials vital to our Armed Forces and national defense. </w:t>
      </w:r>
    </w:p>
    <w:p w14:paraId="72B8FB48" w14:textId="77777777" w:rsidR="00E61A9D" w:rsidRPr="002E50A1" w:rsidRDefault="00E61A9D" w:rsidP="00152802">
      <w:pPr>
        <w:pStyle w:val="1"/>
      </w:pPr>
      <w:r w:rsidRPr="002E50A1">
        <w:t>Section 11:</w:t>
      </w:r>
      <w:r w:rsidRPr="002E50A1">
        <w:tab/>
        <w:t>This Order is effective upon signature of the Governor, and it shall remain in effect until amended, modified, terminated, or rescinded by the Governor, or until terminated by operation of law.</w:t>
      </w:r>
    </w:p>
    <w:p w14:paraId="3D8CFCA8" w14:textId="77777777" w:rsidR="00E61A9D" w:rsidRDefault="00E61A9D" w:rsidP="00152802">
      <w:pPr>
        <w:pStyle w:val="ExoNormal"/>
      </w:pPr>
      <w:r w:rsidRPr="002E50A1">
        <w:rPr>
          <w:bCs/>
        </w:rPr>
        <w:t xml:space="preserve">IN WITNESS WHEREOF, </w:t>
      </w:r>
      <w:r w:rsidRPr="002E50A1">
        <w:t>I have set my hand officially and caused to be affixed the Great Seal of Louisiana in the City of Baton Rouge, on this 12</w:t>
      </w:r>
      <w:r w:rsidRPr="002E50A1">
        <w:rPr>
          <w:vertAlign w:val="superscript"/>
        </w:rPr>
        <w:t>th</w:t>
      </w:r>
      <w:r w:rsidRPr="002E50A1">
        <w:t xml:space="preserve"> day of August, 2026.</w:t>
      </w:r>
    </w:p>
    <w:p w14:paraId="64C58A7A" w14:textId="77777777" w:rsidR="00E61A9D" w:rsidRDefault="00E61A9D" w:rsidP="00152802">
      <w:pPr>
        <w:pStyle w:val="RegSignature"/>
      </w:pPr>
    </w:p>
    <w:p w14:paraId="095E552C" w14:textId="77777777" w:rsidR="00E61A9D" w:rsidRDefault="00E61A9D" w:rsidP="00152802">
      <w:pPr>
        <w:pStyle w:val="RegSignature"/>
      </w:pPr>
      <w:r>
        <w:t>Jeff Landry</w:t>
      </w:r>
    </w:p>
    <w:p w14:paraId="02F62D37" w14:textId="77777777" w:rsidR="00E61A9D" w:rsidRDefault="00E61A9D" w:rsidP="00152802">
      <w:pPr>
        <w:pStyle w:val="RegSignature"/>
      </w:pPr>
      <w:r>
        <w:t>Governor</w:t>
      </w:r>
    </w:p>
    <w:p w14:paraId="39313B3F" w14:textId="77777777" w:rsidR="00E61A9D" w:rsidRDefault="00E61A9D" w:rsidP="00152802">
      <w:pPr>
        <w:pStyle w:val="ExoSecOfState"/>
      </w:pPr>
      <w:r>
        <w:t>ATTEST BY</w:t>
      </w:r>
    </w:p>
    <w:p w14:paraId="30BAB66F" w14:textId="77777777" w:rsidR="00E61A9D" w:rsidRDefault="00E61A9D" w:rsidP="00152802">
      <w:pPr>
        <w:pStyle w:val="ExoSecOfState"/>
      </w:pPr>
      <w:r>
        <w:t>THE GOVERNOR</w:t>
      </w:r>
    </w:p>
    <w:p w14:paraId="05F582F0" w14:textId="77777777" w:rsidR="00E61A9D" w:rsidRDefault="00E61A9D" w:rsidP="00152802">
      <w:pPr>
        <w:pStyle w:val="ExoSecOfState"/>
      </w:pPr>
      <w:r>
        <w:t>Nancy Landry</w:t>
      </w:r>
    </w:p>
    <w:p w14:paraId="36ACF706" w14:textId="77777777" w:rsidR="00E61A9D" w:rsidRDefault="00E61A9D" w:rsidP="00152802">
      <w:pPr>
        <w:pStyle w:val="ExoSecOfState"/>
      </w:pPr>
      <w:r>
        <w:t>Secretary of State</w:t>
      </w:r>
    </w:p>
    <w:p w14:paraId="248D5FBF" w14:textId="77777777" w:rsidR="00E61A9D" w:rsidRPr="002E50A1" w:rsidRDefault="00E61A9D" w:rsidP="00152802">
      <w:pPr>
        <w:pStyle w:val="RegLogNumber"/>
      </w:pPr>
      <w:r>
        <w:t>2609#084</w:t>
      </w:r>
    </w:p>
    <w:p w14:paraId="1E71A58B" w14:textId="77777777" w:rsidR="00E61A9D" w:rsidRPr="00E61A9D" w:rsidRDefault="00E61A9D" w:rsidP="00E61A9D"/>
    <w:p w14:paraId="276CBA4B" w14:textId="77777777" w:rsidR="00E61A9D" w:rsidRDefault="00E61A9D" w:rsidP="00DA42CF">
      <w:pPr>
        <w:pStyle w:val="RegItemFirstLine"/>
      </w:pPr>
      <w:r>
        <w:t>EXECUTIVE ORDER JML 26-080</w:t>
      </w:r>
    </w:p>
    <w:p w14:paraId="11338DBD" w14:textId="77777777" w:rsidR="00E61A9D" w:rsidRDefault="00E61A9D" w:rsidP="00DA42CF">
      <w:pPr>
        <w:pStyle w:val="RegItemTitle"/>
        <w:rPr>
          <w:rFonts w:eastAsia="Aptos"/>
          <w:kern w:val="2"/>
        </w:rPr>
      </w:pPr>
      <w:r w:rsidRPr="007001A8">
        <w:rPr>
          <w:rFonts w:eastAsia="Aptos"/>
        </w:rPr>
        <w:t>Flags at Half-Staff</w:t>
      </w:r>
      <w:r>
        <w:rPr>
          <w:rFonts w:eastAsia="Aptos"/>
        </w:rPr>
        <w:t>—</w:t>
      </w:r>
      <w:r w:rsidRPr="007001A8">
        <w:t>Gurnie “Tutie” Richard</w:t>
      </w:r>
    </w:p>
    <w:p w14:paraId="01D151DF" w14:textId="77777777" w:rsidR="00E61A9D" w:rsidRPr="007001A8" w:rsidRDefault="00E61A9D" w:rsidP="00DA42CF">
      <w:pPr>
        <w:pStyle w:val="ExoNormal"/>
      </w:pPr>
      <w:r w:rsidRPr="007001A8">
        <w:rPr>
          <w:bCs/>
        </w:rPr>
        <w:t xml:space="preserve">WHEREAS, </w:t>
      </w:r>
      <w:r w:rsidRPr="007001A8">
        <w:t>Gurnie Joseph “Tutie” Richard made the ultimate sacrifice to our country on November 26, 1942;</w:t>
      </w:r>
    </w:p>
    <w:p w14:paraId="563E930E" w14:textId="77777777" w:rsidR="00E61A9D" w:rsidRPr="007001A8" w:rsidRDefault="00E61A9D" w:rsidP="00DA42CF">
      <w:pPr>
        <w:pStyle w:val="ExoNormal"/>
      </w:pPr>
      <w:r w:rsidRPr="007001A8">
        <w:rPr>
          <w:bCs/>
        </w:rPr>
        <w:t xml:space="preserve">WHEREAS, </w:t>
      </w:r>
      <w:r w:rsidRPr="007001A8">
        <w:t>he was born to Lester and Louise Daigle Richard on August 27, 1920, in Vinton, Louisiana;</w:t>
      </w:r>
    </w:p>
    <w:p w14:paraId="399C5F06" w14:textId="77777777" w:rsidR="00E61A9D" w:rsidRPr="007001A8" w:rsidRDefault="00E61A9D" w:rsidP="00DA42CF">
      <w:pPr>
        <w:pStyle w:val="ExoNormal"/>
      </w:pPr>
      <w:r w:rsidRPr="007001A8">
        <w:rPr>
          <w:bCs/>
        </w:rPr>
        <w:lastRenderedPageBreak/>
        <w:t>WHEREAS,</w:t>
      </w:r>
      <w:r w:rsidRPr="007001A8">
        <w:t xml:space="preserve"> he attended Vinton High School and was a part of the 1935-1936 Football State Championship team, alongside his brother;</w:t>
      </w:r>
      <w:r>
        <w:t xml:space="preserve"> </w:t>
      </w:r>
    </w:p>
    <w:p w14:paraId="3EF638FB" w14:textId="77777777" w:rsidR="00E61A9D" w:rsidRPr="007001A8" w:rsidRDefault="00E61A9D" w:rsidP="00DA42CF">
      <w:pPr>
        <w:pStyle w:val="ExoNormal"/>
      </w:pPr>
      <w:r w:rsidRPr="007001A8">
        <w:rPr>
          <w:bCs/>
        </w:rPr>
        <w:t>WHEREAS,</w:t>
      </w:r>
      <w:r w:rsidRPr="007001A8">
        <w:t xml:space="preserve"> shortly after his 20</w:t>
      </w:r>
      <w:r w:rsidRPr="007001A8">
        <w:rPr>
          <w:vertAlign w:val="superscript"/>
        </w:rPr>
        <w:t>th</w:t>
      </w:r>
      <w:r w:rsidRPr="007001A8">
        <w:t xml:space="preserve"> birthday, he answered his nation’s call with unwavering resolve, enlisting in the United States Army Air Corps;</w:t>
      </w:r>
    </w:p>
    <w:p w14:paraId="06F4B9D2" w14:textId="77777777" w:rsidR="00E61A9D" w:rsidRPr="007001A8" w:rsidRDefault="00E61A9D" w:rsidP="00DA42CF">
      <w:pPr>
        <w:pStyle w:val="ExoNormal"/>
      </w:pPr>
      <w:r w:rsidRPr="007001A8">
        <w:rPr>
          <w:bCs/>
        </w:rPr>
        <w:t>WHEREAS,</w:t>
      </w:r>
      <w:r w:rsidRPr="007001A8">
        <w:t xml:space="preserve"> he was deployed to the Philippines with the 17</w:t>
      </w:r>
      <w:r w:rsidRPr="007001A8">
        <w:rPr>
          <w:vertAlign w:val="superscript"/>
        </w:rPr>
        <w:t>th</w:t>
      </w:r>
      <w:r w:rsidRPr="007001A8">
        <w:t xml:space="preserve"> Bombardment Squadron, 27</w:t>
      </w:r>
      <w:r w:rsidRPr="007001A8">
        <w:rPr>
          <w:vertAlign w:val="superscript"/>
        </w:rPr>
        <w:t>th</w:t>
      </w:r>
      <w:r w:rsidRPr="007001A8">
        <w:t xml:space="preserve"> Bombardment Group on November 20, 1941, as part of the buildup of United States Army Forces in the Far East;</w:t>
      </w:r>
    </w:p>
    <w:p w14:paraId="75896F73" w14:textId="77777777" w:rsidR="00E61A9D" w:rsidRPr="007001A8" w:rsidRDefault="00E61A9D" w:rsidP="00DA42CF">
      <w:pPr>
        <w:pStyle w:val="ExoNormal"/>
      </w:pPr>
      <w:r w:rsidRPr="007001A8">
        <w:rPr>
          <w:bCs/>
        </w:rPr>
        <w:t>WHEREAS,</w:t>
      </w:r>
      <w:r w:rsidRPr="007001A8">
        <w:t xml:space="preserve"> after resisting enemy forces for </w:t>
      </w:r>
      <w:r w:rsidRPr="007001A8" w:rsidDel="00446C4A">
        <w:t>four</w:t>
      </w:r>
      <w:r w:rsidRPr="007001A8">
        <w:t xml:space="preserve"> months while suffering from a lack of food, medicine, and ammunition, the United States forces surrendered on the Bataan Peninsula on April 9, 1942;</w:t>
      </w:r>
    </w:p>
    <w:p w14:paraId="34857787" w14:textId="77777777" w:rsidR="00E61A9D" w:rsidRPr="007001A8" w:rsidRDefault="00E61A9D" w:rsidP="00DA42CF">
      <w:pPr>
        <w:pStyle w:val="ExoNormal"/>
      </w:pPr>
      <w:r w:rsidRPr="007001A8">
        <w:rPr>
          <w:bCs/>
        </w:rPr>
        <w:t>WHEREAS,</w:t>
      </w:r>
      <w:r w:rsidRPr="007001A8">
        <w:t xml:space="preserve"> following the surrender, he was taken as a prisoner of war; </w:t>
      </w:r>
    </w:p>
    <w:p w14:paraId="7F474D7B" w14:textId="77777777" w:rsidR="00E61A9D" w:rsidRPr="007001A8" w:rsidRDefault="00E61A9D" w:rsidP="00DA42CF">
      <w:pPr>
        <w:pStyle w:val="ExoNormal"/>
      </w:pPr>
      <w:r w:rsidRPr="007001A8">
        <w:rPr>
          <w:bCs/>
        </w:rPr>
        <w:t>WHEREAS</w:t>
      </w:r>
      <w:r w:rsidRPr="007001A8">
        <w:t xml:space="preserve">, he was among the approximately 75,000 American and Filipino American prisoners of war forced into the brutal 65-mile Bataan Death March, one of the most horrific trials of World War II; </w:t>
      </w:r>
    </w:p>
    <w:p w14:paraId="6D7466E9" w14:textId="77777777" w:rsidR="00E61A9D" w:rsidRPr="007001A8" w:rsidRDefault="00E61A9D" w:rsidP="00DA42CF">
      <w:pPr>
        <w:pStyle w:val="ExoNormal"/>
      </w:pPr>
      <w:r w:rsidRPr="007001A8">
        <w:rPr>
          <w:bCs/>
        </w:rPr>
        <w:t>WHEREAS</w:t>
      </w:r>
      <w:r w:rsidRPr="007001A8">
        <w:t xml:space="preserve">, he met this profound cruelty with a courage that continues to inspire and humble us; </w:t>
      </w:r>
    </w:p>
    <w:p w14:paraId="259CE2F8" w14:textId="77777777" w:rsidR="00E61A9D" w:rsidRPr="007001A8" w:rsidRDefault="00E61A9D" w:rsidP="00DA42CF">
      <w:pPr>
        <w:pStyle w:val="ExoNormal"/>
      </w:pPr>
      <w:r w:rsidRPr="007001A8">
        <w:rPr>
          <w:bCs/>
        </w:rPr>
        <w:t>WHEREAS,</w:t>
      </w:r>
      <w:r w:rsidRPr="007001A8">
        <w:t xml:space="preserve"> following the Bataan Death March, he was imprisoned at the Cabanatuan POW Camp #1, where disease was rampant due to horrendous conditions;</w:t>
      </w:r>
    </w:p>
    <w:p w14:paraId="0EBC1458" w14:textId="77777777" w:rsidR="00E61A9D" w:rsidRPr="007001A8" w:rsidRDefault="00E61A9D" w:rsidP="00DA42CF">
      <w:pPr>
        <w:pStyle w:val="ExoNormal"/>
      </w:pPr>
      <w:r w:rsidRPr="007001A8">
        <w:rPr>
          <w:bCs/>
        </w:rPr>
        <w:t>WHEREAS,</w:t>
      </w:r>
      <w:r w:rsidRPr="007001A8">
        <w:t xml:space="preserve"> facing this relentless hardship and extreme nutritional deprivation, he died on November 26, 1942;</w:t>
      </w:r>
    </w:p>
    <w:p w14:paraId="60653C0C" w14:textId="77777777" w:rsidR="00E61A9D" w:rsidRPr="007001A8" w:rsidRDefault="00E61A9D" w:rsidP="00DA42CF">
      <w:pPr>
        <w:pStyle w:val="ExoNormal"/>
      </w:pPr>
      <w:r w:rsidRPr="007001A8">
        <w:rPr>
          <w:bCs/>
        </w:rPr>
        <w:t>WHEREAS,</w:t>
      </w:r>
      <w:r w:rsidRPr="007001A8">
        <w:t xml:space="preserve"> because so many were losing their lives at Cabanatuan Camp #1, the camp adopted a mass interment system, burying all who died in a single day in a common grave;</w:t>
      </w:r>
    </w:p>
    <w:p w14:paraId="26BD8E86" w14:textId="77777777" w:rsidR="00E61A9D" w:rsidRPr="007001A8" w:rsidRDefault="00E61A9D" w:rsidP="00DA42CF">
      <w:pPr>
        <w:pStyle w:val="ExoNormal"/>
      </w:pPr>
      <w:r w:rsidRPr="007001A8">
        <w:rPr>
          <w:bCs/>
        </w:rPr>
        <w:t>WHEREAS</w:t>
      </w:r>
      <w:r w:rsidRPr="007001A8">
        <w:t>, the United States Army Quartermaster Corps’ American Graves Registration Service exhumed much of the Cabanatuan Camp #1 graves from December 1945 through March 1946, including the grave in which Gurnie Joseph Richard was buried;</w:t>
      </w:r>
    </w:p>
    <w:p w14:paraId="51116F50" w14:textId="77777777" w:rsidR="00E61A9D" w:rsidRPr="007001A8" w:rsidRDefault="00E61A9D" w:rsidP="00DA42CF">
      <w:pPr>
        <w:pStyle w:val="ExoNormal"/>
      </w:pPr>
      <w:r w:rsidRPr="007001A8">
        <w:rPr>
          <w:bCs/>
        </w:rPr>
        <w:t>WHEREAS,</w:t>
      </w:r>
      <w:r w:rsidRPr="007001A8">
        <w:t xml:space="preserve"> in August 1949, he was declared nonrecoverable, as there were no additional leads which could aid in identifying his remains;</w:t>
      </w:r>
    </w:p>
    <w:p w14:paraId="24E83897" w14:textId="77777777" w:rsidR="00E61A9D" w:rsidRPr="007001A8" w:rsidRDefault="00E61A9D" w:rsidP="00DA42CF">
      <w:pPr>
        <w:pStyle w:val="ExoNormal"/>
      </w:pPr>
      <w:r w:rsidRPr="007001A8">
        <w:rPr>
          <w:bCs/>
        </w:rPr>
        <w:t>WHEREAS,</w:t>
      </w:r>
      <w:r w:rsidRPr="007001A8">
        <w:t xml:space="preserve"> under the leadership of President Donald J. Trump, Technician, Fifth Grade Gurnie Joseph Richard is coming home on August 20, 2026, 84 years later, to be laid to rest with his parents;</w:t>
      </w:r>
    </w:p>
    <w:p w14:paraId="7BCFBB3D" w14:textId="77777777" w:rsidR="00E61A9D" w:rsidRPr="007001A8" w:rsidRDefault="00E61A9D" w:rsidP="00DA42CF">
      <w:pPr>
        <w:pStyle w:val="ExoNormal"/>
      </w:pPr>
      <w:r w:rsidRPr="007001A8">
        <w:rPr>
          <w:bCs/>
        </w:rPr>
        <w:t>WHEREAS</w:t>
      </w:r>
      <w:r w:rsidRPr="007001A8">
        <w:t>, he was followed in death by his parents, Lester and Louise Daigle Richard; two siblings, Virgie Richard Singleton and Bernie J. Richard; his niece, Mary Dee Richard Nicks; and his nephew, Don Reese Richard;</w:t>
      </w:r>
    </w:p>
    <w:p w14:paraId="6B4F10D0" w14:textId="77777777" w:rsidR="00E61A9D" w:rsidRPr="007001A8" w:rsidRDefault="00E61A9D" w:rsidP="00DA42CF">
      <w:pPr>
        <w:pStyle w:val="ExoNormal"/>
      </w:pPr>
      <w:r w:rsidRPr="007001A8">
        <w:rPr>
          <w:bCs/>
        </w:rPr>
        <w:t>WHEREAS,</w:t>
      </w:r>
      <w:r w:rsidRPr="007001A8">
        <w:t xml:space="preserve"> he is survived by his nieces, Joy Singleton Parrott of Youngsville, Louisiana and Jane Anne Richard of Lake Charles, Louisiana; along with numerous great-nieces and great-nephews;</w:t>
      </w:r>
    </w:p>
    <w:p w14:paraId="5344ECEE" w14:textId="77777777" w:rsidR="00E61A9D" w:rsidRPr="007001A8" w:rsidRDefault="00E61A9D" w:rsidP="00DA42CF">
      <w:pPr>
        <w:pStyle w:val="ExoNormal"/>
      </w:pPr>
      <w:r w:rsidRPr="007001A8">
        <w:rPr>
          <w:bCs/>
        </w:rPr>
        <w:t xml:space="preserve">WHEREAS, </w:t>
      </w:r>
      <w:r w:rsidRPr="007001A8">
        <w:t>his death in service to our country remains a solemn reminder of the price paid by those who fought for freedom, and the State of Louisiana honors him with the profound gratitude he so deeply earned;</w:t>
      </w:r>
    </w:p>
    <w:p w14:paraId="1642398F" w14:textId="77777777" w:rsidR="00E61A9D" w:rsidRPr="007001A8" w:rsidRDefault="00E61A9D" w:rsidP="00DA42CF">
      <w:pPr>
        <w:pStyle w:val="ExoNormal"/>
      </w:pPr>
      <w:r w:rsidRPr="007001A8">
        <w:rPr>
          <w:bCs/>
        </w:rPr>
        <w:t>NOW THEREFORE, I,</w:t>
      </w:r>
      <w:r w:rsidRPr="007001A8">
        <w:t xml:space="preserve"> </w:t>
      </w:r>
      <w:r w:rsidRPr="007001A8">
        <w:rPr>
          <w:bCs/>
        </w:rPr>
        <w:t xml:space="preserve">JEFF LANDRY, </w:t>
      </w:r>
      <w:r w:rsidRPr="007001A8">
        <w:t xml:space="preserve">Governor of the State of Louisiana, by virtue of the authority vested by the Constitution and the laws of the State of Louisiana, do hereby order and direct as follows: </w:t>
      </w:r>
    </w:p>
    <w:p w14:paraId="05A6E74A" w14:textId="35F984DF" w:rsidR="00E61A9D" w:rsidRPr="007001A8" w:rsidRDefault="00724E40" w:rsidP="00DA42CF">
      <w:pPr>
        <w:pStyle w:val="1"/>
      </w:pPr>
      <w:r>
        <w:br w:type="column"/>
      </w:r>
      <w:r w:rsidR="00E61A9D" w:rsidRPr="007001A8">
        <w:t>Section 1:</w:t>
      </w:r>
      <w:r w:rsidR="00E61A9D" w:rsidRPr="007001A8">
        <w:tab/>
        <w:t>As an expression of respect and to honor Gurnie Joseph “Tutie” Richard, the flags of the United States and the State of Louisiana shall be flown at half-staff over the State Capitol and all state buildings from sunrise until sunset on Thursday, August 20, 2026.</w:t>
      </w:r>
    </w:p>
    <w:p w14:paraId="6F03A82B" w14:textId="77777777" w:rsidR="00E61A9D" w:rsidRPr="007001A8" w:rsidRDefault="00E61A9D" w:rsidP="00DA42CF">
      <w:pPr>
        <w:pStyle w:val="1"/>
      </w:pPr>
      <w:r w:rsidRPr="007001A8">
        <w:t>Section 2:</w:t>
      </w:r>
      <w:r w:rsidRPr="007001A8">
        <w:tab/>
        <w:t>This Order is effective upon signature and shall remain in effect until sunset, on August 20, 2026.</w:t>
      </w:r>
    </w:p>
    <w:p w14:paraId="7A5772DA" w14:textId="77777777" w:rsidR="00E61A9D" w:rsidRDefault="00E61A9D" w:rsidP="00DA42CF">
      <w:pPr>
        <w:pStyle w:val="ExoNormal"/>
        <w:rPr>
          <w:bCs/>
        </w:rPr>
      </w:pPr>
      <w:r w:rsidRPr="007001A8">
        <w:rPr>
          <w:bCs/>
        </w:rPr>
        <w:t xml:space="preserve">IN WITNESS WHEREOF, </w:t>
      </w:r>
      <w:r w:rsidRPr="007001A8">
        <w:t>I have set my hand officially and caused to be affixed the Great Seal of Louisiana in the City of Baton Rouge, on this 17</w:t>
      </w:r>
      <w:r w:rsidRPr="007001A8">
        <w:rPr>
          <w:vertAlign w:val="superscript"/>
        </w:rPr>
        <w:t>th</w:t>
      </w:r>
      <w:r w:rsidRPr="007001A8">
        <w:t xml:space="preserve"> day of August 2026.</w:t>
      </w:r>
    </w:p>
    <w:p w14:paraId="07DE1181" w14:textId="77777777" w:rsidR="00E61A9D" w:rsidRDefault="00E61A9D" w:rsidP="00DA42CF">
      <w:pPr>
        <w:pStyle w:val="RegSignature"/>
      </w:pPr>
    </w:p>
    <w:p w14:paraId="6D524286" w14:textId="77777777" w:rsidR="00E61A9D" w:rsidRDefault="00E61A9D" w:rsidP="00DA42CF">
      <w:pPr>
        <w:pStyle w:val="RegSignature"/>
      </w:pPr>
      <w:r>
        <w:t>Jeff Landry</w:t>
      </w:r>
    </w:p>
    <w:p w14:paraId="07CF0585" w14:textId="77777777" w:rsidR="00E61A9D" w:rsidRDefault="00E61A9D" w:rsidP="00DA42CF">
      <w:pPr>
        <w:pStyle w:val="RegSignature"/>
      </w:pPr>
      <w:r>
        <w:t>Governor</w:t>
      </w:r>
    </w:p>
    <w:p w14:paraId="2C137617" w14:textId="77777777" w:rsidR="00E61A9D" w:rsidRDefault="00E61A9D" w:rsidP="00DA42CF">
      <w:pPr>
        <w:pStyle w:val="ExoSecOfState"/>
      </w:pPr>
      <w:r>
        <w:t>ATTEST BY</w:t>
      </w:r>
    </w:p>
    <w:p w14:paraId="01A621BB" w14:textId="77777777" w:rsidR="00E61A9D" w:rsidRDefault="00E61A9D" w:rsidP="00DA42CF">
      <w:pPr>
        <w:pStyle w:val="ExoSecOfState"/>
      </w:pPr>
      <w:r>
        <w:t>THE GOVERNOR</w:t>
      </w:r>
    </w:p>
    <w:p w14:paraId="5D68C073" w14:textId="77777777" w:rsidR="00E61A9D" w:rsidRDefault="00E61A9D" w:rsidP="00DA42CF">
      <w:pPr>
        <w:pStyle w:val="ExoSecOfState"/>
      </w:pPr>
      <w:r>
        <w:t>Nancy Landry</w:t>
      </w:r>
    </w:p>
    <w:p w14:paraId="16ABDA7E" w14:textId="77777777" w:rsidR="00E61A9D" w:rsidRDefault="00E61A9D" w:rsidP="00DA42CF">
      <w:pPr>
        <w:pStyle w:val="ExoSecOfState"/>
      </w:pPr>
      <w:r>
        <w:t>Secretary of State</w:t>
      </w:r>
    </w:p>
    <w:p w14:paraId="59E9C320" w14:textId="77777777" w:rsidR="00E61A9D" w:rsidRPr="007001A8" w:rsidRDefault="00E61A9D" w:rsidP="00DA42CF">
      <w:pPr>
        <w:pStyle w:val="RegLogNumber"/>
      </w:pPr>
      <w:r>
        <w:t>2609#085</w:t>
      </w:r>
    </w:p>
    <w:p w14:paraId="5AE2C9B4" w14:textId="77777777" w:rsidR="00E61A9D" w:rsidRPr="00E61A9D" w:rsidRDefault="00E61A9D" w:rsidP="00E61A9D"/>
    <w:p w14:paraId="5EC7858F" w14:textId="77777777" w:rsidR="00E61A9D" w:rsidRDefault="00E61A9D" w:rsidP="0034191F">
      <w:pPr>
        <w:pStyle w:val="RegItemFirstLine"/>
      </w:pPr>
      <w:r>
        <w:t>EXECUTIVE ORDER JML 26-081</w:t>
      </w:r>
    </w:p>
    <w:p w14:paraId="275BB616" w14:textId="77777777" w:rsidR="00E61A9D" w:rsidRDefault="00E61A9D" w:rsidP="0034191F">
      <w:pPr>
        <w:pStyle w:val="RegItemTitle"/>
      </w:pPr>
      <w:r w:rsidRPr="00910204">
        <w:t>Emergency Declaration</w:t>
      </w:r>
      <w:r>
        <w:br/>
      </w:r>
      <w:r w:rsidRPr="00910204">
        <w:t>La 384 Black Bayou Pontoon Bridge, Calcasieu Parish</w:t>
      </w:r>
    </w:p>
    <w:p w14:paraId="04653C7E" w14:textId="77777777" w:rsidR="00E61A9D" w:rsidRPr="00910204" w:rsidRDefault="00E61A9D" w:rsidP="0034191F">
      <w:pPr>
        <w:pStyle w:val="ExoNormal"/>
      </w:pPr>
      <w:r w:rsidRPr="00910204">
        <w:t xml:space="preserve">WHEREAS, the Louisiana Homeland Security and Emergency Assistance and Disaster Act, R.S. 29:721, </w:t>
      </w:r>
      <w:r w:rsidRPr="00910204">
        <w:rPr>
          <w:i/>
        </w:rPr>
        <w:t xml:space="preserve">et seq., </w:t>
      </w:r>
      <w:r w:rsidRPr="00910204">
        <w:t>confers upon the Governor of the State of Louisiana emergency powers to deal with emergencies and disasters;</w:t>
      </w:r>
    </w:p>
    <w:p w14:paraId="3ACE60BA" w14:textId="77777777" w:rsidR="00E61A9D" w:rsidRPr="00910204" w:rsidRDefault="00E61A9D" w:rsidP="0034191F">
      <w:pPr>
        <w:pStyle w:val="ExoNormal"/>
      </w:pPr>
      <w:r w:rsidRPr="00910204">
        <w:rPr>
          <w:bCs/>
          <w:color w:val="1F1F1F"/>
        </w:rPr>
        <w:t>WHEREAS,</w:t>
      </w:r>
      <w:r w:rsidRPr="00910204">
        <w:t xml:space="preserve"> the Governor is responsible for meeting the dangers to the State and its people presented by emergencies;</w:t>
      </w:r>
    </w:p>
    <w:p w14:paraId="1A6186D4" w14:textId="77777777" w:rsidR="00E61A9D" w:rsidRPr="00910204" w:rsidRDefault="00E61A9D" w:rsidP="0034191F">
      <w:pPr>
        <w:pStyle w:val="ExoNormal"/>
      </w:pPr>
      <w:r w:rsidRPr="00910204">
        <w:t xml:space="preserve">WHEREAS, when the Governor determines that a disaster or emergency has occurred, or the threat thereof is imminent, R.S. 29:724(B)(1) empowers him to declare a state of disaster or emergency by executive order or proclamation, or both; </w:t>
      </w:r>
    </w:p>
    <w:p w14:paraId="2A7E42E4" w14:textId="77777777" w:rsidR="00E61A9D" w:rsidRPr="00910204" w:rsidRDefault="00E61A9D" w:rsidP="0034191F">
      <w:pPr>
        <w:pStyle w:val="ExoNormal"/>
      </w:pPr>
      <w:r w:rsidRPr="00910204">
        <w:t xml:space="preserve">WHEREAS, on June 22, 2026, a vessel traveling on the Gulf Intracoastal Waterway struck the Black Bayou Pontoon Bridge located on Louisiana Highway 384 in Calcasieu Parish; </w:t>
      </w:r>
    </w:p>
    <w:p w14:paraId="48D8F06E" w14:textId="77777777" w:rsidR="00E61A9D" w:rsidRPr="00910204" w:rsidRDefault="00E61A9D" w:rsidP="0034191F">
      <w:pPr>
        <w:pStyle w:val="ExoNormal"/>
      </w:pPr>
      <w:r w:rsidRPr="00910204">
        <w:t>WHEREAS, preliminary assessments have identified extensive damage to the bridge, including its pontoon, apron, spans, and fender systems, operator house and machinery, rendering the bridge unsafe for public travel and requiring its closure to both vehicular and marine traffic for as long as twenty-four months while necessary repairs are completed;</w:t>
      </w:r>
    </w:p>
    <w:p w14:paraId="458C905D" w14:textId="77777777" w:rsidR="00E61A9D" w:rsidRPr="00910204" w:rsidRDefault="00E61A9D" w:rsidP="0034191F">
      <w:pPr>
        <w:pStyle w:val="ExoNormal"/>
      </w:pPr>
      <w:r w:rsidRPr="00910204">
        <w:t xml:space="preserve">WHEREAS, the closure requires motorists to use the Grand Lake Pontoon Bridge as an alternate route and leaves residents south of the bridge with only one available route heading north, requiring additional emergency and hurricane evacuation planning in Calcasieu and Cameron Parishes; </w:t>
      </w:r>
    </w:p>
    <w:p w14:paraId="3C8B28E9" w14:textId="77777777" w:rsidR="00E61A9D" w:rsidRPr="00910204" w:rsidRDefault="00E61A9D" w:rsidP="0034191F">
      <w:pPr>
        <w:pStyle w:val="ExoNormal"/>
      </w:pPr>
      <w:r w:rsidRPr="00910204">
        <w:t>NOW THEREFORE, I, JEFF LANDRY, Governor of the State of Louisiana, by virtue of the authority vested by the Constitution and laws of the State of Louisiana, order and direct as follows:</w:t>
      </w:r>
    </w:p>
    <w:p w14:paraId="41AD466A" w14:textId="77777777" w:rsidR="00E61A9D" w:rsidRPr="00910204" w:rsidRDefault="00E61A9D" w:rsidP="0034191F">
      <w:pPr>
        <w:pStyle w:val="1"/>
      </w:pPr>
      <w:r w:rsidRPr="00910204">
        <w:t>Section 1:</w:t>
      </w:r>
      <w:r w:rsidRPr="00910204">
        <w:tab/>
        <w:t xml:space="preserve">Pursuant to the Louisiana Homeland Security and Emergency Assistance and Disaster Act, R.S. 29:721, </w:t>
      </w:r>
      <w:r w:rsidRPr="00910204">
        <w:rPr>
          <w:i/>
        </w:rPr>
        <w:t>et seq</w:t>
      </w:r>
      <w:r w:rsidRPr="00910204">
        <w:t>., a state of emergency is declared to exist in Calcasieu Parish, Louisiana, as pertains to the Black Bayou Pontoon Bridge on Louisiana Highway 384.</w:t>
      </w:r>
    </w:p>
    <w:p w14:paraId="515CB826" w14:textId="77777777" w:rsidR="00724E40" w:rsidRDefault="00724E40" w:rsidP="0034191F">
      <w:pPr>
        <w:pStyle w:val="1"/>
      </w:pPr>
      <w:r>
        <w:br w:type="page"/>
      </w:r>
    </w:p>
    <w:p w14:paraId="2F732D32" w14:textId="6C6DF4FE" w:rsidR="00E61A9D" w:rsidRPr="00910204" w:rsidRDefault="00E61A9D" w:rsidP="0034191F">
      <w:pPr>
        <w:pStyle w:val="1"/>
      </w:pPr>
      <w:r w:rsidRPr="00910204">
        <w:lastRenderedPageBreak/>
        <w:t>Section 2:</w:t>
      </w:r>
      <w:r w:rsidRPr="00910204">
        <w:tab/>
        <w:t>All departments, commissions, boards, agencies, and officers of the State, or any political subdivision thereof, are authorized and directed to cooperate in actions the State may take in response to this event.</w:t>
      </w:r>
    </w:p>
    <w:p w14:paraId="7099A516" w14:textId="77777777" w:rsidR="00E61A9D" w:rsidRPr="00910204" w:rsidRDefault="00E61A9D" w:rsidP="0034191F">
      <w:pPr>
        <w:pStyle w:val="1"/>
      </w:pPr>
      <w:r w:rsidRPr="00910204">
        <w:t>Section 3:</w:t>
      </w:r>
      <w:r w:rsidRPr="00910204">
        <w:tab/>
        <w:t>This Order is effective upon signature and shall remain in effect through Sunday September 20, 2026, unless extended accordance with applicable law or terminated sooner.</w:t>
      </w:r>
    </w:p>
    <w:p w14:paraId="515F3999" w14:textId="77777777" w:rsidR="00E61A9D" w:rsidRDefault="00E61A9D" w:rsidP="0034191F">
      <w:pPr>
        <w:pStyle w:val="ExoNormal"/>
        <w:rPr>
          <w:bCs/>
          <w:i/>
          <w:iCs/>
        </w:rPr>
      </w:pPr>
      <w:r w:rsidRPr="00910204">
        <w:rPr>
          <w:bCs/>
        </w:rPr>
        <w:t xml:space="preserve">IN WITNESS WHEREOF, </w:t>
      </w:r>
      <w:r w:rsidRPr="00910204">
        <w:t>I have set my hand officially and caused to be affixed the Great Seal of Louisiana in the City of Baton Rouge, on this 21</w:t>
      </w:r>
      <w:r w:rsidRPr="00910204">
        <w:rPr>
          <w:vertAlign w:val="superscript"/>
        </w:rPr>
        <w:t>st</w:t>
      </w:r>
      <w:r w:rsidRPr="00910204">
        <w:t xml:space="preserve"> day of August 2026.</w:t>
      </w:r>
    </w:p>
    <w:p w14:paraId="4D317F1E" w14:textId="77777777" w:rsidR="00E61A9D" w:rsidRDefault="00E61A9D" w:rsidP="0034191F">
      <w:pPr>
        <w:pStyle w:val="RegSignature"/>
        <w:rPr>
          <w:shd w:val="clear" w:color="auto" w:fill="FFFFFF"/>
        </w:rPr>
      </w:pPr>
    </w:p>
    <w:p w14:paraId="7EE6883F" w14:textId="77777777" w:rsidR="00E61A9D" w:rsidRDefault="00E61A9D" w:rsidP="0034191F">
      <w:pPr>
        <w:pStyle w:val="RegSignature"/>
        <w:rPr>
          <w:shd w:val="clear" w:color="auto" w:fill="FFFFFF"/>
        </w:rPr>
      </w:pPr>
      <w:r>
        <w:rPr>
          <w:shd w:val="clear" w:color="auto" w:fill="FFFFFF"/>
        </w:rPr>
        <w:t>Jeff Landry</w:t>
      </w:r>
    </w:p>
    <w:p w14:paraId="6D05DDBB" w14:textId="77777777" w:rsidR="00E61A9D" w:rsidRDefault="00E61A9D" w:rsidP="0034191F">
      <w:pPr>
        <w:pStyle w:val="RegSignature"/>
        <w:rPr>
          <w:shd w:val="clear" w:color="auto" w:fill="FFFFFF"/>
        </w:rPr>
      </w:pPr>
      <w:r>
        <w:rPr>
          <w:shd w:val="clear" w:color="auto" w:fill="FFFFFF"/>
        </w:rPr>
        <w:t>Governor</w:t>
      </w:r>
    </w:p>
    <w:p w14:paraId="15185116" w14:textId="77777777" w:rsidR="00E61A9D" w:rsidRDefault="00E61A9D" w:rsidP="0034191F">
      <w:pPr>
        <w:pStyle w:val="ExoSecOfState"/>
        <w:rPr>
          <w:shd w:val="clear" w:color="auto" w:fill="FFFFFF"/>
        </w:rPr>
      </w:pPr>
      <w:r>
        <w:rPr>
          <w:shd w:val="clear" w:color="auto" w:fill="FFFFFF"/>
        </w:rPr>
        <w:t>ATTEST BY</w:t>
      </w:r>
    </w:p>
    <w:p w14:paraId="60EB8019" w14:textId="77777777" w:rsidR="00E61A9D" w:rsidRDefault="00E61A9D" w:rsidP="0034191F">
      <w:pPr>
        <w:pStyle w:val="ExoSecOfState"/>
        <w:rPr>
          <w:shd w:val="clear" w:color="auto" w:fill="FFFFFF"/>
        </w:rPr>
      </w:pPr>
      <w:r>
        <w:rPr>
          <w:shd w:val="clear" w:color="auto" w:fill="FFFFFF"/>
        </w:rPr>
        <w:t>THE GOVERNOR</w:t>
      </w:r>
    </w:p>
    <w:p w14:paraId="459E2762" w14:textId="77777777" w:rsidR="00E61A9D" w:rsidRDefault="00E61A9D" w:rsidP="0034191F">
      <w:pPr>
        <w:pStyle w:val="ExoSecOfState"/>
        <w:rPr>
          <w:shd w:val="clear" w:color="auto" w:fill="FFFFFF"/>
        </w:rPr>
      </w:pPr>
      <w:r>
        <w:rPr>
          <w:shd w:val="clear" w:color="auto" w:fill="FFFFFF"/>
        </w:rPr>
        <w:t>Nancy Landry</w:t>
      </w:r>
    </w:p>
    <w:p w14:paraId="5F59AE72" w14:textId="77777777" w:rsidR="00E61A9D" w:rsidRDefault="00E61A9D" w:rsidP="0034191F">
      <w:pPr>
        <w:pStyle w:val="ExoSecOfState"/>
        <w:rPr>
          <w:shd w:val="clear" w:color="auto" w:fill="FFFFFF"/>
        </w:rPr>
      </w:pPr>
      <w:r>
        <w:rPr>
          <w:shd w:val="clear" w:color="auto" w:fill="FFFFFF"/>
        </w:rPr>
        <w:t>Secretary of State</w:t>
      </w:r>
    </w:p>
    <w:p w14:paraId="0E862F12" w14:textId="77777777" w:rsidR="00E61A9D" w:rsidRPr="00910204" w:rsidRDefault="00E61A9D" w:rsidP="0034191F">
      <w:pPr>
        <w:pStyle w:val="RegLogNumber"/>
        <w:rPr>
          <w:shd w:val="clear" w:color="auto" w:fill="FFFFFF"/>
        </w:rPr>
      </w:pPr>
      <w:r>
        <w:rPr>
          <w:shd w:val="clear" w:color="auto" w:fill="FFFFFF"/>
        </w:rPr>
        <w:t>2609#086</w:t>
      </w:r>
    </w:p>
    <w:p w14:paraId="2550EA37" w14:textId="77777777" w:rsidR="00E61A9D" w:rsidRPr="00E61A9D" w:rsidRDefault="00E61A9D" w:rsidP="00E61A9D"/>
    <w:p w14:paraId="5BF5668F" w14:textId="77777777" w:rsidR="00E61A9D" w:rsidRDefault="00E61A9D" w:rsidP="009768CC">
      <w:pPr>
        <w:pStyle w:val="RegItemFirstLine"/>
      </w:pPr>
      <w:r>
        <w:t>EXECUTIVE ORDER JML 26-082</w:t>
      </w:r>
    </w:p>
    <w:p w14:paraId="706C71A9" w14:textId="77777777" w:rsidR="00E61A9D" w:rsidRDefault="00E61A9D" w:rsidP="00724E40">
      <w:pPr>
        <w:pStyle w:val="RegItemTitle"/>
      </w:pPr>
      <w:bookmarkStart w:id="19" w:name="Temp"/>
      <w:bookmarkStart w:id="20" w:name="Tempiii"/>
      <w:bookmarkEnd w:id="19"/>
      <w:r w:rsidRPr="00724E40">
        <w:t>Flags</w:t>
      </w:r>
      <w:r w:rsidRPr="004A7283">
        <w:t xml:space="preserve"> at Half-Staff</w:t>
      </w:r>
      <w:r>
        <w:t>—</w:t>
      </w:r>
      <w:r w:rsidRPr="004A7283">
        <w:t>J. Stanley “Skip” Bertman</w:t>
      </w:r>
    </w:p>
    <w:bookmarkEnd w:id="20"/>
    <w:p w14:paraId="0B5147F3" w14:textId="77777777" w:rsidR="00E61A9D" w:rsidRPr="004A7283" w:rsidRDefault="00E61A9D" w:rsidP="009768CC">
      <w:pPr>
        <w:pStyle w:val="ExoNormal"/>
      </w:pPr>
      <w:r w:rsidRPr="004A7283">
        <w:t>WHEREAS, J. Stanley “Skip” Bertman, the legendary Louisiana State University baseball coach and athletics director, passed away on August 14, 2026, in Baton Rouge, at the age of eighty-eight;</w:t>
      </w:r>
    </w:p>
    <w:p w14:paraId="4841E9F4" w14:textId="77777777" w:rsidR="00E61A9D" w:rsidRPr="004A7283" w:rsidRDefault="00E61A9D" w:rsidP="009768CC">
      <w:pPr>
        <w:pStyle w:val="ExoNormal"/>
      </w:pPr>
      <w:r w:rsidRPr="004A7283">
        <w:t>WHEREAS, he was born on May 23, 1938, in Detroit, Michigan, and was raised in Miami Beach, Florida;</w:t>
      </w:r>
    </w:p>
    <w:p w14:paraId="23B903B8" w14:textId="77777777" w:rsidR="00E61A9D" w:rsidRPr="004A7283" w:rsidRDefault="00E61A9D" w:rsidP="009768CC">
      <w:pPr>
        <w:pStyle w:val="ExoNormal"/>
      </w:pPr>
      <w:r w:rsidRPr="004A7283">
        <w:t>WHEREAS, he devoted his life to the young men he coached and to the institution and the state he served, and his life reflects the extraordinary measure of what one person may give to a community;</w:t>
      </w:r>
    </w:p>
    <w:p w14:paraId="0BD067AA" w14:textId="77777777" w:rsidR="00E61A9D" w:rsidRPr="004A7283" w:rsidRDefault="00E61A9D" w:rsidP="009768CC">
      <w:pPr>
        <w:pStyle w:val="ExoNormal"/>
      </w:pPr>
      <w:r w:rsidRPr="004A7283">
        <w:t>WHEREAS, he arrived in Baton Rouge in the summer of 1983 with a vision to build an elite college baseball program;</w:t>
      </w:r>
    </w:p>
    <w:p w14:paraId="5525929D" w14:textId="77777777" w:rsidR="00E61A9D" w:rsidRPr="004A7283" w:rsidRDefault="00E61A9D" w:rsidP="009768CC">
      <w:pPr>
        <w:pStyle w:val="ExoNormal"/>
      </w:pPr>
      <w:r w:rsidRPr="004A7283">
        <w:t>WHEREAS, he served as head baseball coach at Louisiana State University for eighteen seasons, from 1984 through 2001, compiling a record of 870 wins, 330 losses, and 3 ties, for a winning percentage of .724, the highest in the history of the Southeastern Conference;</w:t>
      </w:r>
    </w:p>
    <w:p w14:paraId="1D76712C" w14:textId="77777777" w:rsidR="00E61A9D" w:rsidRPr="004A7283" w:rsidRDefault="00E61A9D" w:rsidP="009768CC">
      <w:pPr>
        <w:pStyle w:val="ExoNormal"/>
      </w:pPr>
      <w:r w:rsidRPr="004A7283">
        <w:t>WHEREAS, he led the Tigers to five National Championships, in 1991, 1993, 1996, 1997, and 2000, and he is one of only three coaches in the history of NCAA Division I baseball to win five College World Series titles;</w:t>
      </w:r>
    </w:p>
    <w:p w14:paraId="63E05A2E" w14:textId="77777777" w:rsidR="00E61A9D" w:rsidRPr="004A7283" w:rsidRDefault="00E61A9D" w:rsidP="009768CC">
      <w:pPr>
        <w:pStyle w:val="ExoNormal"/>
      </w:pPr>
      <w:r w:rsidRPr="004A7283">
        <w:t>WHEREAS, he led the Tigers to eleven College World Series appearances, sixteen NCAA Tournament berths, seven Southeastern Conference championships, six Southeastern Conference Tournament titles, and nine fifty-win seasons;</w:t>
      </w:r>
    </w:p>
    <w:p w14:paraId="30F09591" w14:textId="77777777" w:rsidR="00E61A9D" w:rsidRPr="004A7283" w:rsidRDefault="00E61A9D" w:rsidP="009768CC">
      <w:pPr>
        <w:pStyle w:val="ExoNormal"/>
      </w:pPr>
      <w:r w:rsidRPr="004A7283">
        <w:t>WHEREAS, he was voted National Coach of the Year six times, in 1986, 1991, 1993, 1996, 1997, and 2000, and Southeastern Conference Coach of the Year seven times, and since 2013 the national coach of the year award of the College Baseball Foundation has borne his name;</w:t>
      </w:r>
    </w:p>
    <w:p w14:paraId="18A6A303" w14:textId="77777777" w:rsidR="00E61A9D" w:rsidRPr="004A7283" w:rsidRDefault="00E61A9D" w:rsidP="009768CC">
      <w:pPr>
        <w:pStyle w:val="ExoNormal"/>
      </w:pPr>
      <w:r w:rsidRPr="004A7283">
        <w:t>WHEREAS, he served his country as pitching coach of the 1988 United States Olympic team, which won the gold medal in Seoul, and as head coach of the 1996 United States Olympic team, which won the bronze medal in Atlanta;</w:t>
      </w:r>
    </w:p>
    <w:p w14:paraId="4BC85A91" w14:textId="6D1157A7" w:rsidR="00E61A9D" w:rsidRPr="004A7283" w:rsidRDefault="00724E40" w:rsidP="009768CC">
      <w:pPr>
        <w:pStyle w:val="ExoNormal"/>
      </w:pPr>
      <w:r>
        <w:br w:type="column"/>
      </w:r>
      <w:r w:rsidR="00E61A9D" w:rsidRPr="004A7283">
        <w:t>WHEREAS, he served as Director of Athletics at Louisiana State University from 2001 through 2008, presiding over one of the greatest periods of facility growth and athletic achievement in the history of the institution, including football national championships in 2003 and 2007;</w:t>
      </w:r>
    </w:p>
    <w:p w14:paraId="60475A85" w14:textId="4D5C974E" w:rsidR="00E61A9D" w:rsidRPr="004A7283" w:rsidRDefault="00E61A9D" w:rsidP="009768CC">
      <w:pPr>
        <w:pStyle w:val="ExoNormal"/>
      </w:pPr>
      <w:r w:rsidRPr="004A7283">
        <w:t>WHEREAS, he made “Baseball at the Box” a gathering place for the people of this state, filling Alex Box Stadium season after season and demonstrating to the nation that college baseball could command the devotion of an entire community;</w:t>
      </w:r>
    </w:p>
    <w:p w14:paraId="2C688519" w14:textId="77777777" w:rsidR="00E61A9D" w:rsidRPr="004A7283" w:rsidRDefault="00E61A9D" w:rsidP="009768CC">
      <w:pPr>
        <w:pStyle w:val="ExoNormal"/>
      </w:pPr>
      <w:r w:rsidRPr="004A7283">
        <w:t>WHEREAS, upon his retirement as head baseball coach in 2001, his jersey number 15 was retired, the street in front of the original Alex Box Stadium was renamed Skip Bertman Drive, and in 2013 the playing surface at the new Alex Box Stadium was named Skip Bertman Field;</w:t>
      </w:r>
    </w:p>
    <w:p w14:paraId="40C6CF52" w14:textId="77777777" w:rsidR="00E61A9D" w:rsidRPr="004A7283" w:rsidRDefault="00E61A9D" w:rsidP="009768CC">
      <w:pPr>
        <w:pStyle w:val="ExoNormal"/>
      </w:pPr>
      <w:r w:rsidRPr="004A7283">
        <w:t>WHEREAS, he was inducted into the Louisiana Sports Hall of Fame in 2002, the American Baseball Coaches Association Hall of Fame in 2003, the College Baseball Hall of Fame as a member of its inaugural class in 2006, and the Louisiana State University Athletics Hall of Fame in 2011;</w:t>
      </w:r>
    </w:p>
    <w:p w14:paraId="260C6252" w14:textId="77777777" w:rsidR="00E61A9D" w:rsidRPr="004A7283" w:rsidRDefault="00E61A9D" w:rsidP="009768CC">
      <w:pPr>
        <w:pStyle w:val="ExoNormal"/>
      </w:pPr>
      <w:r w:rsidRPr="004A7283">
        <w:t>WHEREAS, he continued to serve the Baton Rouge community through such organizations as the United Way, Cancer Services, and the Alzheimer’s Association;</w:t>
      </w:r>
    </w:p>
    <w:p w14:paraId="44249BFC" w14:textId="77777777" w:rsidR="00E61A9D" w:rsidRPr="004A7283" w:rsidRDefault="00E61A9D" w:rsidP="009768CC">
      <w:pPr>
        <w:pStyle w:val="ExoNormal"/>
      </w:pPr>
      <w:r w:rsidRPr="004A7283">
        <w:t>WHEREAS, the purple and gold he wore for a quarter century became, in his hands, a symbol of excellence recognized across the nation, and the people of this state will forever associate those colors with the standard he set;</w:t>
      </w:r>
    </w:p>
    <w:p w14:paraId="4B80F53A" w14:textId="77777777" w:rsidR="00E61A9D" w:rsidRPr="004A7283" w:rsidRDefault="00E61A9D" w:rsidP="009768CC">
      <w:pPr>
        <w:pStyle w:val="ExoNormal"/>
      </w:pPr>
      <w:r w:rsidRPr="004A7283">
        <w:t>WHEREAS, he was preceded in death by his wife of sixty-three years, Sandy Bertman, who passed away in March 2025, and by his daughter, Dr. Lisa Jo Pate;</w:t>
      </w:r>
    </w:p>
    <w:p w14:paraId="2D4C9461" w14:textId="77777777" w:rsidR="00E61A9D" w:rsidRPr="004A7283" w:rsidRDefault="00E61A9D" w:rsidP="009768CC">
      <w:pPr>
        <w:pStyle w:val="ExoNormal"/>
      </w:pPr>
      <w:r w:rsidRPr="004A7283">
        <w:t>WHEREAS, he is survived by his daughters, Jan, Jodi, and Lori; and his grandchildren, Sophie, Isaac, Sam, and Ezra.</w:t>
      </w:r>
    </w:p>
    <w:p w14:paraId="6DE50CB3" w14:textId="77777777" w:rsidR="00E61A9D" w:rsidRPr="004A7283" w:rsidRDefault="00E61A9D" w:rsidP="009768CC">
      <w:pPr>
        <w:pStyle w:val="ExoNormal"/>
      </w:pPr>
      <w:r w:rsidRPr="004A7283">
        <w:t>NOW THEREFORE, I, JEFF LANDRY, Governor of the State of Louisiana, by virtue of the authority vested by the Constitution and the laws of the State of Louisiana, do hereby order and direct as follows:</w:t>
      </w:r>
    </w:p>
    <w:p w14:paraId="07252977" w14:textId="77777777" w:rsidR="00E61A9D" w:rsidRPr="004A7283" w:rsidRDefault="00E61A9D" w:rsidP="009768CC">
      <w:pPr>
        <w:pStyle w:val="1"/>
      </w:pPr>
      <w:r w:rsidRPr="004A7283">
        <w:t>Section 1:</w:t>
      </w:r>
      <w:r w:rsidRPr="004A7283">
        <w:tab/>
        <w:t>As an expression of respect and to honor J. Stanley “Skip” Bertman, the flags of the United States and the State of Louisiana shall be flown at half-staff over the State Capitol and all state buildings from sunrise on August 24 until sunset on August 25, 2026.</w:t>
      </w:r>
    </w:p>
    <w:p w14:paraId="37B46637" w14:textId="77777777" w:rsidR="00E61A9D" w:rsidRPr="004A7283" w:rsidRDefault="00E61A9D" w:rsidP="009768CC">
      <w:pPr>
        <w:pStyle w:val="1"/>
      </w:pPr>
      <w:r w:rsidRPr="004A7283">
        <w:t>Section 2:</w:t>
      </w:r>
      <w:r w:rsidRPr="004A7283">
        <w:tab/>
        <w:t xml:space="preserve">All citizens of Louisiana are urged to wear purple and gold in honor of J. Stanley “Skip” Bertman during this period of mourning. </w:t>
      </w:r>
    </w:p>
    <w:p w14:paraId="1EC2175C" w14:textId="77777777" w:rsidR="00E61A9D" w:rsidRPr="004A7283" w:rsidRDefault="00E61A9D" w:rsidP="009768CC">
      <w:pPr>
        <w:pStyle w:val="1"/>
      </w:pPr>
      <w:r w:rsidRPr="004A7283">
        <w:t>Section 3:</w:t>
      </w:r>
      <w:r w:rsidRPr="004A7283">
        <w:tab/>
        <w:t>This Order is effective upon signature and shall remain in effect until sunset, August 25, 2026.</w:t>
      </w:r>
    </w:p>
    <w:p w14:paraId="1706F3EC" w14:textId="77777777" w:rsidR="00E61A9D" w:rsidRPr="004A7283" w:rsidRDefault="00E61A9D" w:rsidP="009768CC">
      <w:pPr>
        <w:pStyle w:val="ExoNormal"/>
      </w:pPr>
      <w:r w:rsidRPr="004A7283">
        <w:t>IN WITNESS WHEREOF, I have set my hand officially and caused to be affixed the Great Seal of Louisiana in the City of Baton Rouge, on this 21</w:t>
      </w:r>
      <w:r w:rsidRPr="004A7283">
        <w:rPr>
          <w:vertAlign w:val="superscript"/>
        </w:rPr>
        <w:t>st</w:t>
      </w:r>
      <w:r w:rsidRPr="004A7283">
        <w:t xml:space="preserve"> day of August, 2026.</w:t>
      </w:r>
    </w:p>
    <w:p w14:paraId="00C873DD" w14:textId="77777777" w:rsidR="00E61A9D" w:rsidRDefault="00E61A9D" w:rsidP="009768CC">
      <w:pPr>
        <w:pStyle w:val="ExoNormal"/>
        <w:rPr>
          <w:bCs/>
          <w:i/>
          <w:iCs/>
        </w:rPr>
      </w:pPr>
      <w:r w:rsidRPr="004A7283">
        <w:rPr>
          <w:bCs/>
        </w:rPr>
        <w:t xml:space="preserve">IN WITNESS WHEREOF, </w:t>
      </w:r>
      <w:r w:rsidRPr="004A7283">
        <w:t>I have set my hand officially and caused to be affixed the Great Seal of Louisiana in the City of Baton Rouge, on this 21</w:t>
      </w:r>
      <w:r w:rsidRPr="004A7283">
        <w:rPr>
          <w:vertAlign w:val="superscript"/>
        </w:rPr>
        <w:t>st</w:t>
      </w:r>
      <w:r w:rsidRPr="004A7283">
        <w:t xml:space="preserve"> day of August 2026.</w:t>
      </w:r>
    </w:p>
    <w:p w14:paraId="25119192" w14:textId="77777777" w:rsidR="00E61A9D" w:rsidRDefault="00E61A9D" w:rsidP="009768CC">
      <w:pPr>
        <w:pStyle w:val="RegSignature"/>
      </w:pPr>
    </w:p>
    <w:p w14:paraId="2E0A4EEE" w14:textId="77777777" w:rsidR="00E61A9D" w:rsidRDefault="00E61A9D" w:rsidP="009768CC">
      <w:pPr>
        <w:pStyle w:val="RegSignature"/>
      </w:pPr>
      <w:r>
        <w:t>Jeff Landry</w:t>
      </w:r>
    </w:p>
    <w:p w14:paraId="5C82CAFA" w14:textId="77777777" w:rsidR="00E61A9D" w:rsidRDefault="00E61A9D" w:rsidP="009768CC">
      <w:pPr>
        <w:pStyle w:val="RegSignature"/>
      </w:pPr>
      <w:r>
        <w:t>Governor</w:t>
      </w:r>
    </w:p>
    <w:p w14:paraId="20B1B818" w14:textId="77777777" w:rsidR="00E61A9D" w:rsidRDefault="00E61A9D" w:rsidP="009768CC">
      <w:pPr>
        <w:pStyle w:val="ExoSecOfState"/>
      </w:pPr>
      <w:r>
        <w:t>ATTEST BY</w:t>
      </w:r>
    </w:p>
    <w:p w14:paraId="5CF035A7" w14:textId="77777777" w:rsidR="00E61A9D" w:rsidRDefault="00E61A9D" w:rsidP="009768CC">
      <w:pPr>
        <w:pStyle w:val="ExoSecOfState"/>
      </w:pPr>
      <w:r>
        <w:t>THE GOVERNOR</w:t>
      </w:r>
    </w:p>
    <w:p w14:paraId="064725B5" w14:textId="77777777" w:rsidR="00E61A9D" w:rsidRDefault="00E61A9D" w:rsidP="009768CC">
      <w:pPr>
        <w:pStyle w:val="ExoSecOfState"/>
      </w:pPr>
      <w:r>
        <w:t>Nancy Landry</w:t>
      </w:r>
    </w:p>
    <w:p w14:paraId="727E42A7" w14:textId="77777777" w:rsidR="00E61A9D" w:rsidRDefault="00E61A9D" w:rsidP="009768CC">
      <w:pPr>
        <w:pStyle w:val="ExoSecOfState"/>
      </w:pPr>
      <w:r>
        <w:t>Secretary of State</w:t>
      </w:r>
    </w:p>
    <w:p w14:paraId="70CFFFD2" w14:textId="77777777" w:rsidR="00E61A9D" w:rsidRPr="004A7283" w:rsidRDefault="00E61A9D" w:rsidP="009768CC">
      <w:pPr>
        <w:pStyle w:val="RegLogNumber"/>
      </w:pPr>
      <w:r>
        <w:t>2609#087</w:t>
      </w:r>
    </w:p>
    <w:p w14:paraId="326400A5" w14:textId="77777777" w:rsidR="00E61A9D" w:rsidRPr="00E61A9D" w:rsidRDefault="00E61A9D" w:rsidP="00E61A9D"/>
    <w:p w14:paraId="349954A5" w14:textId="77777777" w:rsidR="00724E40" w:rsidRDefault="00724E40" w:rsidP="00E665DB">
      <w:pPr>
        <w:pStyle w:val="RegItemFirstLine"/>
      </w:pPr>
      <w:r>
        <w:br w:type="page"/>
      </w:r>
    </w:p>
    <w:p w14:paraId="2261FE26" w14:textId="46C2A74F" w:rsidR="00E61A9D" w:rsidRDefault="00E61A9D" w:rsidP="00E665DB">
      <w:pPr>
        <w:pStyle w:val="RegItemFirstLine"/>
      </w:pPr>
      <w:r>
        <w:lastRenderedPageBreak/>
        <w:t>EXECUTIVE ORDER JML 26-083</w:t>
      </w:r>
    </w:p>
    <w:p w14:paraId="245FAB5B" w14:textId="77777777" w:rsidR="00E61A9D" w:rsidRDefault="00E61A9D" w:rsidP="00E665DB">
      <w:pPr>
        <w:pStyle w:val="RegItemTitle"/>
      </w:pPr>
      <w:r w:rsidRPr="00A03219">
        <w:rPr>
          <w:rFonts w:eastAsia="Aptos"/>
          <w:szCs w:val="32"/>
        </w:rPr>
        <w:t>Flags</w:t>
      </w:r>
      <w:r w:rsidRPr="00A03219">
        <w:t xml:space="preserve"> at Half-Staff</w:t>
      </w:r>
      <w:r>
        <w:t>—</w:t>
      </w:r>
      <w:r w:rsidRPr="00A03219">
        <w:t>Dolly Parton</w:t>
      </w:r>
    </w:p>
    <w:p w14:paraId="053D9AB4" w14:textId="77777777" w:rsidR="00E61A9D" w:rsidRPr="00A03219" w:rsidRDefault="00E61A9D" w:rsidP="00E665DB">
      <w:pPr>
        <w:pStyle w:val="ExoNormal"/>
      </w:pPr>
      <w:r w:rsidRPr="00A03219">
        <w:t xml:space="preserve">WHEREAS, Dolly Rebecca Parton, a global icon, singer, songwriter, actress, author, and philanthropist, </w:t>
      </w:r>
      <w:r w:rsidRPr="00A03219">
        <w:rPr>
          <w:szCs w:val="24"/>
        </w:rPr>
        <w:t>passed</w:t>
      </w:r>
      <w:r w:rsidRPr="00A03219">
        <w:t xml:space="preserve"> away in Nashville, Tennessee, on August 25, 2026, at the age of eighty;</w:t>
      </w:r>
    </w:p>
    <w:p w14:paraId="27649A4C" w14:textId="77777777" w:rsidR="00E61A9D" w:rsidRPr="00A03219" w:rsidRDefault="00E61A9D" w:rsidP="00E665DB">
      <w:pPr>
        <w:pStyle w:val="ExoNormal"/>
        <w:rPr>
          <w:szCs w:val="24"/>
        </w:rPr>
      </w:pPr>
      <w:r w:rsidRPr="00A03219">
        <w:rPr>
          <w:rFonts w:eastAsia="system-ui"/>
        </w:rPr>
        <w:t xml:space="preserve">WHEREAS, Dolly Parton, widely celebrated as the “Queen of Country,” was one of the most honored artists in American music history, earning ten Grammy Awards and the Recording Academy’s Lifetime Achievement Award, an Emmy Award, and twenty-six number-one songs on Billboard’s </w:t>
      </w:r>
      <w:r w:rsidRPr="00A03219">
        <w:rPr>
          <w:rFonts w:eastAsia="system-ui"/>
          <w:szCs w:val="24"/>
        </w:rPr>
        <w:t>country</w:t>
      </w:r>
      <w:r w:rsidRPr="00A03219">
        <w:rPr>
          <w:rFonts w:eastAsia="system-ui"/>
        </w:rPr>
        <w:t xml:space="preserve"> charts;</w:t>
      </w:r>
    </w:p>
    <w:p w14:paraId="59802435" w14:textId="77777777" w:rsidR="00E61A9D" w:rsidRPr="00A03219" w:rsidRDefault="00E61A9D" w:rsidP="00E665DB">
      <w:pPr>
        <w:pStyle w:val="ExoNormal"/>
      </w:pPr>
      <w:r w:rsidRPr="00A03219">
        <w:rPr>
          <w:bCs/>
        </w:rPr>
        <w:t xml:space="preserve">WHEREAS, </w:t>
      </w:r>
      <w:r w:rsidRPr="00A03219">
        <w:t xml:space="preserve">Louisiana held a special place in her story, for at age thirteen she recorded her first single, “Puppy </w:t>
      </w:r>
      <w:r w:rsidRPr="00A03219">
        <w:rPr>
          <w:szCs w:val="24"/>
        </w:rPr>
        <w:t>Love</w:t>
      </w:r>
      <w:r w:rsidRPr="00A03219">
        <w:t>,” for Goldband Records in Lake Charles;</w:t>
      </w:r>
    </w:p>
    <w:p w14:paraId="23F9F3DA" w14:textId="77777777" w:rsidR="00E61A9D" w:rsidRPr="00A03219" w:rsidRDefault="00E61A9D" w:rsidP="00E665DB">
      <w:pPr>
        <w:pStyle w:val="ExoNormal"/>
      </w:pPr>
      <w:r w:rsidRPr="00A03219">
        <w:t xml:space="preserve">WHEREAS, she later brought Louisiana’s warmth, humor, and resilience to the screen through her portrayal of Truvy Jones in </w:t>
      </w:r>
      <w:r w:rsidRPr="00A03219">
        <w:rPr>
          <w:i/>
        </w:rPr>
        <w:t>Steel Magnolias</w:t>
      </w:r>
      <w:r w:rsidRPr="00A03219">
        <w:t xml:space="preserve">, filmed in Natchitoches, and returned to Natchitoches for the </w:t>
      </w:r>
      <w:r w:rsidRPr="00A03219">
        <w:rPr>
          <w:szCs w:val="24"/>
        </w:rPr>
        <w:t>film’s</w:t>
      </w:r>
      <w:r w:rsidRPr="00A03219">
        <w:t xml:space="preserve"> Louisiana premiere;</w:t>
      </w:r>
    </w:p>
    <w:p w14:paraId="470CA991" w14:textId="77777777" w:rsidR="00E61A9D" w:rsidRPr="00A03219" w:rsidRDefault="00E61A9D" w:rsidP="00E665DB">
      <w:pPr>
        <w:pStyle w:val="ExoNormal"/>
      </w:pPr>
      <w:r w:rsidRPr="00A03219">
        <w:rPr>
          <w:rFonts w:eastAsia="Aptos"/>
        </w:rPr>
        <w:t xml:space="preserve">WHEREAS, the filming of </w:t>
      </w:r>
      <w:r w:rsidRPr="00A03219">
        <w:rPr>
          <w:rFonts w:eastAsia="Aptos"/>
          <w:i/>
        </w:rPr>
        <w:t>Steel Magnolias</w:t>
      </w:r>
      <w:r w:rsidRPr="00A03219">
        <w:rPr>
          <w:rFonts w:eastAsia="Aptos"/>
        </w:rPr>
        <w:t xml:space="preserve"> provided a major economic boost to Natchitoches during a period of economic hardship, and the film’s enduring popularity continues to attract visitors and support the city’s tourism industry;</w:t>
      </w:r>
    </w:p>
    <w:p w14:paraId="4BD2026E" w14:textId="77777777" w:rsidR="00E61A9D" w:rsidRPr="00A03219" w:rsidRDefault="00E61A9D" w:rsidP="00E665DB">
      <w:pPr>
        <w:pStyle w:val="ExoNormal"/>
      </w:pPr>
      <w:r w:rsidRPr="00A03219">
        <w:rPr>
          <w:rFonts w:eastAsia="Aptos"/>
        </w:rPr>
        <w:t>WHEREAS, during her time in Natchitoches, Dolly Parton became a cherished part of the community, and residents continue to share treasured remembrances of her lasting impact upon the city and its people including when she joined the Northwestern Marching Band during a football halftime performance and sang her Grammy Award-winning song “9 to 5,” creating an unforgettable memory for the students of Northwestern;</w:t>
      </w:r>
    </w:p>
    <w:p w14:paraId="52B41F3C" w14:textId="77777777" w:rsidR="00E61A9D" w:rsidRPr="00A03219" w:rsidRDefault="00E61A9D" w:rsidP="00E665DB">
      <w:pPr>
        <w:pStyle w:val="ExoNormal"/>
      </w:pPr>
      <w:r w:rsidRPr="00A03219">
        <w:t>WHEREAS, in 1995, inspired by her father’s inability to read and write, she founded Dolly Parton’s Imagination Library to mail free, high-quality, age-appropriate books each month to children from birth to age five, regardless of family income;</w:t>
      </w:r>
    </w:p>
    <w:p w14:paraId="631F2280" w14:textId="77777777" w:rsidR="00E61A9D" w:rsidRPr="00A03219" w:rsidRDefault="00E61A9D" w:rsidP="00E665DB">
      <w:pPr>
        <w:pStyle w:val="ExoNormal"/>
      </w:pPr>
      <w:r w:rsidRPr="00A03219">
        <w:rPr>
          <w:bCs/>
        </w:rPr>
        <w:t xml:space="preserve">WHEREAS, </w:t>
      </w:r>
      <w:r w:rsidRPr="00A03219">
        <w:t xml:space="preserve">through Dolly Parton’s Imagination Library, more than 3.5 million free books have been </w:t>
      </w:r>
      <w:r w:rsidRPr="00A03219">
        <w:rPr>
          <w:szCs w:val="24"/>
        </w:rPr>
        <w:t>delivered</w:t>
      </w:r>
      <w:r w:rsidRPr="00A03219">
        <w:t xml:space="preserve"> to children since 2008;</w:t>
      </w:r>
    </w:p>
    <w:p w14:paraId="3C7B834F" w14:textId="77777777" w:rsidR="00E61A9D" w:rsidRPr="00A03219" w:rsidRDefault="00E61A9D" w:rsidP="00E665DB">
      <w:pPr>
        <w:pStyle w:val="ExoNormal"/>
      </w:pPr>
      <w:r w:rsidRPr="00A03219">
        <w:t>WHEREAS, in 2023, Act No. 181 established the Imagination Library of Louisiana under the Louisiana Educational Television Authority to foster a statewide love of reading and learning among children from birth to age five;</w:t>
      </w:r>
    </w:p>
    <w:p w14:paraId="69693C5F" w14:textId="77777777" w:rsidR="00E61A9D" w:rsidRPr="00A03219" w:rsidRDefault="00E61A9D" w:rsidP="00E665DB">
      <w:pPr>
        <w:pStyle w:val="ExoNormal"/>
      </w:pPr>
      <w:r w:rsidRPr="00A03219">
        <w:t>WHEREAS, in 2025, the Imagination Library of Louisiana added seventeen parishes and ten local program partners, served 62,075 Louisiana children, and mailed 419,000 books while continuing to work toward coverage in all sixty-four parishes;</w:t>
      </w:r>
    </w:p>
    <w:p w14:paraId="053DFE14" w14:textId="77777777" w:rsidR="00E61A9D" w:rsidRPr="00A03219" w:rsidRDefault="00E61A9D" w:rsidP="00E665DB">
      <w:pPr>
        <w:pStyle w:val="ExoNormal"/>
      </w:pPr>
      <w:r w:rsidRPr="00A03219">
        <w:t>WHEREAS, Louisiana will always love Dolly Parton, and her gifts of song, story, kindness, and service will continue to brighten the lives of our children for generations to come.</w:t>
      </w:r>
    </w:p>
    <w:p w14:paraId="3648F884" w14:textId="77777777" w:rsidR="00E61A9D" w:rsidRPr="00A03219" w:rsidRDefault="00E61A9D" w:rsidP="00E665DB">
      <w:pPr>
        <w:pStyle w:val="ExoNormal"/>
      </w:pPr>
      <w:r w:rsidRPr="00A03219">
        <w:t>NOW THEREFORE, I, JEFF LANDRY, Governor of the State of Louisiana, by virtue of the authority vested by the Constitution and the laws of the State of Louisiana, do hereby order and direct as follows:</w:t>
      </w:r>
    </w:p>
    <w:p w14:paraId="2872C316" w14:textId="77777777" w:rsidR="00E61A9D" w:rsidRPr="00A03219" w:rsidRDefault="00E61A9D" w:rsidP="00E665DB">
      <w:pPr>
        <w:pStyle w:val="1"/>
      </w:pPr>
      <w:r w:rsidRPr="00A03219">
        <w:t>Section 1:</w:t>
      </w:r>
      <w:r w:rsidRPr="00A03219">
        <w:tab/>
        <w:t xml:space="preserve">As an expression of respect and to honor Dolly Parton, the flags of the United States and the State of Louisiana shall be flown at half-staff over the State Capitol </w:t>
      </w:r>
      <w:r w:rsidRPr="00A03219">
        <w:t>and all state buildings from sunrise until sunset on Thursday, August 27, 2026.</w:t>
      </w:r>
    </w:p>
    <w:p w14:paraId="55B2E261" w14:textId="77777777" w:rsidR="00E61A9D" w:rsidRPr="00A03219" w:rsidRDefault="00E61A9D" w:rsidP="00E665DB">
      <w:pPr>
        <w:pStyle w:val="1"/>
      </w:pPr>
      <w:r w:rsidRPr="00A03219">
        <w:t>Section 2:</w:t>
      </w:r>
      <w:r w:rsidRPr="00A03219">
        <w:tab/>
        <w:t>All citizens of Louisiana are encouraged to reflect upon Dolly Parton’s extraordinary life and her lasting contributions to music, literacy, and the children of this State.</w:t>
      </w:r>
    </w:p>
    <w:p w14:paraId="4AA396B4" w14:textId="77777777" w:rsidR="00E61A9D" w:rsidRPr="00A03219" w:rsidRDefault="00E61A9D" w:rsidP="00E665DB">
      <w:pPr>
        <w:pStyle w:val="1"/>
      </w:pPr>
      <w:r w:rsidRPr="00A03219">
        <w:t>Section 3:</w:t>
      </w:r>
      <w:r w:rsidRPr="00A03219">
        <w:tab/>
        <w:t>This Order is effective upon signature and shall remain in effect until sunset on Thursday, August 27, 2026.</w:t>
      </w:r>
    </w:p>
    <w:p w14:paraId="00D94DB6" w14:textId="77777777" w:rsidR="00E61A9D" w:rsidRDefault="00E61A9D" w:rsidP="00E665DB">
      <w:pPr>
        <w:pStyle w:val="ExoNormal"/>
        <w:rPr>
          <w:bCs/>
          <w:i/>
          <w:iCs/>
        </w:rPr>
      </w:pPr>
      <w:r w:rsidRPr="00A03219">
        <w:rPr>
          <w:bCs/>
        </w:rPr>
        <w:t xml:space="preserve">IN WITNESS WHEREOF, </w:t>
      </w:r>
      <w:r w:rsidRPr="00A03219">
        <w:t>I have set my hand officially and caused to be affixed the Great Seal of Louisiana in the City of Baton Rouge, on this 26</w:t>
      </w:r>
      <w:r w:rsidRPr="00A03219">
        <w:rPr>
          <w:vertAlign w:val="superscript"/>
        </w:rPr>
        <w:t>th</w:t>
      </w:r>
      <w:r w:rsidRPr="00A03219">
        <w:t xml:space="preserve"> day of August 2026.</w:t>
      </w:r>
    </w:p>
    <w:p w14:paraId="2B86FC2F" w14:textId="77777777" w:rsidR="00E61A9D" w:rsidRDefault="00E61A9D" w:rsidP="00E665DB">
      <w:pPr>
        <w:pStyle w:val="RegSignature"/>
        <w:rPr>
          <w:shd w:val="clear" w:color="auto" w:fill="FFFFFF"/>
        </w:rPr>
      </w:pPr>
    </w:p>
    <w:p w14:paraId="74857256" w14:textId="77777777" w:rsidR="00E61A9D" w:rsidRDefault="00E61A9D" w:rsidP="00E665DB">
      <w:pPr>
        <w:pStyle w:val="RegSignature"/>
        <w:rPr>
          <w:shd w:val="clear" w:color="auto" w:fill="FFFFFF"/>
        </w:rPr>
      </w:pPr>
      <w:r>
        <w:rPr>
          <w:shd w:val="clear" w:color="auto" w:fill="FFFFFF"/>
        </w:rPr>
        <w:t>Jeff Landry</w:t>
      </w:r>
    </w:p>
    <w:p w14:paraId="3E803BB9" w14:textId="77777777" w:rsidR="00E61A9D" w:rsidRDefault="00E61A9D" w:rsidP="00E665DB">
      <w:pPr>
        <w:pStyle w:val="RegSignature"/>
        <w:rPr>
          <w:shd w:val="clear" w:color="auto" w:fill="FFFFFF"/>
        </w:rPr>
      </w:pPr>
      <w:r>
        <w:rPr>
          <w:shd w:val="clear" w:color="auto" w:fill="FFFFFF"/>
        </w:rPr>
        <w:t>Governor</w:t>
      </w:r>
    </w:p>
    <w:p w14:paraId="58800EC8" w14:textId="77777777" w:rsidR="00E61A9D" w:rsidRDefault="00E61A9D" w:rsidP="00E665DB">
      <w:pPr>
        <w:pStyle w:val="ExoSecOfState"/>
        <w:rPr>
          <w:shd w:val="clear" w:color="auto" w:fill="FFFFFF"/>
        </w:rPr>
      </w:pPr>
      <w:r>
        <w:rPr>
          <w:shd w:val="clear" w:color="auto" w:fill="FFFFFF"/>
        </w:rPr>
        <w:t>ATTEST BY</w:t>
      </w:r>
    </w:p>
    <w:p w14:paraId="43C4020C" w14:textId="77777777" w:rsidR="00E61A9D" w:rsidRDefault="00E61A9D" w:rsidP="00E665DB">
      <w:pPr>
        <w:pStyle w:val="ExoSecOfState"/>
        <w:rPr>
          <w:shd w:val="clear" w:color="auto" w:fill="FFFFFF"/>
        </w:rPr>
      </w:pPr>
      <w:r>
        <w:rPr>
          <w:shd w:val="clear" w:color="auto" w:fill="FFFFFF"/>
        </w:rPr>
        <w:t>THE GOVERNOR</w:t>
      </w:r>
    </w:p>
    <w:p w14:paraId="518F55B5" w14:textId="77777777" w:rsidR="00E61A9D" w:rsidRDefault="00E61A9D" w:rsidP="00E665DB">
      <w:pPr>
        <w:pStyle w:val="ExoSecOfState"/>
        <w:rPr>
          <w:shd w:val="clear" w:color="auto" w:fill="FFFFFF"/>
        </w:rPr>
      </w:pPr>
      <w:r>
        <w:rPr>
          <w:shd w:val="clear" w:color="auto" w:fill="FFFFFF"/>
        </w:rPr>
        <w:t>Nancy Landry</w:t>
      </w:r>
    </w:p>
    <w:p w14:paraId="02D7E84F" w14:textId="77777777" w:rsidR="00E61A9D" w:rsidRDefault="00E61A9D" w:rsidP="00E665DB">
      <w:pPr>
        <w:pStyle w:val="ExoSecOfState"/>
        <w:rPr>
          <w:shd w:val="clear" w:color="auto" w:fill="FFFFFF"/>
        </w:rPr>
      </w:pPr>
      <w:r>
        <w:rPr>
          <w:shd w:val="clear" w:color="auto" w:fill="FFFFFF"/>
        </w:rPr>
        <w:t>Secretary of State</w:t>
      </w:r>
    </w:p>
    <w:p w14:paraId="2FF7D33A" w14:textId="77777777" w:rsidR="00E61A9D" w:rsidRPr="00A03219" w:rsidRDefault="00E61A9D" w:rsidP="00E665DB">
      <w:pPr>
        <w:pStyle w:val="RegLogNumber"/>
        <w:rPr>
          <w:shd w:val="clear" w:color="auto" w:fill="FFFFFF"/>
        </w:rPr>
      </w:pPr>
      <w:r>
        <w:rPr>
          <w:shd w:val="clear" w:color="auto" w:fill="FFFFFF"/>
        </w:rPr>
        <w:t>2609#088</w:t>
      </w:r>
    </w:p>
    <w:p w14:paraId="79F7F158" w14:textId="77777777" w:rsidR="00E61A9D" w:rsidRPr="00E61A9D" w:rsidRDefault="00E61A9D" w:rsidP="00E61A9D"/>
    <w:p w14:paraId="0DF80ED0" w14:textId="77777777" w:rsidR="00E61A9D" w:rsidRDefault="00E61A9D" w:rsidP="00377BE0">
      <w:pPr>
        <w:pStyle w:val="RegItemFirstLine"/>
      </w:pPr>
      <w:r>
        <w:t>EXECUTIVE ORDER JML 26-084</w:t>
      </w:r>
    </w:p>
    <w:p w14:paraId="005CF7F7" w14:textId="77777777" w:rsidR="00E61A9D" w:rsidRDefault="00E61A9D" w:rsidP="00377BE0">
      <w:pPr>
        <w:pStyle w:val="RegItemTitle"/>
      </w:pPr>
      <w:r w:rsidRPr="0044646C">
        <w:t xml:space="preserve">Renewal </w:t>
      </w:r>
      <w:r>
        <w:t>o</w:t>
      </w:r>
      <w:r w:rsidRPr="0044646C">
        <w:t xml:space="preserve">f State </w:t>
      </w:r>
      <w:r>
        <w:t>o</w:t>
      </w:r>
      <w:r w:rsidRPr="0044646C">
        <w:t>f Emergency</w:t>
      </w:r>
      <w:r>
        <w:br/>
      </w:r>
      <w:r w:rsidRPr="0044646C">
        <w:t xml:space="preserve">Threat </w:t>
      </w:r>
      <w:r>
        <w:t>o</w:t>
      </w:r>
      <w:r w:rsidRPr="0044646C">
        <w:t xml:space="preserve">f Subsidence, Subsurface Instability, </w:t>
      </w:r>
      <w:r>
        <w:br/>
        <w:t>a</w:t>
      </w:r>
      <w:r w:rsidRPr="0044646C">
        <w:t xml:space="preserve">nd Presence </w:t>
      </w:r>
      <w:r>
        <w:t>o</w:t>
      </w:r>
      <w:r w:rsidRPr="0044646C">
        <w:t xml:space="preserve">f Hydrocarbons </w:t>
      </w:r>
      <w:r>
        <w:t>i</w:t>
      </w:r>
      <w:r w:rsidRPr="0044646C">
        <w:t xml:space="preserve">n </w:t>
      </w:r>
      <w:r>
        <w:br/>
      </w:r>
      <w:r w:rsidRPr="0044646C">
        <w:t>Sulphur Mines Salt Dome Area</w:t>
      </w:r>
    </w:p>
    <w:p w14:paraId="09A16D44" w14:textId="77777777" w:rsidR="00E61A9D" w:rsidRPr="0044646C" w:rsidRDefault="00E61A9D" w:rsidP="00377BE0">
      <w:pPr>
        <w:pStyle w:val="ExoNormal"/>
      </w:pPr>
      <w:r w:rsidRPr="0044646C">
        <w:t>WHEREAS, pursuant to the Louisiana Homeland Security and Emergency Assistance and Disaster Act, R.S. 29:721, et seq., a state of emergency was declared through Proclamation Number 160 JBE 2023;</w:t>
      </w:r>
    </w:p>
    <w:p w14:paraId="10E97577" w14:textId="77777777" w:rsidR="00E61A9D" w:rsidRPr="0044646C" w:rsidRDefault="00E61A9D" w:rsidP="00377BE0">
      <w:pPr>
        <w:pStyle w:val="ExoNormal"/>
      </w:pPr>
      <w:r w:rsidRPr="0044646C">
        <w:t>WHEREAS, Proclamation Number 160 JBE 2023 has been renewed and extended every thirty (30) days through JML 26-070 which is in effect through Sunday, August 30, 2026;</w:t>
      </w:r>
    </w:p>
    <w:p w14:paraId="674C1B14" w14:textId="77777777" w:rsidR="00E61A9D" w:rsidRPr="0044646C" w:rsidRDefault="00E61A9D" w:rsidP="00377BE0">
      <w:pPr>
        <w:pStyle w:val="ExoNormal"/>
      </w:pPr>
      <w:r w:rsidRPr="0044646C">
        <w:t>WHEREAS, when the Governor determines that a disaster or emergency has occurred, or the threat thereof is imminent, R.S. 29:724(B)(1) empowers the Governor to declare a state of emergency by executive order or proclamation, or both;</w:t>
      </w:r>
    </w:p>
    <w:p w14:paraId="6DB7BC72" w14:textId="77777777" w:rsidR="00E61A9D" w:rsidRPr="0044646C" w:rsidRDefault="00E61A9D" w:rsidP="00377BE0">
      <w:pPr>
        <w:pStyle w:val="ExoNormal"/>
      </w:pPr>
      <w:r w:rsidRPr="0044646C">
        <w:t>WHEREAS, local, state, and federal agencies began monitoring subsurface seismic activity occurring in the vicinity of the Sulphur Mines salt dome in Calcasieu Parish in December of 2021, with a true seismic monitoring array being ordered by the Office of Conservation, which came online in January of 2023;</w:t>
      </w:r>
    </w:p>
    <w:p w14:paraId="3CC55268" w14:textId="77777777" w:rsidR="00E61A9D" w:rsidRPr="0044646C" w:rsidRDefault="00E61A9D" w:rsidP="00377BE0">
      <w:pPr>
        <w:pStyle w:val="ExoNormal"/>
      </w:pPr>
      <w:r w:rsidRPr="0044646C">
        <w:t>WHEREAS, the Office of Conservation began investigating unexplained hydrocarbon bubbling within the area of concern in January of 2023, as well as monitoring seismicity, and the rate of subsidence in the area of concern;</w:t>
      </w:r>
    </w:p>
    <w:p w14:paraId="78F73652" w14:textId="77777777" w:rsidR="00E61A9D" w:rsidRDefault="00E61A9D" w:rsidP="00377BE0">
      <w:pPr>
        <w:pStyle w:val="ExoNormal"/>
      </w:pPr>
      <w:r w:rsidRPr="0044646C">
        <w:t>WHEREAS, on Wednesday September 20, 2023, in response to this subsidence and seepage, Commissioner of Conservation, Monique M. Edwards made a declaration of emergency under the authority of Louisiana Revised Statutes 30:1 et seq., ordering the operator of the salt cavern underneath the area of subsidence to undertake all necessary activities to evaluate and abate any deterioration of the cavern’s integrity;</w:t>
      </w:r>
    </w:p>
    <w:p w14:paraId="3EEBE020" w14:textId="77777777" w:rsidR="00E61A9D" w:rsidRPr="0044646C" w:rsidRDefault="00E61A9D" w:rsidP="00377BE0">
      <w:pPr>
        <w:pStyle w:val="ExoNormal"/>
      </w:pPr>
      <w:r w:rsidRPr="0044646C">
        <w:t>WHEREAS, the State anticipates that further assistance may be needed to assist Calcasieu Parish in their response to this continuing threat; and</w:t>
      </w:r>
    </w:p>
    <w:p w14:paraId="7A01FAAC" w14:textId="77777777" w:rsidR="00E61A9D" w:rsidRPr="0044646C" w:rsidRDefault="00E61A9D" w:rsidP="00377BE0">
      <w:pPr>
        <w:pStyle w:val="ExoNormal"/>
      </w:pPr>
      <w:r w:rsidRPr="0044646C">
        <w:lastRenderedPageBreak/>
        <w:t>WHEREAS, it is necessary to continue the measures provided in Proclamation Number 160 JBE 2023 to further protect the health and safety of the citizens of Louisiana;</w:t>
      </w:r>
    </w:p>
    <w:p w14:paraId="38FA8A87" w14:textId="77777777" w:rsidR="00E61A9D" w:rsidRPr="0044646C" w:rsidRDefault="00E61A9D" w:rsidP="00377BE0">
      <w:pPr>
        <w:pStyle w:val="ExoNormal"/>
      </w:pPr>
      <w:r w:rsidRPr="0044646C">
        <w:t xml:space="preserve">NOW THEREFORE </w:t>
      </w:r>
      <w:r w:rsidRPr="0044646C">
        <w:rPr>
          <w:bCs/>
        </w:rPr>
        <w:t>I, JEFF LANDRY,</w:t>
      </w:r>
      <w:r w:rsidRPr="0044646C">
        <w:t xml:space="preserve"> Governor of the State of Louisiana, by virtue of the authority vested by the Constitution and laws of the State of Louisiana, do hereby order and direct as follows:</w:t>
      </w:r>
    </w:p>
    <w:p w14:paraId="7EA12233" w14:textId="77777777" w:rsidR="00E61A9D" w:rsidRPr="0044646C" w:rsidRDefault="00E61A9D" w:rsidP="00377BE0">
      <w:pPr>
        <w:pStyle w:val="1"/>
      </w:pPr>
      <w:r w:rsidRPr="0044646C">
        <w:t>Section 1:</w:t>
      </w:r>
      <w:r w:rsidRPr="0044646C">
        <w:tab/>
        <w:t>Pursuant to the Louisiana Homeland Security and Emergency Assistance and Disaster Act, R.S. 29:721 et seq., a state of emergency is hereby declared to exist in the Parish of Calcasieu, as a result of seismic activity, lost cavern integrity, increased hydrocarbon bubbling, and accelerated subsidence, that collectively indicate a potential for structural failure that could potentially threaten the lives and property of the citizens of the State.</w:t>
      </w:r>
    </w:p>
    <w:p w14:paraId="06A9F179" w14:textId="77777777" w:rsidR="00E61A9D" w:rsidRPr="0044646C" w:rsidRDefault="00E61A9D" w:rsidP="00377BE0">
      <w:pPr>
        <w:pStyle w:val="1"/>
      </w:pPr>
      <w:r w:rsidRPr="0044646C">
        <w:t>Section 2:</w:t>
      </w:r>
      <w:r w:rsidRPr="0044646C">
        <w:tab/>
        <w:t>The Director of the Governor’s Office of Homeland Security and Emergency Preparedness is hereby authorized to undertake any activity authorized by law which he deems appropriate in response to this declaration.</w:t>
      </w:r>
    </w:p>
    <w:p w14:paraId="40A154A5" w14:textId="77777777" w:rsidR="00E61A9D" w:rsidRPr="0044646C" w:rsidRDefault="00E61A9D" w:rsidP="00377BE0">
      <w:pPr>
        <w:pStyle w:val="1"/>
      </w:pPr>
      <w:r w:rsidRPr="0044646C">
        <w:t>Section 3:</w:t>
      </w:r>
      <w:r w:rsidRPr="0044646C">
        <w:tab/>
        <w:t>All departments, commissions, boards, agencies, and officers of the State or any political subdivision thereof, are authorized and directed to cooperate in actions, the State may take in response to this incident.</w:t>
      </w:r>
    </w:p>
    <w:p w14:paraId="083925CC" w14:textId="77777777" w:rsidR="00E61A9D" w:rsidRPr="0044646C" w:rsidRDefault="00E61A9D" w:rsidP="00377BE0">
      <w:pPr>
        <w:pStyle w:val="1"/>
      </w:pPr>
      <w:r w:rsidRPr="0044646C">
        <w:t>Section 4:</w:t>
      </w:r>
      <w:r w:rsidRPr="0044646C">
        <w:tab/>
        <w:t>This Order is effective upon signature and shall continue in effect from Friday, August 28, 2026 to Sunday, September 27, 2026, unless amended, modified, or terminated sooner.</w:t>
      </w:r>
    </w:p>
    <w:p w14:paraId="136BAD26" w14:textId="77777777" w:rsidR="00E61A9D" w:rsidRDefault="00E61A9D" w:rsidP="00377BE0">
      <w:pPr>
        <w:pStyle w:val="ExoNormal"/>
      </w:pPr>
      <w:r w:rsidRPr="0044646C">
        <w:t>IN WITNESS WHEREOF, I have set my hand officially and caused to be affixed the Great Seal of Louisiana in the City of Baton Rouge, on this 28th day of August, 2026.</w:t>
      </w:r>
    </w:p>
    <w:p w14:paraId="24DE3A76" w14:textId="77777777" w:rsidR="00E61A9D" w:rsidRDefault="00E61A9D" w:rsidP="00377BE0">
      <w:pPr>
        <w:pStyle w:val="RegSignature"/>
      </w:pPr>
    </w:p>
    <w:p w14:paraId="7C75886C" w14:textId="77777777" w:rsidR="00E61A9D" w:rsidRDefault="00E61A9D" w:rsidP="00377BE0">
      <w:pPr>
        <w:pStyle w:val="RegSignature"/>
      </w:pPr>
      <w:r>
        <w:t>Jeff Landry</w:t>
      </w:r>
    </w:p>
    <w:p w14:paraId="43FF82FB" w14:textId="77777777" w:rsidR="00E61A9D" w:rsidRDefault="00E61A9D" w:rsidP="00377BE0">
      <w:pPr>
        <w:pStyle w:val="RegSignature"/>
      </w:pPr>
      <w:r>
        <w:t>Governor</w:t>
      </w:r>
    </w:p>
    <w:p w14:paraId="3C50B8D1" w14:textId="77777777" w:rsidR="00E61A9D" w:rsidRDefault="00E61A9D" w:rsidP="00377BE0">
      <w:pPr>
        <w:pStyle w:val="ExoSecOfState"/>
      </w:pPr>
      <w:r>
        <w:t>ATTEST BY</w:t>
      </w:r>
    </w:p>
    <w:p w14:paraId="7FCEF766" w14:textId="77777777" w:rsidR="00E61A9D" w:rsidRDefault="00E61A9D" w:rsidP="00377BE0">
      <w:pPr>
        <w:pStyle w:val="ExoSecOfState"/>
      </w:pPr>
      <w:r>
        <w:t>THE GOVERNOR</w:t>
      </w:r>
    </w:p>
    <w:p w14:paraId="41F5FD37" w14:textId="77777777" w:rsidR="00E61A9D" w:rsidRDefault="00E61A9D" w:rsidP="00377BE0">
      <w:pPr>
        <w:pStyle w:val="ExoSecOfState"/>
      </w:pPr>
      <w:r>
        <w:t>Nancy Landry</w:t>
      </w:r>
    </w:p>
    <w:p w14:paraId="14FFF5E2" w14:textId="77777777" w:rsidR="00E61A9D" w:rsidRDefault="00E61A9D" w:rsidP="00377BE0">
      <w:pPr>
        <w:pStyle w:val="ExoSecOfState"/>
      </w:pPr>
      <w:r>
        <w:t>Secretary of State</w:t>
      </w:r>
    </w:p>
    <w:p w14:paraId="3A889CD8" w14:textId="77777777" w:rsidR="00E61A9D" w:rsidRPr="0044646C" w:rsidRDefault="00E61A9D" w:rsidP="00377BE0">
      <w:pPr>
        <w:pStyle w:val="RegLogNumber"/>
      </w:pPr>
      <w:r>
        <w:t>2609#089</w:t>
      </w:r>
    </w:p>
    <w:p w14:paraId="37F2AEC9" w14:textId="77777777" w:rsidR="00E61A9D" w:rsidRPr="00E61A9D" w:rsidRDefault="00E61A9D" w:rsidP="00E61A9D"/>
    <w:p w14:paraId="428D340D" w14:textId="77777777" w:rsidR="00E61A9D" w:rsidRDefault="00E61A9D" w:rsidP="002C6298">
      <w:pPr>
        <w:pStyle w:val="RegItemFirstLine"/>
      </w:pPr>
      <w:r>
        <w:t>EXECUTIVE ORDER JML 26-085</w:t>
      </w:r>
    </w:p>
    <w:p w14:paraId="3E129CC8" w14:textId="77777777" w:rsidR="00E61A9D" w:rsidRDefault="00E61A9D" w:rsidP="002C6298">
      <w:pPr>
        <w:pStyle w:val="RegItemTitle"/>
      </w:pPr>
      <w:r w:rsidRPr="00DE049E">
        <w:t>Renewal of State of Emergency</w:t>
      </w:r>
      <w:r>
        <w:br/>
      </w:r>
      <w:r w:rsidRPr="00DE049E">
        <w:t>Maximum Security Camp J Repairs and Operation</w:t>
      </w:r>
      <w:r>
        <w:br/>
      </w:r>
      <w:r w:rsidRPr="00DE049E">
        <w:t>Louisiana State Penitentiary</w:t>
      </w:r>
    </w:p>
    <w:p w14:paraId="6B157820" w14:textId="77777777" w:rsidR="00E61A9D" w:rsidRPr="00DE049E" w:rsidRDefault="00E61A9D" w:rsidP="002C6298">
      <w:pPr>
        <w:pStyle w:val="ExoNormal"/>
      </w:pPr>
      <w:r w:rsidRPr="00DE049E">
        <w:t>WHEREAS, the Governor is responsible for meeting the dangers to the state and people presented by emergencies and disasters;</w:t>
      </w:r>
    </w:p>
    <w:p w14:paraId="31AE4ACD" w14:textId="77777777" w:rsidR="00E61A9D" w:rsidRPr="00DE049E" w:rsidRDefault="00E61A9D" w:rsidP="002C6298">
      <w:pPr>
        <w:pStyle w:val="ExoNormal"/>
      </w:pPr>
      <w:r w:rsidRPr="00DE049E">
        <w:t>WHEREAS,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preparations of this State will be adequate to deal with such emergencies or disasters and to preserve the lives and property of the people of the State of Louisiana;</w:t>
      </w:r>
    </w:p>
    <w:p w14:paraId="067878F6" w14:textId="77777777" w:rsidR="00E61A9D" w:rsidRPr="00DE049E" w:rsidRDefault="00E61A9D" w:rsidP="002C6298">
      <w:pPr>
        <w:pStyle w:val="ExoNormal"/>
      </w:pPr>
      <w:r w:rsidRPr="00DE049E">
        <w:t>WHEREAS, when the Governor determines that a disaster or emergency has occurred, or the threat thereof is imminent, R.S. 29:724(B)(1) empowers him to declare a state of emergency or disaster by executive order, which has the force and effect of law;</w:t>
      </w:r>
    </w:p>
    <w:p w14:paraId="56C52AB7" w14:textId="77777777" w:rsidR="00E61A9D" w:rsidRPr="00DE049E" w:rsidRDefault="00E61A9D" w:rsidP="002C6298">
      <w:pPr>
        <w:pStyle w:val="ExoNormal"/>
      </w:pPr>
      <w:r w:rsidRPr="00DE049E">
        <w:t>WHEREAS, pursuant to R.S. 29:724(B)(1), Governor Jeff Landry declared a state of emergency on July 25, 2025, in Executive Order JML 25-084;</w:t>
      </w:r>
    </w:p>
    <w:p w14:paraId="650494E8" w14:textId="77777777" w:rsidR="00E61A9D" w:rsidRPr="00DE049E" w:rsidRDefault="00E61A9D" w:rsidP="002C6298">
      <w:pPr>
        <w:pStyle w:val="ExoNormal"/>
      </w:pPr>
      <w:r w:rsidRPr="00DE049E">
        <w:t>WHEREAS, Executive Order JML 25-084 has been renewed and extended every thirty (30) days through Executive Order JML 26-071, which is in effect through Sunday, August 30, 2026;</w:t>
      </w:r>
    </w:p>
    <w:p w14:paraId="7BD16DBB" w14:textId="77777777" w:rsidR="00E61A9D" w:rsidRPr="00DE049E" w:rsidRDefault="00E61A9D" w:rsidP="002C6298">
      <w:pPr>
        <w:pStyle w:val="ExoNormal"/>
      </w:pPr>
      <w:r w:rsidRPr="00DE049E">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2C6B9CE4" w14:textId="77777777" w:rsidR="00E61A9D" w:rsidRPr="00DE049E" w:rsidRDefault="00E61A9D" w:rsidP="002C6298">
      <w:pPr>
        <w:pStyle w:val="ExoNormal"/>
      </w:pPr>
      <w:r w:rsidRPr="00DE049E">
        <w:t>WHEREAS, a declaration of emergency or disaster activates the state’s emergency response and recovery program under the command of the director of the Governor’s Office of Homeland Security and Emergency Preparedness (“GOHSEP”);</w:t>
      </w:r>
    </w:p>
    <w:p w14:paraId="376E9758" w14:textId="77777777" w:rsidR="00E61A9D" w:rsidRPr="00DE049E" w:rsidRDefault="00E61A9D" w:rsidP="002C6298">
      <w:pPr>
        <w:pStyle w:val="ExoNormal"/>
      </w:pPr>
      <w:r w:rsidRPr="00DE049E">
        <w:t>WHEREAS, R.S. 29:724(D)(2) permits the Governor during a declared state of emergency the capacity to utilize all available resources of the state government and of each political subdivision of the state as reasonably necessary to cope with the disaster or emergency;</w:t>
      </w:r>
    </w:p>
    <w:p w14:paraId="28B0CD82" w14:textId="77777777" w:rsidR="00E61A9D" w:rsidRPr="00DE049E" w:rsidRDefault="00E61A9D" w:rsidP="002C6298">
      <w:pPr>
        <w:pStyle w:val="ExoNormal"/>
      </w:pPr>
      <w:r w:rsidRPr="00DE049E">
        <w:t>WHEREAS, R.S. 29:724(D)(3) authorizes the Governor during a declared state of emergency the capability to transfer the direction, personnel, or functions of state departments and agencies or units thereof for the purpose of performing or facilitating emergency services;</w:t>
      </w:r>
    </w:p>
    <w:p w14:paraId="21C8B318" w14:textId="77777777" w:rsidR="00E61A9D" w:rsidRPr="00DE049E" w:rsidRDefault="00E61A9D" w:rsidP="002C6298">
      <w:pPr>
        <w:pStyle w:val="ExoNormal"/>
      </w:pPr>
      <w:r w:rsidRPr="00DE049E">
        <w:t>WHEREAS, R.S. 29:724(D)(4) gives the Governor during a declared state of emergency the ability to make provisions for the availability and use of temporary emergency housing;</w:t>
      </w:r>
    </w:p>
    <w:p w14:paraId="2B8B6268" w14:textId="77777777" w:rsidR="00E61A9D" w:rsidRPr="00DE049E" w:rsidRDefault="00E61A9D" w:rsidP="002C6298">
      <w:pPr>
        <w:pStyle w:val="ExoNormal"/>
      </w:pPr>
      <w:r w:rsidRPr="00DE049E">
        <w:t>WHEREAS, the Louisiana State Penitentiary lacks adequate bed capacity to accommodate violent offenders who require the highest degree of security and will be transferred to its facilities;</w:t>
      </w:r>
    </w:p>
    <w:p w14:paraId="1D4AFC96" w14:textId="77777777" w:rsidR="00E61A9D" w:rsidRPr="00DE049E" w:rsidRDefault="00E61A9D" w:rsidP="002C6298">
      <w:pPr>
        <w:pStyle w:val="ExoNormal"/>
      </w:pPr>
      <w:r w:rsidRPr="00DE049E">
        <w:t>WHEREAS, Camp J, within the Louisiana State Penitentiary, was designed to provide that maximum security, but Camp J has deteriorated into a condition that creates a significant threat of injury to individuals and property who enter or are in and around its premises;</w:t>
      </w:r>
    </w:p>
    <w:p w14:paraId="60C8C0EF" w14:textId="77777777" w:rsidR="00E61A9D" w:rsidRPr="00DE049E" w:rsidRDefault="00E61A9D" w:rsidP="002C6298">
      <w:pPr>
        <w:pStyle w:val="ExoNormal"/>
      </w:pPr>
      <w:r w:rsidRPr="00DE049E">
        <w:t>WHEREAS, in the first seven months of 2017, dozens of weapons were found at Camp J due to security malfunctions;</w:t>
      </w:r>
    </w:p>
    <w:p w14:paraId="109E84BE" w14:textId="77777777" w:rsidR="00E61A9D" w:rsidRPr="00DE049E" w:rsidRDefault="00E61A9D" w:rsidP="002C6298">
      <w:pPr>
        <w:pStyle w:val="ExoNormal"/>
      </w:pPr>
      <w:r w:rsidRPr="00DE049E">
        <w:t>WHEREAS, within just one year, approximately 85 corrections officers assigned to Camp J had resigned, retired, or were terminated due to the complex challenges presented there;</w:t>
      </w:r>
    </w:p>
    <w:p w14:paraId="2C57206D" w14:textId="77777777" w:rsidR="00E61A9D" w:rsidRPr="00DE049E" w:rsidRDefault="00E61A9D" w:rsidP="002C6298">
      <w:pPr>
        <w:pStyle w:val="ExoNormal"/>
      </w:pPr>
      <w:r w:rsidRPr="00DE049E">
        <w:t>WHEREAS, locks for the cells in Camp J malfunctioned, allowing offenders to jam cell doors and circumvent security checks, which resulted in a decision to close Camp J in 2018;</w:t>
      </w:r>
    </w:p>
    <w:p w14:paraId="2583C04E" w14:textId="77777777" w:rsidR="00E61A9D" w:rsidRPr="00DE049E" w:rsidRDefault="00E61A9D" w:rsidP="002C6298">
      <w:pPr>
        <w:pStyle w:val="ExoNormal"/>
      </w:pPr>
      <w:r w:rsidRPr="00DE049E">
        <w:t>WHEREAS, the security conditions of Camp J present a threat of injury and a threat to the lives of offenders housed or working within Camp J as well as employees, contractors, or members of the public who may be within Camp J at any time; and</w:t>
      </w:r>
    </w:p>
    <w:p w14:paraId="4A75277C" w14:textId="77777777" w:rsidR="00E61A9D" w:rsidRPr="00DE049E" w:rsidRDefault="00E61A9D" w:rsidP="002C6298">
      <w:pPr>
        <w:pStyle w:val="ExoNormal"/>
      </w:pPr>
      <w:r w:rsidRPr="00DE049E">
        <w:t>WHEREAS, Camp J and the surrounding infrastructure requires facility improvements and maintenance to adequately hold any violent offenders and to protect the lives of any employees, contractors, or members of the public who may be within Camp J at any time;</w:t>
      </w:r>
    </w:p>
    <w:p w14:paraId="0B788DE7" w14:textId="77777777" w:rsidR="00E61A9D" w:rsidRPr="00DE049E" w:rsidRDefault="00E61A9D" w:rsidP="002C6298">
      <w:pPr>
        <w:pStyle w:val="ExoNormal"/>
      </w:pPr>
      <w:r w:rsidRPr="00DE049E">
        <w:lastRenderedPageBreak/>
        <w:t>NOW THEREFORE, I, JEFF LANDRY, Governor of the State of Louisiana, by virtue of the authority vested by the Constitution and laws of the State of Louisiana, order and direct as follows:</w:t>
      </w:r>
    </w:p>
    <w:p w14:paraId="2AE87FD5" w14:textId="77777777" w:rsidR="00E61A9D" w:rsidRPr="00DE049E" w:rsidRDefault="00E61A9D" w:rsidP="002C6298">
      <w:pPr>
        <w:pStyle w:val="1"/>
      </w:pPr>
      <w:r w:rsidRPr="00DE049E">
        <w:t>Section 1:</w:t>
      </w:r>
      <w:r w:rsidRPr="00DE049E">
        <w:tab/>
        <w:t>Pursuant to the Louisiana Homeland Security and Emergency Assistance and Disaster Act, R.S. 29:721, et seq., a state of emergency is hereby declared to exist that currently threatens the lives, safety, and property of the citizens in Louisiana.</w:t>
      </w:r>
    </w:p>
    <w:p w14:paraId="347CC899" w14:textId="77777777" w:rsidR="00E61A9D" w:rsidRPr="00DE049E" w:rsidRDefault="00E61A9D" w:rsidP="002C6298">
      <w:pPr>
        <w:pStyle w:val="1"/>
      </w:pPr>
      <w:r w:rsidRPr="00DE049E">
        <w:t>Section 2:</w:t>
      </w:r>
      <w:r w:rsidRPr="00DE049E">
        <w:tab/>
        <w:t>Pursuant to R.S. 29:724(A)(3), the designated emergency area, which is or may be affected, shall include Camp J and surrounding infrastructure, within the Louisiana State Penitentiary.</w:t>
      </w:r>
    </w:p>
    <w:p w14:paraId="32287498" w14:textId="77777777" w:rsidR="00E61A9D" w:rsidRPr="00DE049E" w:rsidRDefault="00E61A9D" w:rsidP="002C6298">
      <w:pPr>
        <w:pStyle w:val="1"/>
      </w:pPr>
      <w:r w:rsidRPr="00DE049E">
        <w:t>Section 3:</w:t>
      </w:r>
      <w:r w:rsidRPr="00DE049E">
        <w:tab/>
        <w:t>The Director of the Governor's Office of Homeland Security and Emergency Preparedness (GOHSEP) and the Secretary of the Department of Public Safety and Corrections are hereby authorized to undertake any activity authorized by law that they deem appropriate in response to this declaration.</w:t>
      </w:r>
    </w:p>
    <w:p w14:paraId="550DAAFB" w14:textId="77777777" w:rsidR="00E61A9D" w:rsidRPr="00DE049E" w:rsidRDefault="00E61A9D" w:rsidP="002C6298">
      <w:pPr>
        <w:pStyle w:val="1"/>
      </w:pPr>
      <w:r w:rsidRPr="00DE049E">
        <w:t>Section 4:</w:t>
      </w:r>
      <w:r w:rsidRPr="00DE049E">
        <w:tab/>
        <w:t>Pursuant to R.S. 29:724(D)(1), the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any other emergency amendments to existing contracts, or any public work necessary to respond to this emergency.</w:t>
      </w:r>
    </w:p>
    <w:p w14:paraId="08654F21" w14:textId="77777777" w:rsidR="00E61A9D" w:rsidRPr="00DE049E" w:rsidRDefault="00E61A9D" w:rsidP="002C6298">
      <w:pPr>
        <w:pStyle w:val="1"/>
      </w:pPr>
      <w:r w:rsidRPr="00DE049E">
        <w:t>Section 5:</w:t>
      </w:r>
      <w:r w:rsidRPr="00DE049E">
        <w:tab/>
        <w:t>All departments, commissions, boards, agencies and officers of the State, or any political subdivision thereof, are authorized and directed to cooperate in actions the State may take in response to this event.</w:t>
      </w:r>
    </w:p>
    <w:p w14:paraId="319966B4" w14:textId="77777777" w:rsidR="00E61A9D" w:rsidRPr="00DE049E" w:rsidRDefault="00E61A9D" w:rsidP="002C6298">
      <w:pPr>
        <w:pStyle w:val="1"/>
      </w:pPr>
      <w:r w:rsidRPr="00DE049E">
        <w:t>Section 6:</w:t>
      </w:r>
      <w:r w:rsidRPr="00DE049E">
        <w:tab/>
        <w:t>This Order is effective upon signature and shall remain in effect from Friday, August 28, 2026 to Sunday, September 27, 2026, unless amended, modified, terminated, or rescinded earlier by the Governor, or terminated by operation of law.</w:t>
      </w:r>
    </w:p>
    <w:p w14:paraId="6505C654" w14:textId="77777777" w:rsidR="00E61A9D" w:rsidRDefault="00E61A9D" w:rsidP="002C6298">
      <w:pPr>
        <w:pStyle w:val="ExoNormal"/>
      </w:pPr>
      <w:r w:rsidRPr="00DE049E">
        <w:t>IN WITNESS WHEREOF, I have set my hand officially and caused to be affixed the Great Seal of Louisiana in the City of Baton Rouge, on this 28th day of August, 2026.</w:t>
      </w:r>
    </w:p>
    <w:p w14:paraId="29967489" w14:textId="77777777" w:rsidR="00E61A9D" w:rsidRDefault="00E61A9D" w:rsidP="002C6298">
      <w:pPr>
        <w:pStyle w:val="RegSignature"/>
      </w:pPr>
    </w:p>
    <w:p w14:paraId="0C017474" w14:textId="77777777" w:rsidR="00E61A9D" w:rsidRDefault="00E61A9D" w:rsidP="002C6298">
      <w:pPr>
        <w:pStyle w:val="RegSignature"/>
      </w:pPr>
      <w:r>
        <w:t>Jeff Landry</w:t>
      </w:r>
    </w:p>
    <w:p w14:paraId="2EDD40F6" w14:textId="77777777" w:rsidR="00E61A9D" w:rsidRDefault="00E61A9D" w:rsidP="002C6298">
      <w:pPr>
        <w:pStyle w:val="RegSignature"/>
      </w:pPr>
      <w:r>
        <w:t>Governor</w:t>
      </w:r>
    </w:p>
    <w:p w14:paraId="7911E765" w14:textId="77777777" w:rsidR="00E61A9D" w:rsidRDefault="00E61A9D" w:rsidP="002C6298">
      <w:pPr>
        <w:pStyle w:val="ExoSecOfState"/>
      </w:pPr>
      <w:r>
        <w:t>ATTEST BY</w:t>
      </w:r>
    </w:p>
    <w:p w14:paraId="3EE6F937" w14:textId="77777777" w:rsidR="00E61A9D" w:rsidRDefault="00E61A9D" w:rsidP="002C6298">
      <w:pPr>
        <w:pStyle w:val="ExoSecOfState"/>
      </w:pPr>
      <w:r>
        <w:t>THE GOVERNOR</w:t>
      </w:r>
    </w:p>
    <w:p w14:paraId="3DF37FA2" w14:textId="77777777" w:rsidR="00E61A9D" w:rsidRDefault="00E61A9D" w:rsidP="002C6298">
      <w:pPr>
        <w:pStyle w:val="ExoSecOfState"/>
      </w:pPr>
      <w:r>
        <w:t>Nancy Landry</w:t>
      </w:r>
    </w:p>
    <w:p w14:paraId="41743CB9" w14:textId="77777777" w:rsidR="00E61A9D" w:rsidRDefault="00E61A9D" w:rsidP="002C6298">
      <w:pPr>
        <w:pStyle w:val="ExoSecOfState"/>
      </w:pPr>
      <w:r>
        <w:t>Secretary of State</w:t>
      </w:r>
    </w:p>
    <w:p w14:paraId="234A5B01" w14:textId="77777777" w:rsidR="00E61A9D" w:rsidRPr="00DE049E" w:rsidRDefault="00E61A9D" w:rsidP="002C6298">
      <w:pPr>
        <w:pStyle w:val="RegLogNumber"/>
      </w:pPr>
      <w:r>
        <w:t>2609#090</w:t>
      </w:r>
    </w:p>
    <w:p w14:paraId="441C0549" w14:textId="77777777" w:rsidR="00E61A9D" w:rsidRPr="00E61A9D" w:rsidRDefault="00E61A9D" w:rsidP="00E61A9D"/>
    <w:p w14:paraId="1EA7594C" w14:textId="77777777" w:rsidR="00E61A9D" w:rsidRDefault="00E61A9D" w:rsidP="00B07C78">
      <w:pPr>
        <w:pStyle w:val="RegItemFirstLine"/>
      </w:pPr>
      <w:r>
        <w:t>EXECUTIVE ORDER JML 26-086</w:t>
      </w:r>
    </w:p>
    <w:p w14:paraId="15196BA3" w14:textId="77777777" w:rsidR="00E61A9D" w:rsidRDefault="00E61A9D" w:rsidP="00B07C78">
      <w:pPr>
        <w:pStyle w:val="RegItemTitle"/>
      </w:pPr>
      <w:r w:rsidRPr="00E642EF">
        <w:t>Renewal of State of Emergency—Hurricane Ida</w:t>
      </w:r>
    </w:p>
    <w:p w14:paraId="0B431A72" w14:textId="77777777" w:rsidR="00E61A9D" w:rsidRPr="00E642EF" w:rsidRDefault="00E61A9D" w:rsidP="00B07C78">
      <w:pPr>
        <w:pStyle w:val="ExoNormal"/>
      </w:pPr>
      <w:r w:rsidRPr="00E642EF">
        <w:t>WHEREAS, the Louisiana Homeland Security and Emergency Assistance and Disaster Act, R.S. 29:721, et seq., confers upon the Governor of the State of Louisiana emergency powers to deal with emergencies and disasters, including those caused by fire, flood, earthquake, or other natural or manmade causes, in order to ensure that preparations of this state will be adequate to deal with such emergencies or disasters and to preserve the lives and property of the people of the State of Louisiana;</w:t>
      </w:r>
    </w:p>
    <w:p w14:paraId="285A2CCE" w14:textId="77777777" w:rsidR="00E61A9D" w:rsidRPr="00E642EF" w:rsidRDefault="00E61A9D" w:rsidP="00B07C78">
      <w:pPr>
        <w:pStyle w:val="ExoNormal"/>
      </w:pPr>
      <w:r w:rsidRPr="00E642EF">
        <w:t>WHEREAS, pursuant to the Louisiana Homeland Security and Emergency Assistance and Disaster Act, R.S. 29:721, et seq., Governor John Bel Edwards declared a state of emergency in response to the imminent threat posed by Hurricane Ida on August 26, 2021, in Proclamation Number 165 JBE 2021;</w:t>
      </w:r>
    </w:p>
    <w:p w14:paraId="2675A6D1" w14:textId="77777777" w:rsidR="00E61A9D" w:rsidRPr="00E642EF" w:rsidRDefault="00E61A9D" w:rsidP="00B07C78">
      <w:pPr>
        <w:pStyle w:val="ExoNormal"/>
      </w:pPr>
      <w:r w:rsidRPr="00E642EF">
        <w:t>WHEREAS, Proclamation Number 165 JBE 2021 has been renewed and extended every thirty (30) days through JML 26-072, which is in effect through Sunday, August 30, 2026;</w:t>
      </w:r>
    </w:p>
    <w:p w14:paraId="0A8D5A73" w14:textId="77777777" w:rsidR="00E61A9D" w:rsidRPr="00E642EF" w:rsidRDefault="00E61A9D" w:rsidP="00B07C78">
      <w:pPr>
        <w:pStyle w:val="ExoNormal"/>
      </w:pPr>
      <w:r w:rsidRPr="00E642EF">
        <w:t>WHEREAS, Hurricane Ida made landfall on the Louisiana coast as a major hurricane on Sunday, August 29, 2021, bringing devastating winds, widespread power-outages, and severe damage to Louisiana and its citizens;</w:t>
      </w:r>
    </w:p>
    <w:p w14:paraId="6BD39BEE" w14:textId="77777777" w:rsidR="00E61A9D" w:rsidRPr="00E642EF" w:rsidRDefault="00E61A9D" w:rsidP="00B07C78">
      <w:pPr>
        <w:pStyle w:val="ExoNormal"/>
      </w:pPr>
      <w:r w:rsidRPr="00E642EF">
        <w:t>WHEREAS, on August 27, 2021, President Joseph R. Biden approved an Emergency Declaration for the State of Louisiana, authorizing appropriate assistance under Title V of the Stafford Act, to be coordinated by the United States Department of Homeland Security and the Federal Emergency Management Agency;</w:t>
      </w:r>
    </w:p>
    <w:p w14:paraId="3011F578" w14:textId="77777777" w:rsidR="00E61A9D" w:rsidRPr="00E642EF" w:rsidRDefault="00E61A9D" w:rsidP="00B07C78">
      <w:pPr>
        <w:pStyle w:val="ExoNormal"/>
      </w:pPr>
      <w:r w:rsidRPr="00E642EF">
        <w:t>WHEREAS, on August 29, 2021, President Biden approved a Major Disaster Declaration for the State of Louisiana, authorizing individual and public assistance for all impacted parishes;</w:t>
      </w:r>
    </w:p>
    <w:p w14:paraId="3C02C7BF" w14:textId="77777777" w:rsidR="00E61A9D" w:rsidRPr="00E642EF" w:rsidRDefault="00E61A9D" w:rsidP="00B07C78">
      <w:pPr>
        <w:pStyle w:val="ExoNormal"/>
      </w:pPr>
      <w:r w:rsidRPr="00E642EF">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 and</w:t>
      </w:r>
    </w:p>
    <w:p w14:paraId="51B5CB58" w14:textId="77777777" w:rsidR="00E61A9D" w:rsidRPr="00E642EF" w:rsidRDefault="00E61A9D" w:rsidP="00B07C78">
      <w:pPr>
        <w:pStyle w:val="ExoNormal"/>
      </w:pPr>
      <w:r w:rsidRPr="00E642EF">
        <w:t>WHEREAS, damage from this storm continues to pose a threat to citizens and communities across the Gulf Coast and create conditions that place lives and property in the state in jeopardy;</w:t>
      </w:r>
    </w:p>
    <w:p w14:paraId="4646CA75" w14:textId="77777777" w:rsidR="00E61A9D" w:rsidRPr="00E642EF" w:rsidRDefault="00E61A9D" w:rsidP="00B07C78">
      <w:pPr>
        <w:pStyle w:val="ExoNormal"/>
      </w:pPr>
      <w:r w:rsidRPr="00E642EF">
        <w:t>NOW THEREFORE, I, JEFF LANDRY, Governor of the State of Louisiana, by virtue of the authority vested by the Constitution and the laws of the State of Louisiana, do hereby order and direct as follows:</w:t>
      </w:r>
    </w:p>
    <w:p w14:paraId="24D1BC07" w14:textId="77777777" w:rsidR="00E61A9D" w:rsidRPr="00E642EF" w:rsidRDefault="00E61A9D" w:rsidP="00B07C78">
      <w:pPr>
        <w:pStyle w:val="1"/>
      </w:pPr>
      <w:r w:rsidRPr="00E642EF">
        <w:t>Section 1:</w:t>
      </w:r>
      <w:r w:rsidRPr="00E642EF">
        <w:tab/>
        <w:t>Pursuant to the Louisiana Homeland Security and Emergency Assistance and Disaster Act, R.S. 29:721, et seq., a state of emergency is hereby declared to continue to exist statewide in the State of Louisiana as a result of the threat of emergency conditions that threaten the lives and property of the citizens of the State.</w:t>
      </w:r>
    </w:p>
    <w:p w14:paraId="1D272400" w14:textId="77777777" w:rsidR="00E61A9D" w:rsidRPr="00E642EF" w:rsidRDefault="00E61A9D" w:rsidP="00B07C78">
      <w:pPr>
        <w:pStyle w:val="1"/>
      </w:pPr>
      <w:r w:rsidRPr="00E642EF">
        <w:t>Section 2:</w:t>
      </w:r>
      <w:r w:rsidRPr="00E642EF">
        <w:tab/>
        <w:t>The Director of the Governor’s Office of Homeland Security and Emergency Preparedness (GOHSEP) is hereby authorized to continue to undertake any activity authorized by law that he deems appropriate in response to this declaration.</w:t>
      </w:r>
    </w:p>
    <w:p w14:paraId="019CC41C" w14:textId="77777777" w:rsidR="00E61A9D" w:rsidRPr="00E642EF" w:rsidRDefault="00E61A9D" w:rsidP="00B07C78">
      <w:pPr>
        <w:pStyle w:val="1"/>
      </w:pPr>
      <w:r w:rsidRPr="00E642EF">
        <w:t>Section 3:</w:t>
      </w:r>
      <w:r w:rsidRPr="00E642EF">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761C0ACF" w14:textId="77777777" w:rsidR="00E61A9D" w:rsidRPr="00E642EF" w:rsidRDefault="00E61A9D" w:rsidP="00B07C78">
      <w:pPr>
        <w:pStyle w:val="1"/>
      </w:pPr>
      <w:r w:rsidRPr="00E642EF">
        <w:lastRenderedPageBreak/>
        <w:t>Section 4:</w:t>
      </w:r>
      <w:r w:rsidRPr="00E642EF">
        <w:tab/>
        <w:t>Pursuant to R.S. 29:724(D)(1), the Louisiana Procurement Code (R.S. 39:1551, et seq.) and Louisiana Public Bid Law (R.S. 38:2211, et seq.) and their corresponding rules and regulations continue to be suspended for the purpose of the procurement of any goods or services necessary to respond to this emergency, including emergency contracts, cooperative endeavor agreements, and any other emergency amendments to existing contracts.</w:t>
      </w:r>
    </w:p>
    <w:p w14:paraId="2CD7A096" w14:textId="77777777" w:rsidR="00E61A9D" w:rsidRPr="00E642EF" w:rsidRDefault="00E61A9D" w:rsidP="00B07C78">
      <w:pPr>
        <w:pStyle w:val="1"/>
      </w:pPr>
      <w:r w:rsidRPr="00E642EF">
        <w:t>Section 5:</w:t>
      </w:r>
      <w:r w:rsidRPr="00E642EF">
        <w:tab/>
        <w:t>Pursuant to R.S. 29:724(D)(1), the provisions of R.S. 39:126 regarding prior approval of change orders continue to be suspended.</w:t>
      </w:r>
    </w:p>
    <w:p w14:paraId="67386365" w14:textId="77777777" w:rsidR="00E61A9D" w:rsidRPr="00E642EF" w:rsidRDefault="00E61A9D" w:rsidP="00B07C78">
      <w:pPr>
        <w:pStyle w:val="1"/>
      </w:pPr>
      <w:r w:rsidRPr="00E642EF">
        <w:t>Section 6:</w:t>
      </w:r>
      <w:r w:rsidRPr="00E642EF">
        <w:tab/>
        <w:t>All departments, commissions, boards, agencies and officers of the State, or any political subdivision thereof, are authorized and directed to cooperate in actions the State may take in response to the effects of this severe weather event.</w:t>
      </w:r>
    </w:p>
    <w:p w14:paraId="794A0FC6" w14:textId="77777777" w:rsidR="00E61A9D" w:rsidRPr="00E642EF" w:rsidRDefault="00E61A9D" w:rsidP="00B07C78">
      <w:pPr>
        <w:pStyle w:val="1"/>
      </w:pPr>
      <w:r w:rsidRPr="00E642EF">
        <w:t>Section 7:</w:t>
      </w:r>
      <w:r w:rsidRPr="00E642EF">
        <w:tab/>
        <w:t>This Order is effective upon signature and shall continue in effect from Friday, August 28, 2026 to Sunday, September 27, 2026, unless amended, modified, or terminated sooner.</w:t>
      </w:r>
    </w:p>
    <w:p w14:paraId="294C2953" w14:textId="77777777" w:rsidR="00E61A9D" w:rsidRDefault="00E61A9D" w:rsidP="00B07C78">
      <w:pPr>
        <w:pStyle w:val="ExoNormal"/>
      </w:pPr>
      <w:r w:rsidRPr="00E642EF">
        <w:t>IN WITNESS WHEREOF, I have set my hand officially and caused to be affixed the Great Seal of Louisiana in the City of Baton Rouge, on this 28th day of August, 2026.</w:t>
      </w:r>
    </w:p>
    <w:p w14:paraId="69DA1B82" w14:textId="77777777" w:rsidR="00E61A9D" w:rsidRDefault="00E61A9D" w:rsidP="00B07C78">
      <w:pPr>
        <w:pStyle w:val="RegSignature"/>
      </w:pPr>
    </w:p>
    <w:p w14:paraId="6F5E3991" w14:textId="77777777" w:rsidR="00E61A9D" w:rsidRDefault="00E61A9D" w:rsidP="00B07C78">
      <w:pPr>
        <w:pStyle w:val="RegSignature"/>
      </w:pPr>
      <w:r>
        <w:t>Jeff Landry</w:t>
      </w:r>
    </w:p>
    <w:p w14:paraId="0CD36CBC" w14:textId="77777777" w:rsidR="00E61A9D" w:rsidRDefault="00E61A9D" w:rsidP="00B07C78">
      <w:pPr>
        <w:pStyle w:val="RegSignature"/>
      </w:pPr>
      <w:r>
        <w:t>Governor</w:t>
      </w:r>
    </w:p>
    <w:p w14:paraId="25FF21EB" w14:textId="77777777" w:rsidR="00E61A9D" w:rsidRDefault="00E61A9D" w:rsidP="00B07C78">
      <w:pPr>
        <w:pStyle w:val="ExoSecOfState"/>
      </w:pPr>
      <w:r>
        <w:t>ATTEST BY</w:t>
      </w:r>
    </w:p>
    <w:p w14:paraId="47C501FF" w14:textId="77777777" w:rsidR="00E61A9D" w:rsidRDefault="00E61A9D" w:rsidP="00B07C78">
      <w:pPr>
        <w:pStyle w:val="ExoSecOfState"/>
      </w:pPr>
      <w:r>
        <w:t>THE GOVERNOR</w:t>
      </w:r>
    </w:p>
    <w:p w14:paraId="6BEA745E" w14:textId="77777777" w:rsidR="00E61A9D" w:rsidRDefault="00E61A9D" w:rsidP="00B07C78">
      <w:pPr>
        <w:pStyle w:val="ExoSecOfState"/>
      </w:pPr>
      <w:r>
        <w:t>Nancy Landry</w:t>
      </w:r>
    </w:p>
    <w:p w14:paraId="1C7F2719" w14:textId="77777777" w:rsidR="00E61A9D" w:rsidRDefault="00E61A9D" w:rsidP="00B07C78">
      <w:pPr>
        <w:pStyle w:val="ExoSecOfState"/>
      </w:pPr>
      <w:r>
        <w:t>Secretary of State</w:t>
      </w:r>
    </w:p>
    <w:p w14:paraId="550BA1C1" w14:textId="77777777" w:rsidR="00E61A9D" w:rsidRPr="00E642EF" w:rsidRDefault="00E61A9D" w:rsidP="00B07C78">
      <w:pPr>
        <w:pStyle w:val="RegLogNumber"/>
      </w:pPr>
      <w:r>
        <w:t>2609#091</w:t>
      </w:r>
    </w:p>
    <w:p w14:paraId="5DCDFCB7" w14:textId="77777777" w:rsidR="00E61A9D" w:rsidRPr="00E61A9D" w:rsidRDefault="00E61A9D" w:rsidP="00E61A9D"/>
    <w:p w14:paraId="3A494161" w14:textId="77777777" w:rsidR="00E61A9D" w:rsidRDefault="00E61A9D">
      <w:pPr>
        <w:sectPr w:rsidR="00E61A9D">
          <w:type w:val="continuous"/>
          <w:pgSz w:w="12240" w:h="15840" w:code="1"/>
          <w:pgMar w:top="720" w:right="864" w:bottom="317" w:left="864" w:header="576" w:footer="432" w:gutter="0"/>
          <w:cols w:num="2" w:space="720"/>
        </w:sectPr>
      </w:pPr>
    </w:p>
    <w:p w14:paraId="76F2AF81" w14:textId="77777777" w:rsidR="006E50FF" w:rsidRDefault="006E50FF">
      <w:pPr>
        <w:sectPr w:rsidR="006E50FF">
          <w:type w:val="continuous"/>
          <w:pgSz w:w="12240" w:h="15840" w:code="1"/>
          <w:pgMar w:top="720" w:right="864" w:bottom="317" w:left="864" w:header="576" w:footer="432" w:gutter="0"/>
          <w:cols w:num="2" w:space="720"/>
        </w:sectPr>
      </w:pPr>
    </w:p>
    <w:p w14:paraId="4046C768" w14:textId="77777777" w:rsidR="006E50FF" w:rsidRPr="006E50FF" w:rsidRDefault="006E50FF" w:rsidP="006E50FF">
      <w:pPr>
        <w:jc w:val="center"/>
        <w:rPr>
          <w:rFonts w:ascii="Arial" w:hAnsi="Arial"/>
          <w:b/>
          <w:noProof/>
          <w:sz w:val="48"/>
        </w:rPr>
      </w:pPr>
      <w:r w:rsidRPr="006E50FF">
        <w:rPr>
          <w:rFonts w:ascii="Arial" w:hAnsi="Arial"/>
          <w:b/>
          <w:noProof/>
          <w:sz w:val="48"/>
        </w:rPr>
        <w:lastRenderedPageBreak/>
        <w:t>Emergency Rules</w:t>
      </w:r>
    </w:p>
    <w:p w14:paraId="765CB4FF" w14:textId="77777777" w:rsidR="006E50FF" w:rsidRPr="006E50FF" w:rsidRDefault="006E50FF" w:rsidP="006E50FF"/>
    <w:p w14:paraId="5D98A122" w14:textId="77777777" w:rsidR="006E50FF" w:rsidRPr="006E50FF" w:rsidRDefault="006E50FF" w:rsidP="006E50FF"/>
    <w:p w14:paraId="436A70FD" w14:textId="77777777" w:rsidR="006E50FF" w:rsidRPr="006E50FF" w:rsidRDefault="006E50FF" w:rsidP="006E50FF">
      <w:pPr>
        <w:sectPr w:rsidR="006E50FF" w:rsidRPr="006E50FF" w:rsidSect="006E50FF">
          <w:footerReference w:type="even" r:id="rId10"/>
          <w:footerReference w:type="default" r:id="rId11"/>
          <w:pgSz w:w="12240" w:h="15840"/>
          <w:pgMar w:top="720" w:right="864" w:bottom="864" w:left="864" w:header="576" w:footer="432" w:gutter="0"/>
          <w:pgNumType w:start="1477"/>
          <w:cols w:space="720"/>
          <w:docGrid w:linePitch="272"/>
        </w:sectPr>
      </w:pPr>
    </w:p>
    <w:p w14:paraId="657D795E"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19A5F4BA" w14:textId="77777777" w:rsidR="006E50FF" w:rsidRPr="006E50FF" w:rsidRDefault="006E50FF" w:rsidP="006E50FF">
      <w:pPr>
        <w:keepNext/>
        <w:jc w:val="center"/>
        <w:rPr>
          <w:b/>
          <w:noProof/>
        </w:rPr>
      </w:pPr>
      <w:r w:rsidRPr="006E50FF">
        <w:rPr>
          <w:b/>
          <w:noProof/>
        </w:rPr>
        <w:t>Department of Agriculture and Forestry</w:t>
      </w:r>
    </w:p>
    <w:p w14:paraId="0EAA346D" w14:textId="77777777" w:rsidR="006E50FF" w:rsidRPr="006E50FF" w:rsidRDefault="006E50FF" w:rsidP="006E50FF">
      <w:pPr>
        <w:keepNext/>
        <w:jc w:val="center"/>
        <w:rPr>
          <w:b/>
          <w:noProof/>
        </w:rPr>
      </w:pPr>
      <w:r w:rsidRPr="006E50FF">
        <w:rPr>
          <w:b/>
          <w:noProof/>
        </w:rPr>
        <w:t>Office of Agro-Consumer Services</w:t>
      </w:r>
    </w:p>
    <w:p w14:paraId="32A9FD8F" w14:textId="77777777" w:rsidR="006E50FF" w:rsidRPr="006E50FF" w:rsidRDefault="006E50FF" w:rsidP="006E50FF">
      <w:pPr>
        <w:keepNext/>
        <w:jc w:val="center"/>
        <w:rPr>
          <w:b/>
          <w:noProof/>
        </w:rPr>
      </w:pPr>
      <w:r w:rsidRPr="006E50FF">
        <w:rPr>
          <w:b/>
          <w:noProof/>
        </w:rPr>
        <w:t>Division of Weights and Measures</w:t>
      </w:r>
    </w:p>
    <w:p w14:paraId="3E71271F" w14:textId="77777777" w:rsidR="006E50FF" w:rsidRPr="006E50FF" w:rsidRDefault="006E50FF" w:rsidP="006E50FF">
      <w:pPr>
        <w:keepNext/>
        <w:spacing w:before="240" w:after="240"/>
        <w:jc w:val="center"/>
        <w:rPr>
          <w:noProof/>
        </w:rPr>
      </w:pPr>
      <w:r w:rsidRPr="006E50FF">
        <w:rPr>
          <w:noProof/>
        </w:rPr>
        <w:t xml:space="preserve">Suspension of Standard Fuel Specifications for </w:t>
      </w:r>
      <w:r w:rsidRPr="006E50FF">
        <w:rPr>
          <w:noProof/>
        </w:rPr>
        <w:br/>
        <w:t xml:space="preserve">Gasoline and Gasoline-Oxygenate Blends </w:t>
      </w:r>
      <w:r w:rsidRPr="006E50FF">
        <w:rPr>
          <w:noProof/>
        </w:rPr>
        <w:br/>
        <w:t xml:space="preserve">(LAC 7:XXXV.303) </w:t>
      </w:r>
    </w:p>
    <w:p w14:paraId="15F6B7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emergency provisions of the Administrative Procedure Act, R.S. 49:962, and under the authority of R.S. 3:4608 and 4680, the commissioner of Agriculture and Forestry declares an emergency to exist and adopts by emergency process the attached regulations for the suspension of rules governing the sale of gasoline with ethanol blending limits and reid vapor pressure (RVP). </w:t>
      </w:r>
    </w:p>
    <w:p w14:paraId="34F3A1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On August 20, 2026, the Environmental Protection Agency (EPA) renewed a nationwide temporary waiver under the Clean Air Act (CAA) section 211(c)(4)(C)(ii)(I) to address extreme and unusual fuel supply circumstances caused by, among other things, global issues in the Middle East that are affecting all parts of the United States. The waiver extends the ethanol blending limit in gasoline from 10 percent to 15 percent, waives Federal low volatility gasoline standards, and pulls forward the wintertime volatility limits. The commissioner of Agriculture and Forestry is granting a temporary emergency waiver so that gasoline with 9 to 15 percent ethanol content at wintertime volatility limits may be used in Louisiana. The commissioner of Agriculture and Forestry intends to extend the waiver in Louisiana as long as the EPA extends the nationwide waiver.</w:t>
      </w:r>
    </w:p>
    <w:p w14:paraId="018A95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At the expiration of this waiver, gasoline that does not meet the requirements for Louisiana may not be introduced into terminal storage tanks from which gasoline has dispensed into trucks for distribution to retail outlets in Louisiana. However, any gasoline meeting the conditions for this waiver that had already been placed in the terminal storage tanks for distribution to retail and wholesale purchasers – consumers before the expiration date of this waiver may be distributed until the supply is depleted. Likewise, retailers and wholesaler purchasers-consumers in Louisiana may continue to sell or dispense gasoline after the above expiration date until their supplies are depleted. </w:t>
      </w:r>
    </w:p>
    <w:p w14:paraId="3C91E3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Agriculture and Forestry has adopted rules and regulations concerning the ASTM International Standards for gasoline reid vapor pressure and ethanol blending limits. A temporary suspension of these rules and regulations during this emergency is necessary to provide for an adequate supply of gasoline. Failure to suspend these rules and regulations creates an imminent peril to the public health, safety, and welfare of the citizens of this state. </w:t>
      </w:r>
    </w:p>
    <w:p w14:paraId="43BEC1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Procedural Note: This Emergency Rule supersedes and replaces a prior version of this Emergency Rule issued on April 17, 2026.</w:t>
      </w:r>
    </w:p>
    <w:p w14:paraId="080223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Emergency Rule shall become effective on September 1, 2026, and shall remain in effect for a period of 180 days unless renewed or rescinded. </w:t>
      </w:r>
    </w:p>
    <w:p w14:paraId="55192D1C" w14:textId="77777777" w:rsidR="006E50FF" w:rsidRPr="006E50FF" w:rsidRDefault="006E50FF" w:rsidP="006E50FF">
      <w:pPr>
        <w:keepNext/>
        <w:jc w:val="center"/>
        <w:rPr>
          <w:b/>
          <w:kern w:val="28"/>
        </w:rPr>
      </w:pPr>
      <w:r w:rsidRPr="006E50FF">
        <w:rPr>
          <w:b/>
          <w:kern w:val="28"/>
        </w:rPr>
        <w:t>Title 7</w:t>
      </w:r>
    </w:p>
    <w:p w14:paraId="41E460D1" w14:textId="77777777" w:rsidR="006E50FF" w:rsidRPr="006E50FF" w:rsidRDefault="006E50FF" w:rsidP="006E50FF">
      <w:pPr>
        <w:keepNext/>
        <w:jc w:val="center"/>
        <w:rPr>
          <w:b/>
          <w:kern w:val="28"/>
        </w:rPr>
      </w:pPr>
      <w:r w:rsidRPr="006E50FF">
        <w:rPr>
          <w:b/>
          <w:kern w:val="28"/>
        </w:rPr>
        <w:t>AGRICULTURE AND ANIMALS</w:t>
      </w:r>
    </w:p>
    <w:p w14:paraId="7162FD00" w14:textId="77777777" w:rsidR="006E50FF" w:rsidRPr="006E50FF" w:rsidRDefault="006E50FF" w:rsidP="006E50FF">
      <w:pPr>
        <w:keepNext/>
        <w:jc w:val="center"/>
        <w:rPr>
          <w:b/>
          <w:noProof/>
        </w:rPr>
      </w:pPr>
      <w:r w:rsidRPr="006E50FF">
        <w:rPr>
          <w:b/>
          <w:noProof/>
        </w:rPr>
        <w:t>Part XXXV.  Agro-Consumer Services</w:t>
      </w:r>
    </w:p>
    <w:p w14:paraId="7D90E95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Petroleum Products and Motor Fuels</w:t>
      </w:r>
    </w:p>
    <w:p w14:paraId="3B5501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Standards</w:t>
      </w:r>
    </w:p>
    <w:p w14:paraId="4722BE6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Standard Fuel Specifications for Gasoline and Gasoline-Oxygenate Blends</w:t>
      </w:r>
    </w:p>
    <w:p w14:paraId="1AF053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A.8.</w:t>
      </w:r>
      <w:r w:rsidRPr="006E50FF">
        <w:rPr>
          <w:kern w:val="2"/>
        </w:rPr>
        <w:tab/>
        <w:t>...</w:t>
      </w:r>
    </w:p>
    <w:p w14:paraId="10CB06F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7D7B7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ASTM D4814, “Standard Specifications for Automotive Spark – Ignition Fuel” Seasonal volatility standards for all parishes in the state of Louisiana are hereby suspended to allow the statewide use of gasoline with an RVP of 13.5 psi.</w:t>
      </w:r>
    </w:p>
    <w:p w14:paraId="09A8A8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ASTM D4814, “Standard Specifications for Automotive Spark – Ignition Fuel” base gasoline and blending requirements are hereby suspended for all parishes in the state of Louisiana to immediately allow the statewide use of gasoline with an ethanol blending limit of 15 percent.</w:t>
      </w:r>
    </w:p>
    <w:p w14:paraId="2664B7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3:4671, 4673, 4680, and 4681.</w:t>
      </w:r>
    </w:p>
    <w:p w14:paraId="00E386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Division of Weights and Measures, LR 31:29 (January 2005), amended by the Department of Agriculture and Forestry, Office of Agro-Consumer Services, LR 34:2549 (December 2008), LR 52:</w:t>
      </w:r>
    </w:p>
    <w:p w14:paraId="33B73E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p>
    <w:p w14:paraId="17EEB174" w14:textId="77777777" w:rsidR="006E50FF" w:rsidRPr="006E50FF" w:rsidRDefault="006E50FF" w:rsidP="006E50FF">
      <w:pPr>
        <w:keepNext/>
        <w:ind w:left="2160"/>
        <w:jc w:val="both"/>
      </w:pPr>
      <w:r w:rsidRPr="006E50FF">
        <w:t>Mike Strain, DVM</w:t>
      </w:r>
    </w:p>
    <w:p w14:paraId="3B1A777C" w14:textId="77777777" w:rsidR="006E50FF" w:rsidRPr="006E50FF" w:rsidRDefault="006E50FF" w:rsidP="006E50FF">
      <w:pPr>
        <w:keepNext/>
        <w:ind w:left="2160"/>
        <w:jc w:val="both"/>
      </w:pPr>
      <w:r w:rsidRPr="006E50FF">
        <w:t>Commissioner</w:t>
      </w:r>
    </w:p>
    <w:p w14:paraId="0166A50F" w14:textId="77777777" w:rsidR="006E50FF" w:rsidRPr="006E50FF" w:rsidRDefault="006E50FF" w:rsidP="006E50FF">
      <w:pPr>
        <w:rPr>
          <w:noProof/>
          <w:sz w:val="16"/>
        </w:rPr>
      </w:pPr>
      <w:r w:rsidRPr="006E50FF">
        <w:rPr>
          <w:noProof/>
          <w:sz w:val="16"/>
        </w:rPr>
        <w:t>2609#016</w:t>
      </w:r>
    </w:p>
    <w:p w14:paraId="59D6D384" w14:textId="77777777" w:rsidR="006E50FF" w:rsidRPr="006E50FF" w:rsidRDefault="006E50FF" w:rsidP="006E50FF"/>
    <w:p w14:paraId="217D4918" w14:textId="77777777" w:rsidR="006E50FF" w:rsidRPr="006E50FF" w:rsidRDefault="006E50FF" w:rsidP="006E50FF">
      <w:pPr>
        <w:keepNext/>
        <w:tabs>
          <w:tab w:val="left" w:pos="-1440"/>
        </w:tabs>
        <w:spacing w:after="120"/>
        <w:jc w:val="center"/>
        <w:rPr>
          <w:rFonts w:eastAsia="Calibri"/>
          <w:b/>
          <w:noProof/>
        </w:rPr>
      </w:pPr>
      <w:bookmarkStart w:id="21" w:name="Here"/>
      <w:bookmarkStart w:id="22" w:name="_Hlk213313544"/>
      <w:bookmarkStart w:id="23" w:name="_Hlk213302679"/>
      <w:bookmarkStart w:id="24" w:name="_Toc293304273"/>
      <w:bookmarkStart w:id="25" w:name="_Toc8977384"/>
      <w:bookmarkStart w:id="26" w:name="_Toc406567650"/>
      <w:bookmarkStart w:id="27" w:name="_Toc406567651"/>
      <w:bookmarkStart w:id="28" w:name="_Toc536435982"/>
      <w:bookmarkStart w:id="29" w:name="_Toc293304274"/>
      <w:bookmarkEnd w:id="21"/>
      <w:r w:rsidRPr="006E50FF">
        <w:rPr>
          <w:rFonts w:eastAsia="Calibri"/>
          <w:b/>
          <w:noProof/>
        </w:rPr>
        <w:t>DECLARATION OF EMERGENCY</w:t>
      </w:r>
    </w:p>
    <w:p w14:paraId="5E69F05D" w14:textId="77777777" w:rsidR="006E50FF" w:rsidRPr="006E50FF" w:rsidRDefault="006E50FF" w:rsidP="006E50FF">
      <w:pPr>
        <w:keepNext/>
        <w:jc w:val="center"/>
        <w:rPr>
          <w:rFonts w:eastAsia="Calibri"/>
          <w:b/>
          <w:noProof/>
        </w:rPr>
      </w:pPr>
      <w:bookmarkStart w:id="30" w:name="BreakPoint"/>
      <w:bookmarkEnd w:id="30"/>
      <w:r w:rsidRPr="006E50FF">
        <w:rPr>
          <w:rFonts w:eastAsia="Calibri"/>
          <w:b/>
          <w:noProof/>
        </w:rPr>
        <w:t>Office of the Governor</w:t>
      </w:r>
    </w:p>
    <w:p w14:paraId="2137070A" w14:textId="77777777" w:rsidR="006E50FF" w:rsidRPr="006E50FF" w:rsidRDefault="006E50FF" w:rsidP="006E50FF">
      <w:pPr>
        <w:keepNext/>
        <w:jc w:val="center"/>
        <w:rPr>
          <w:rFonts w:eastAsia="Calibri"/>
          <w:b/>
          <w:noProof/>
        </w:rPr>
      </w:pPr>
      <w:r w:rsidRPr="006E50FF">
        <w:rPr>
          <w:rFonts w:eastAsia="Calibri"/>
          <w:b/>
          <w:noProof/>
        </w:rPr>
        <w:t>Uniform Construction Code Commission</w:t>
      </w:r>
    </w:p>
    <w:bookmarkEnd w:id="22"/>
    <w:p w14:paraId="5715C9A5" w14:textId="77777777" w:rsidR="006E50FF" w:rsidRPr="006E50FF" w:rsidRDefault="006E50FF" w:rsidP="006E50FF">
      <w:pPr>
        <w:keepNext/>
        <w:spacing w:before="240" w:after="240"/>
        <w:jc w:val="center"/>
        <w:rPr>
          <w:rFonts w:eastAsia="Calibri"/>
          <w:noProof/>
        </w:rPr>
      </w:pPr>
      <w:r w:rsidRPr="006E50FF">
        <w:rPr>
          <w:rFonts w:eastAsia="Calibri"/>
          <w:noProof/>
        </w:rPr>
        <w:t>International Plumbing Code (LAC 17:I.111)</w:t>
      </w:r>
    </w:p>
    <w:p w14:paraId="79E5B5E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bookmarkStart w:id="31" w:name="_Hlk213238209"/>
      <w:bookmarkEnd w:id="23"/>
      <w:bookmarkEnd w:id="24"/>
      <w:bookmarkEnd w:id="25"/>
      <w:bookmarkEnd w:id="26"/>
      <w:bookmarkEnd w:id="27"/>
      <w:bookmarkEnd w:id="28"/>
      <w:bookmarkEnd w:id="29"/>
      <w:r w:rsidRPr="006E50FF">
        <w:rPr>
          <w:rFonts w:eastAsia="Calibri"/>
          <w:kern w:val="2"/>
        </w:rPr>
        <w:t xml:space="preserve">The Uniform Construction Code Commission, hereafter referred to as the “LUCCC” or the “Commission”, has exercised the emergency provision in accordance with R.S. 49:962(A) of the Administrative Procedure Act, to amend LAC 17:I.111 in the Uniform Construction Code as authorized by R.S. 37:3727 - 3750. </w:t>
      </w:r>
      <w:bookmarkStart w:id="32" w:name="_Hlk213239479"/>
      <w:r w:rsidRPr="006E50FF">
        <w:rPr>
          <w:rFonts w:eastAsia="Calibri"/>
          <w:kern w:val="2"/>
        </w:rPr>
        <w:t xml:space="preserve">Furthermore, the LUCCC has found an immediate need to adopt by emergency process the attached </w:t>
      </w:r>
      <w:bookmarkStart w:id="33" w:name="_Hlk213239578"/>
      <w:r w:rsidRPr="006E50FF">
        <w:rPr>
          <w:rFonts w:eastAsia="Calibri"/>
          <w:kern w:val="2"/>
        </w:rPr>
        <w:t>Rule relative to amending the</w:t>
      </w:r>
      <w:r w:rsidRPr="006E50FF">
        <w:rPr>
          <w:rFonts w:eastAsia="Calibri"/>
          <w:i/>
          <w:iCs/>
          <w:kern w:val="2"/>
        </w:rPr>
        <w:t xml:space="preserve"> 2021 International Plumbing Code </w:t>
      </w:r>
      <w:r w:rsidRPr="006E50FF">
        <w:rPr>
          <w:rFonts w:eastAsia="Calibri"/>
          <w:kern w:val="2"/>
        </w:rPr>
        <w:t xml:space="preserve">by amending </w:t>
      </w:r>
      <w:bookmarkEnd w:id="33"/>
      <w:r w:rsidRPr="006E50FF">
        <w:rPr>
          <w:rFonts w:eastAsia="Calibri"/>
          <w:kern w:val="2"/>
        </w:rPr>
        <w:t>Chapter 16, Travel Trailer and Mobile/Manufactured Home Parks, by adopting a new exception under Section 1602.1, Service Buildings for Independent Travel Trailers.</w:t>
      </w:r>
      <w:bookmarkEnd w:id="32"/>
      <w:r w:rsidRPr="006E50FF">
        <w:rPr>
          <w:rFonts w:eastAsia="Calibri"/>
          <w:kern w:val="2"/>
        </w:rPr>
        <w:t xml:space="preserve"> </w:t>
      </w:r>
      <w:bookmarkEnd w:id="31"/>
      <w:r w:rsidRPr="006E50FF">
        <w:rPr>
          <w:rFonts w:eastAsia="Calibri"/>
          <w:kern w:val="2"/>
        </w:rPr>
        <w:t xml:space="preserve">Allowing travel trailer parks with a sewer hookup at each pad to be exempt from the </w:t>
      </w:r>
      <w:r w:rsidRPr="006E50FF">
        <w:rPr>
          <w:rFonts w:eastAsia="Calibri"/>
          <w:kern w:val="2"/>
        </w:rPr>
        <w:br w:type="page"/>
      </w:r>
      <w:r w:rsidRPr="006E50FF">
        <w:rPr>
          <w:rFonts w:eastAsia="Calibri"/>
          <w:kern w:val="2"/>
        </w:rPr>
        <w:lastRenderedPageBreak/>
        <w:t>service‑building requirement protects public health by ensuring all wastewater is safely contained and discharged through proper sewer connections, making shared sanitation facilities unnecessary and preventing redundant services. This reduces the chance of leaks, odors, and environmental contamination because each pad already has a gas‑tight connection designed for safe sewage disposal.</w:t>
      </w:r>
    </w:p>
    <w:p w14:paraId="7C81300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The LUCCC is promulgating this Emergency Rule amendment to provide greater health and safety for the public and for those living and working in conditioned spaces. These rules were first adopted and published in Volume 33, Number 291, of the </w:t>
      </w:r>
      <w:r w:rsidRPr="006E50FF">
        <w:rPr>
          <w:rFonts w:eastAsia="Calibri"/>
          <w:i/>
          <w:iCs/>
          <w:kern w:val="2"/>
        </w:rPr>
        <w:t>Louisiana Register</w:t>
      </w:r>
      <w:r w:rsidRPr="006E50FF">
        <w:rPr>
          <w:rFonts w:eastAsia="Calibri"/>
          <w:kern w:val="2"/>
        </w:rPr>
        <w:t>. This Emergency Rule is being promulgated to continue those provisions. The public welfare dictates that these changes be implemented immediately through the adoption of the Emergency Rule to promote greater access to safer environments and to ensure safety to existing facilities and their occupants.</w:t>
      </w:r>
      <w:r w:rsidRPr="006E50FF">
        <w:rPr>
          <w:kern w:val="2"/>
        </w:rPr>
        <w:t xml:space="preserve"> By the signature of the agency head, Brad Hassert, </w:t>
      </w:r>
      <w:r w:rsidRPr="006E50FF">
        <w:rPr>
          <w:rFonts w:eastAsia="Calibri"/>
          <w:kern w:val="2"/>
        </w:rPr>
        <w:t xml:space="preserve">this Emergency Rule shall have </w:t>
      </w:r>
      <w:r w:rsidRPr="006E50FF">
        <w:rPr>
          <w:rFonts w:eastAsia="Calibri"/>
          <w:kern w:val="2"/>
        </w:rPr>
        <w:t>the force and effect of law on August 4, 2026, and will remain in effect 180 days, unless renewed by the agency head of the council, or until permanent rules are promulgated in accordance with law.</w:t>
      </w:r>
    </w:p>
    <w:p w14:paraId="031C1174" w14:textId="77777777" w:rsidR="006E50FF" w:rsidRPr="006E50FF" w:rsidRDefault="006E50FF" w:rsidP="006E50FF">
      <w:pPr>
        <w:keepNext/>
        <w:jc w:val="center"/>
        <w:rPr>
          <w:b/>
          <w:kern w:val="28"/>
        </w:rPr>
      </w:pPr>
      <w:r w:rsidRPr="006E50FF">
        <w:rPr>
          <w:b/>
          <w:kern w:val="28"/>
        </w:rPr>
        <w:t>T</w:t>
      </w:r>
      <w:r w:rsidRPr="006E50FF">
        <w:rPr>
          <w:b/>
          <w:spacing w:val="-1"/>
          <w:kern w:val="28"/>
        </w:rPr>
        <w:t>i</w:t>
      </w:r>
      <w:r w:rsidRPr="006E50FF">
        <w:rPr>
          <w:b/>
          <w:kern w:val="28"/>
        </w:rPr>
        <w:t>t</w:t>
      </w:r>
      <w:r w:rsidRPr="006E50FF">
        <w:rPr>
          <w:b/>
          <w:spacing w:val="-1"/>
          <w:kern w:val="28"/>
        </w:rPr>
        <w:t>l</w:t>
      </w:r>
      <w:r w:rsidRPr="006E50FF">
        <w:rPr>
          <w:b/>
          <w:kern w:val="28"/>
        </w:rPr>
        <w:t xml:space="preserve">e </w:t>
      </w:r>
      <w:r w:rsidRPr="006E50FF">
        <w:rPr>
          <w:b/>
          <w:spacing w:val="1"/>
          <w:kern w:val="28"/>
        </w:rPr>
        <w:t>1</w:t>
      </w:r>
      <w:r w:rsidRPr="006E50FF">
        <w:rPr>
          <w:b/>
          <w:kern w:val="28"/>
        </w:rPr>
        <w:t>7</w:t>
      </w:r>
    </w:p>
    <w:p w14:paraId="66D63653" w14:textId="77777777" w:rsidR="006E50FF" w:rsidRPr="006E50FF" w:rsidRDefault="006E50FF" w:rsidP="006E50FF">
      <w:pPr>
        <w:keepNext/>
        <w:jc w:val="center"/>
        <w:rPr>
          <w:b/>
          <w:kern w:val="28"/>
        </w:rPr>
      </w:pPr>
      <w:r w:rsidRPr="006E50FF">
        <w:rPr>
          <w:b/>
          <w:spacing w:val="1"/>
          <w:kern w:val="28"/>
        </w:rPr>
        <w:t>C</w:t>
      </w:r>
      <w:r w:rsidRPr="006E50FF">
        <w:rPr>
          <w:b/>
          <w:spacing w:val="-1"/>
          <w:kern w:val="28"/>
        </w:rPr>
        <w:t>O</w:t>
      </w:r>
      <w:r w:rsidRPr="006E50FF">
        <w:rPr>
          <w:b/>
          <w:spacing w:val="1"/>
          <w:kern w:val="28"/>
        </w:rPr>
        <w:t>N</w:t>
      </w:r>
      <w:r w:rsidRPr="006E50FF">
        <w:rPr>
          <w:b/>
          <w:kern w:val="28"/>
        </w:rPr>
        <w:t>ST</w:t>
      </w:r>
      <w:r w:rsidRPr="006E50FF">
        <w:rPr>
          <w:b/>
          <w:spacing w:val="-1"/>
          <w:kern w:val="28"/>
        </w:rPr>
        <w:t>RUC</w:t>
      </w:r>
      <w:r w:rsidRPr="006E50FF">
        <w:rPr>
          <w:b/>
          <w:kern w:val="28"/>
        </w:rPr>
        <w:t>TION</w:t>
      </w:r>
    </w:p>
    <w:p w14:paraId="42EF0E48" w14:textId="77777777" w:rsidR="006E50FF" w:rsidRPr="006E50FF" w:rsidRDefault="006E50FF" w:rsidP="006E50FF">
      <w:pPr>
        <w:keepNext/>
        <w:jc w:val="center"/>
        <w:rPr>
          <w:b/>
          <w:noProof/>
        </w:rPr>
      </w:pPr>
      <w:r w:rsidRPr="006E50FF">
        <w:rPr>
          <w:b/>
          <w:noProof/>
        </w:rPr>
        <w:t>P</w:t>
      </w:r>
      <w:r w:rsidRPr="006E50FF">
        <w:rPr>
          <w:b/>
          <w:noProof/>
          <w:spacing w:val="1"/>
        </w:rPr>
        <w:t>a</w:t>
      </w:r>
      <w:r w:rsidRPr="006E50FF">
        <w:rPr>
          <w:b/>
          <w:noProof/>
        </w:rPr>
        <w:t>rt</w:t>
      </w:r>
      <w:r w:rsidRPr="006E50FF">
        <w:rPr>
          <w:b/>
          <w:noProof/>
          <w:spacing w:val="-1"/>
        </w:rPr>
        <w:t xml:space="preserve"> </w:t>
      </w:r>
      <w:r w:rsidRPr="006E50FF">
        <w:rPr>
          <w:b/>
          <w:noProof/>
        </w:rPr>
        <w:t>I.  Un</w:t>
      </w:r>
      <w:r w:rsidRPr="006E50FF">
        <w:rPr>
          <w:b/>
          <w:noProof/>
          <w:spacing w:val="-1"/>
        </w:rPr>
        <w:t>if</w:t>
      </w:r>
      <w:r w:rsidRPr="006E50FF">
        <w:rPr>
          <w:b/>
          <w:noProof/>
          <w:spacing w:val="1"/>
        </w:rPr>
        <w:t>o</w:t>
      </w:r>
      <w:r w:rsidRPr="006E50FF">
        <w:rPr>
          <w:b/>
          <w:noProof/>
          <w:spacing w:val="-1"/>
        </w:rPr>
        <w:t>r</w:t>
      </w:r>
      <w:r w:rsidRPr="006E50FF">
        <w:rPr>
          <w:b/>
          <w:noProof/>
        </w:rPr>
        <w:t xml:space="preserve">m </w:t>
      </w:r>
      <w:r w:rsidRPr="006E50FF">
        <w:rPr>
          <w:b/>
          <w:noProof/>
          <w:spacing w:val="-1"/>
        </w:rPr>
        <w:t>C</w:t>
      </w:r>
      <w:r w:rsidRPr="006E50FF">
        <w:rPr>
          <w:b/>
          <w:noProof/>
          <w:spacing w:val="1"/>
        </w:rPr>
        <w:t>o</w:t>
      </w:r>
      <w:r w:rsidRPr="006E50FF">
        <w:rPr>
          <w:b/>
          <w:noProof/>
        </w:rPr>
        <w:t>n</w:t>
      </w:r>
      <w:r w:rsidRPr="006E50FF">
        <w:rPr>
          <w:b/>
          <w:noProof/>
          <w:spacing w:val="-1"/>
        </w:rPr>
        <w:t>s</w:t>
      </w:r>
      <w:r w:rsidRPr="006E50FF">
        <w:rPr>
          <w:b/>
          <w:noProof/>
        </w:rPr>
        <w:t>tru</w:t>
      </w:r>
      <w:r w:rsidRPr="006E50FF">
        <w:rPr>
          <w:b/>
          <w:noProof/>
          <w:spacing w:val="-1"/>
        </w:rPr>
        <w:t>c</w:t>
      </w:r>
      <w:r w:rsidRPr="006E50FF">
        <w:rPr>
          <w:b/>
          <w:noProof/>
        </w:rPr>
        <w:t>t</w:t>
      </w:r>
      <w:r w:rsidRPr="006E50FF">
        <w:rPr>
          <w:b/>
          <w:noProof/>
          <w:spacing w:val="-1"/>
        </w:rPr>
        <w:t>io</w:t>
      </w:r>
      <w:r w:rsidRPr="006E50FF">
        <w:rPr>
          <w:b/>
          <w:noProof/>
        </w:rPr>
        <w:t>n</w:t>
      </w:r>
      <w:r w:rsidRPr="006E50FF">
        <w:rPr>
          <w:b/>
          <w:noProof/>
          <w:spacing w:val="1"/>
        </w:rPr>
        <w:t xml:space="preserve"> </w:t>
      </w:r>
      <w:r w:rsidRPr="006E50FF">
        <w:rPr>
          <w:b/>
          <w:noProof/>
          <w:spacing w:val="-1"/>
        </w:rPr>
        <w:t>C</w:t>
      </w:r>
      <w:r w:rsidRPr="006E50FF">
        <w:rPr>
          <w:b/>
          <w:noProof/>
          <w:spacing w:val="1"/>
        </w:rPr>
        <w:t>o</w:t>
      </w:r>
      <w:r w:rsidRPr="006E50FF">
        <w:rPr>
          <w:b/>
          <w:noProof/>
        </w:rPr>
        <w:t>de</w:t>
      </w:r>
    </w:p>
    <w:p w14:paraId="6803C1D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spacing w:val="1"/>
          <w:kern w:val="2"/>
        </w:rPr>
        <w:t>C</w:t>
      </w:r>
      <w:r w:rsidRPr="006E50FF">
        <w:rPr>
          <w:b/>
          <w:spacing w:val="-1"/>
          <w:kern w:val="2"/>
        </w:rPr>
        <w:t>h</w:t>
      </w:r>
      <w:r w:rsidRPr="006E50FF">
        <w:rPr>
          <w:b/>
          <w:spacing w:val="1"/>
          <w:kern w:val="2"/>
        </w:rPr>
        <w:t>a</w:t>
      </w:r>
      <w:r w:rsidRPr="006E50FF">
        <w:rPr>
          <w:b/>
          <w:kern w:val="2"/>
        </w:rPr>
        <w:t>pt</w:t>
      </w:r>
      <w:r w:rsidRPr="006E50FF">
        <w:rPr>
          <w:b/>
          <w:spacing w:val="-1"/>
          <w:kern w:val="2"/>
        </w:rPr>
        <w:t>e</w:t>
      </w:r>
      <w:r w:rsidRPr="006E50FF">
        <w:rPr>
          <w:b/>
          <w:kern w:val="2"/>
        </w:rPr>
        <w:t>r</w:t>
      </w:r>
      <w:r w:rsidRPr="006E50FF">
        <w:rPr>
          <w:b/>
          <w:spacing w:val="-5"/>
          <w:kern w:val="2"/>
        </w:rPr>
        <w:t xml:space="preserve"> </w:t>
      </w:r>
      <w:r w:rsidRPr="006E50FF">
        <w:rPr>
          <w:b/>
          <w:spacing w:val="1"/>
          <w:kern w:val="2"/>
        </w:rPr>
        <w:t>1</w:t>
      </w:r>
      <w:r w:rsidRPr="006E50FF">
        <w:rPr>
          <w:b/>
          <w:kern w:val="2"/>
        </w:rPr>
        <w:t>.</w:t>
      </w:r>
      <w:r w:rsidRPr="006E50FF">
        <w:rPr>
          <w:b/>
          <w:kern w:val="2"/>
        </w:rPr>
        <w:tab/>
        <w:t xml:space="preserve">Adoption of the Louisiana State Uniform Construction Code </w:t>
      </w:r>
      <w:r w:rsidRPr="006E50FF">
        <w:rPr>
          <w:b/>
          <w:kern w:val="2"/>
        </w:rPr>
        <w:br/>
        <w:t>(Formerly LAC 55:VI.Chapter 3)</w:t>
      </w:r>
    </w:p>
    <w:p w14:paraId="73310F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w:t>
      </w:r>
      <w:r w:rsidRPr="006E50FF">
        <w:rPr>
          <w:b/>
          <w:kern w:val="2"/>
        </w:rPr>
        <w:tab/>
        <w:t xml:space="preserve">International Plumbing Code (Formerly LAC 55:VI.301.A.5) </w:t>
      </w:r>
    </w:p>
    <w:p w14:paraId="3C3547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International Plumbing Code, 2021 Edition. The appendices of that code may be adopted as needed, but the specific appendix or appendices shall be referenced by name or letter designation at the time of adoption (per R.S. 40:1730.28, eff. 1/1/16).</w:t>
      </w:r>
    </w:p>
    <w:p w14:paraId="6308FB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highlight w:val="yellow"/>
        </w:rPr>
        <w:sectPr w:rsidR="006E50FF" w:rsidRPr="006E50FF" w:rsidSect="006E50FF">
          <w:type w:val="continuous"/>
          <w:pgSz w:w="12240" w:h="15840" w:code="1"/>
          <w:pgMar w:top="720" w:right="864" w:bottom="317" w:left="864" w:header="576" w:footer="432" w:gutter="0"/>
          <w:cols w:num="2" w:space="720"/>
        </w:sectPr>
      </w:pPr>
    </w:p>
    <w:p w14:paraId="6A92D6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E36AF0A" w14:textId="77777777" w:rsidR="006E50FF" w:rsidRPr="006E50FF" w:rsidRDefault="006E50FF" w:rsidP="006E50FF">
      <w:pPr>
        <w:widowControl w:val="0"/>
        <w:autoSpaceDE w:val="0"/>
        <w:autoSpaceDN w:val="0"/>
        <w:jc w:val="center"/>
        <w:rPr>
          <w:spacing w:val="-2"/>
          <w:sz w:val="16"/>
          <w:szCs w:val="16"/>
        </w:rPr>
        <w:sectPr w:rsidR="006E50FF" w:rsidRPr="006E50FF" w:rsidSect="006E50FF">
          <w:type w:val="continuous"/>
          <w:pgSz w:w="12240" w:h="15840"/>
          <w:pgMar w:top="720" w:right="864" w:bottom="317" w:left="864" w:header="576" w:footer="432" w:gutter="0"/>
          <w:cols w:num="2" w:space="720"/>
          <w:docGrid w:linePitch="360"/>
        </w:sectPr>
      </w:pPr>
    </w:p>
    <w:tbl>
      <w:tblPr>
        <w:tblW w:w="105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2"/>
        <w:gridCol w:w="188"/>
        <w:gridCol w:w="2227"/>
        <w:gridCol w:w="5963"/>
        <w:gridCol w:w="1080"/>
      </w:tblGrid>
      <w:tr w:rsidR="006E50FF" w:rsidRPr="006E50FF" w14:paraId="1DE4EC6B" w14:textId="77777777" w:rsidTr="0088638B">
        <w:trPr>
          <w:trHeight w:val="187"/>
        </w:trPr>
        <w:tc>
          <w:tcPr>
            <w:tcW w:w="1072" w:type="dxa"/>
          </w:tcPr>
          <w:p w14:paraId="32E5D2C6"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35D3BBFD" w14:textId="77777777" w:rsidR="006E50FF" w:rsidRPr="006E50FF" w:rsidRDefault="006E50FF" w:rsidP="006E50FF">
            <w:pPr>
              <w:widowControl w:val="0"/>
              <w:autoSpaceDE w:val="0"/>
              <w:autoSpaceDN w:val="0"/>
              <w:ind w:left="108" w:right="85"/>
              <w:rPr>
                <w:sz w:val="16"/>
                <w:szCs w:val="16"/>
              </w:rPr>
            </w:pPr>
            <w:r w:rsidRPr="006E50FF">
              <w:rPr>
                <w:sz w:val="16"/>
                <w:szCs w:val="16"/>
              </w:rPr>
              <w:t>Chapter</w:t>
            </w:r>
            <w:r w:rsidRPr="006E50FF">
              <w:rPr>
                <w:spacing w:val="-7"/>
                <w:sz w:val="16"/>
                <w:szCs w:val="16"/>
              </w:rPr>
              <w:t xml:space="preserve"> </w:t>
            </w:r>
            <w:r w:rsidRPr="006E50FF">
              <w:rPr>
                <w:spacing w:val="-10"/>
                <w:sz w:val="16"/>
                <w:szCs w:val="16"/>
              </w:rPr>
              <w:t>1</w:t>
            </w:r>
          </w:p>
        </w:tc>
        <w:tc>
          <w:tcPr>
            <w:tcW w:w="7043" w:type="dxa"/>
            <w:gridSpan w:val="2"/>
          </w:tcPr>
          <w:p w14:paraId="16DFAC62" w14:textId="77777777" w:rsidR="006E50FF" w:rsidRPr="006E50FF" w:rsidRDefault="006E50FF" w:rsidP="006E50FF">
            <w:pPr>
              <w:widowControl w:val="0"/>
              <w:autoSpaceDE w:val="0"/>
              <w:autoSpaceDN w:val="0"/>
              <w:ind w:left="91" w:right="90"/>
              <w:rPr>
                <w:sz w:val="16"/>
                <w:szCs w:val="16"/>
              </w:rPr>
            </w:pPr>
          </w:p>
        </w:tc>
      </w:tr>
      <w:tr w:rsidR="006E50FF" w:rsidRPr="006E50FF" w14:paraId="06481995" w14:textId="77777777" w:rsidTr="0088638B">
        <w:trPr>
          <w:trHeight w:val="187"/>
        </w:trPr>
        <w:tc>
          <w:tcPr>
            <w:tcW w:w="1072" w:type="dxa"/>
          </w:tcPr>
          <w:p w14:paraId="724E7CEA"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81B181D" w14:textId="77777777" w:rsidR="006E50FF" w:rsidRPr="006E50FF" w:rsidRDefault="006E50FF" w:rsidP="006E50FF">
            <w:pPr>
              <w:widowControl w:val="0"/>
              <w:autoSpaceDE w:val="0"/>
              <w:autoSpaceDN w:val="0"/>
              <w:ind w:left="108" w:right="85"/>
              <w:rPr>
                <w:sz w:val="16"/>
                <w:szCs w:val="16"/>
              </w:rPr>
            </w:pPr>
            <w:r w:rsidRPr="006E50FF">
              <w:rPr>
                <w:sz w:val="16"/>
                <w:szCs w:val="16"/>
              </w:rPr>
              <w:t>Section</w:t>
            </w:r>
            <w:r w:rsidRPr="006E50FF">
              <w:rPr>
                <w:spacing w:val="-6"/>
                <w:sz w:val="16"/>
                <w:szCs w:val="16"/>
              </w:rPr>
              <w:t xml:space="preserve"> </w:t>
            </w:r>
            <w:r w:rsidRPr="006E50FF">
              <w:rPr>
                <w:sz w:val="16"/>
                <w:szCs w:val="16"/>
              </w:rPr>
              <w:t>[A]</w:t>
            </w:r>
            <w:r w:rsidRPr="006E50FF">
              <w:rPr>
                <w:spacing w:val="-5"/>
                <w:sz w:val="16"/>
                <w:szCs w:val="16"/>
              </w:rPr>
              <w:t xml:space="preserve"> </w:t>
            </w:r>
            <w:r w:rsidRPr="006E50FF">
              <w:rPr>
                <w:sz w:val="16"/>
                <w:szCs w:val="16"/>
              </w:rPr>
              <w:t>101.2,</w:t>
            </w:r>
            <w:r w:rsidRPr="006E50FF">
              <w:rPr>
                <w:spacing w:val="-5"/>
                <w:sz w:val="16"/>
                <w:szCs w:val="16"/>
              </w:rPr>
              <w:t xml:space="preserve"> </w:t>
            </w:r>
            <w:r w:rsidRPr="006E50FF">
              <w:rPr>
                <w:spacing w:val="-2"/>
                <w:sz w:val="16"/>
                <w:szCs w:val="16"/>
              </w:rPr>
              <w:t>Scope.</w:t>
            </w:r>
          </w:p>
        </w:tc>
        <w:tc>
          <w:tcPr>
            <w:tcW w:w="7043" w:type="dxa"/>
            <w:gridSpan w:val="2"/>
          </w:tcPr>
          <w:p w14:paraId="5278FB28" w14:textId="77777777" w:rsidR="006E50FF" w:rsidRPr="006E50FF" w:rsidRDefault="006E50FF" w:rsidP="006E50FF">
            <w:pPr>
              <w:widowControl w:val="0"/>
              <w:autoSpaceDE w:val="0"/>
              <w:autoSpaceDN w:val="0"/>
              <w:ind w:left="91" w:right="90"/>
              <w:rPr>
                <w:sz w:val="16"/>
                <w:szCs w:val="16"/>
              </w:rPr>
            </w:pPr>
            <w:r w:rsidRPr="006E50FF">
              <w:rPr>
                <w:sz w:val="16"/>
                <w:szCs w:val="16"/>
              </w:rPr>
              <w:t xml:space="preserve">The provisions of this code shall apply to the erection, installation, alteration, repairs, relocation, replacement, addition to, use or maintenance of plumbing systems within this jurisdiction. The installation of fuel gas distribution piping and equipment, fuel-gas-fired water heaters and water heater venting systems shall be regulated by the </w:t>
            </w:r>
            <w:r w:rsidRPr="006E50FF">
              <w:rPr>
                <w:i/>
                <w:iCs/>
                <w:sz w:val="16"/>
                <w:szCs w:val="16"/>
              </w:rPr>
              <w:t>International Fuel Gas Code</w:t>
            </w:r>
            <w:r w:rsidRPr="006E50FF">
              <w:rPr>
                <w:sz w:val="16"/>
                <w:szCs w:val="16"/>
              </w:rPr>
              <w:t>. Provisions in the appendices shall not apply unless specifically adopted.</w:t>
            </w:r>
          </w:p>
        </w:tc>
      </w:tr>
      <w:tr w:rsidR="006E50FF" w:rsidRPr="006E50FF" w14:paraId="0A25FB00" w14:textId="77777777" w:rsidTr="0088638B">
        <w:trPr>
          <w:trHeight w:val="187"/>
        </w:trPr>
        <w:tc>
          <w:tcPr>
            <w:tcW w:w="1072" w:type="dxa"/>
          </w:tcPr>
          <w:p w14:paraId="170A19C3"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798AFCE4"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(a.)</w:t>
            </w:r>
          </w:p>
        </w:tc>
        <w:tc>
          <w:tcPr>
            <w:tcW w:w="7043" w:type="dxa"/>
            <w:gridSpan w:val="2"/>
          </w:tcPr>
          <w:p w14:paraId="6414B9BA" w14:textId="77777777" w:rsidR="006E50FF" w:rsidRPr="006E50FF" w:rsidRDefault="006E50FF" w:rsidP="006E50FF">
            <w:pPr>
              <w:widowControl w:val="0"/>
              <w:autoSpaceDE w:val="0"/>
              <w:autoSpaceDN w:val="0"/>
              <w:ind w:left="91" w:right="90"/>
              <w:rPr>
                <w:sz w:val="16"/>
                <w:szCs w:val="16"/>
              </w:rPr>
            </w:pPr>
            <w:r w:rsidRPr="006E50FF">
              <w:rPr>
                <w:sz w:val="16"/>
                <w:szCs w:val="16"/>
              </w:rPr>
              <w:t>(a.)</w:t>
            </w:r>
            <w:r w:rsidRPr="006E50FF">
              <w:rPr>
                <w:spacing w:val="38"/>
                <w:sz w:val="16"/>
                <w:szCs w:val="16"/>
              </w:rPr>
              <w:t xml:space="preserve"> </w:t>
            </w:r>
            <w:r w:rsidRPr="006E50FF">
              <w:rPr>
                <w:sz w:val="16"/>
                <w:szCs w:val="16"/>
              </w:rPr>
              <w:t>Nothing</w:t>
            </w:r>
            <w:r w:rsidRPr="006E50FF">
              <w:rPr>
                <w:spacing w:val="-3"/>
                <w:sz w:val="16"/>
                <w:szCs w:val="16"/>
              </w:rPr>
              <w:t xml:space="preserve"> </w:t>
            </w:r>
            <w:r w:rsidRPr="006E50FF">
              <w:rPr>
                <w:sz w:val="16"/>
                <w:szCs w:val="16"/>
              </w:rPr>
              <w:t>in</w:t>
            </w:r>
            <w:r w:rsidRPr="006E50FF">
              <w:rPr>
                <w:spacing w:val="-3"/>
                <w:sz w:val="16"/>
                <w:szCs w:val="16"/>
              </w:rPr>
              <w:t xml:space="preserve"> </w:t>
            </w:r>
            <w:r w:rsidRPr="006E50FF">
              <w:rPr>
                <w:sz w:val="16"/>
                <w:szCs w:val="16"/>
              </w:rPr>
              <w:t>this</w:t>
            </w:r>
            <w:r w:rsidRPr="006E50FF">
              <w:rPr>
                <w:spacing w:val="-2"/>
                <w:sz w:val="16"/>
                <w:szCs w:val="16"/>
              </w:rPr>
              <w:t xml:space="preserve"> </w:t>
            </w:r>
            <w:r w:rsidRPr="006E50FF">
              <w:rPr>
                <w:sz w:val="16"/>
                <w:szCs w:val="16"/>
              </w:rPr>
              <w:t>Part</w:t>
            </w:r>
            <w:r w:rsidRPr="006E50FF">
              <w:rPr>
                <w:spacing w:val="-1"/>
                <w:sz w:val="16"/>
                <w:szCs w:val="16"/>
              </w:rPr>
              <w:t xml:space="preserve"> </w:t>
            </w:r>
            <w:r w:rsidRPr="006E50FF">
              <w:rPr>
                <w:sz w:val="16"/>
                <w:szCs w:val="16"/>
              </w:rPr>
              <w:t>or</w:t>
            </w:r>
            <w:r w:rsidRPr="006E50FF">
              <w:rPr>
                <w:spacing w:val="-3"/>
                <w:sz w:val="16"/>
                <w:szCs w:val="16"/>
              </w:rPr>
              <w:t xml:space="preserve"> </w:t>
            </w:r>
            <w:r w:rsidRPr="006E50FF">
              <w:rPr>
                <w:sz w:val="16"/>
                <w:szCs w:val="16"/>
              </w:rPr>
              <w:t>any</w:t>
            </w:r>
            <w:r w:rsidRPr="006E50FF">
              <w:rPr>
                <w:spacing w:val="-3"/>
                <w:sz w:val="16"/>
                <w:szCs w:val="16"/>
              </w:rPr>
              <w:t xml:space="preserve"> </w:t>
            </w:r>
            <w:r w:rsidRPr="006E50FF">
              <w:rPr>
                <w:sz w:val="16"/>
                <w:szCs w:val="16"/>
              </w:rPr>
              <w:t>provision</w:t>
            </w:r>
            <w:r w:rsidRPr="006E50FF">
              <w:rPr>
                <w:spacing w:val="-1"/>
                <w:sz w:val="16"/>
                <w:szCs w:val="16"/>
              </w:rPr>
              <w:t xml:space="preserve"> </w:t>
            </w:r>
            <w:r w:rsidRPr="006E50FF">
              <w:rPr>
                <w:sz w:val="16"/>
                <w:szCs w:val="16"/>
              </w:rPr>
              <w:t>adopted</w:t>
            </w:r>
            <w:r w:rsidRPr="006E50FF">
              <w:rPr>
                <w:spacing w:val="-1"/>
                <w:sz w:val="16"/>
                <w:szCs w:val="16"/>
              </w:rPr>
              <w:t xml:space="preserve"> </w:t>
            </w:r>
            <w:r w:rsidRPr="006E50FF">
              <w:rPr>
                <w:sz w:val="16"/>
                <w:szCs w:val="16"/>
              </w:rPr>
              <w:t>pursuant</w:t>
            </w:r>
            <w:r w:rsidRPr="006E50FF">
              <w:rPr>
                <w:spacing w:val="-1"/>
                <w:sz w:val="16"/>
                <w:szCs w:val="16"/>
              </w:rPr>
              <w:t xml:space="preserve"> </w:t>
            </w:r>
            <w:r w:rsidRPr="006E50FF">
              <w:rPr>
                <w:sz w:val="16"/>
                <w:szCs w:val="16"/>
              </w:rPr>
              <w:t>to</w:t>
            </w:r>
            <w:r w:rsidRPr="006E50FF">
              <w:rPr>
                <w:spacing w:val="-3"/>
                <w:sz w:val="16"/>
                <w:szCs w:val="16"/>
              </w:rPr>
              <w:t xml:space="preserve"> </w:t>
            </w:r>
            <w:r w:rsidRPr="006E50FF">
              <w:rPr>
                <w:sz w:val="16"/>
                <w:szCs w:val="16"/>
              </w:rPr>
              <w:t>this</w:t>
            </w:r>
            <w:r w:rsidRPr="006E50FF">
              <w:rPr>
                <w:spacing w:val="-2"/>
                <w:sz w:val="16"/>
                <w:szCs w:val="16"/>
              </w:rPr>
              <w:t xml:space="preserve"> </w:t>
            </w:r>
            <w:r w:rsidRPr="006E50FF">
              <w:rPr>
                <w:sz w:val="16"/>
                <w:szCs w:val="16"/>
              </w:rPr>
              <w:t>Part</w:t>
            </w:r>
            <w:r w:rsidRPr="006E50FF">
              <w:rPr>
                <w:spacing w:val="-1"/>
                <w:sz w:val="16"/>
                <w:szCs w:val="16"/>
              </w:rPr>
              <w:t xml:space="preserve"> </w:t>
            </w:r>
            <w:r w:rsidRPr="006E50FF">
              <w:rPr>
                <w:sz w:val="16"/>
                <w:szCs w:val="16"/>
              </w:rPr>
              <w:t>shall</w:t>
            </w:r>
            <w:r w:rsidRPr="006E50FF">
              <w:rPr>
                <w:spacing w:val="-1"/>
                <w:sz w:val="16"/>
                <w:szCs w:val="16"/>
              </w:rPr>
              <w:t xml:space="preserve"> </w:t>
            </w:r>
            <w:r w:rsidRPr="006E50FF">
              <w:rPr>
                <w:sz w:val="16"/>
                <w:szCs w:val="16"/>
              </w:rPr>
              <w:t>prohibit</w:t>
            </w:r>
            <w:r w:rsidRPr="006E50FF">
              <w:rPr>
                <w:spacing w:val="-1"/>
                <w:sz w:val="16"/>
                <w:szCs w:val="16"/>
              </w:rPr>
              <w:t xml:space="preserve"> </w:t>
            </w:r>
            <w:r w:rsidRPr="006E50FF">
              <w:rPr>
                <w:sz w:val="16"/>
                <w:szCs w:val="16"/>
              </w:rPr>
              <w:t>the</w:t>
            </w:r>
            <w:r w:rsidRPr="006E50FF">
              <w:rPr>
                <w:spacing w:val="-1"/>
                <w:sz w:val="16"/>
                <w:szCs w:val="16"/>
              </w:rPr>
              <w:t xml:space="preserve"> </w:t>
            </w:r>
            <w:r w:rsidRPr="006E50FF">
              <w:rPr>
                <w:sz w:val="16"/>
                <w:szCs w:val="16"/>
              </w:rPr>
              <w:t>Department</w:t>
            </w:r>
            <w:r w:rsidRPr="006E50FF">
              <w:rPr>
                <w:spacing w:val="-1"/>
                <w:sz w:val="16"/>
                <w:szCs w:val="16"/>
              </w:rPr>
              <w:t xml:space="preserve"> </w:t>
            </w:r>
            <w:r w:rsidRPr="006E50FF">
              <w:rPr>
                <w:sz w:val="16"/>
                <w:szCs w:val="16"/>
              </w:rPr>
              <w:t>of Health from</w:t>
            </w:r>
            <w:r w:rsidRPr="006E50FF">
              <w:rPr>
                <w:spacing w:val="40"/>
                <w:sz w:val="16"/>
                <w:szCs w:val="16"/>
              </w:rPr>
              <w:t xml:space="preserve"> </w:t>
            </w:r>
            <w:r w:rsidRPr="006E50FF">
              <w:rPr>
                <w:sz w:val="16"/>
                <w:szCs w:val="16"/>
              </w:rPr>
              <w:t>the</w:t>
            </w:r>
            <w:r w:rsidRPr="006E50FF">
              <w:rPr>
                <w:spacing w:val="-5"/>
                <w:sz w:val="16"/>
                <w:szCs w:val="16"/>
              </w:rPr>
              <w:t xml:space="preserve"> </w:t>
            </w:r>
            <w:r w:rsidRPr="006E50FF">
              <w:rPr>
                <w:sz w:val="16"/>
                <w:szCs w:val="16"/>
              </w:rPr>
              <w:t>following:</w:t>
            </w:r>
          </w:p>
        </w:tc>
      </w:tr>
      <w:tr w:rsidR="006E50FF" w:rsidRPr="006E50FF" w14:paraId="5F686748" w14:textId="77777777" w:rsidTr="0088638B">
        <w:trPr>
          <w:trHeight w:val="187"/>
        </w:trPr>
        <w:tc>
          <w:tcPr>
            <w:tcW w:w="1072" w:type="dxa"/>
          </w:tcPr>
          <w:p w14:paraId="6E1AEE16"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1A2CBFF3"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(1.)</w:t>
            </w:r>
          </w:p>
        </w:tc>
        <w:tc>
          <w:tcPr>
            <w:tcW w:w="7043" w:type="dxa"/>
            <w:gridSpan w:val="2"/>
          </w:tcPr>
          <w:p w14:paraId="41CC8DCA" w14:textId="77777777" w:rsidR="006E50FF" w:rsidRPr="006E50FF" w:rsidRDefault="006E50FF" w:rsidP="006E50FF">
            <w:pPr>
              <w:widowControl w:val="0"/>
              <w:autoSpaceDE w:val="0"/>
              <w:autoSpaceDN w:val="0"/>
              <w:ind w:left="91" w:right="90"/>
              <w:rPr>
                <w:sz w:val="16"/>
                <w:szCs w:val="16"/>
              </w:rPr>
            </w:pPr>
            <w:r w:rsidRPr="006E50FF">
              <w:rPr>
                <w:sz w:val="16"/>
                <w:szCs w:val="16"/>
              </w:rPr>
              <w:t>(1.)</w:t>
            </w:r>
            <w:r w:rsidRPr="006E50FF">
              <w:rPr>
                <w:spacing w:val="28"/>
                <w:sz w:val="16"/>
                <w:szCs w:val="16"/>
              </w:rPr>
              <w:t xml:space="preserve"> </w:t>
            </w:r>
            <w:r w:rsidRPr="006E50FF">
              <w:rPr>
                <w:sz w:val="16"/>
                <w:szCs w:val="16"/>
              </w:rPr>
              <w:t>Regulating</w:t>
            </w:r>
            <w:r w:rsidRPr="006E50FF">
              <w:rPr>
                <w:spacing w:val="-6"/>
                <w:sz w:val="16"/>
                <w:szCs w:val="16"/>
              </w:rPr>
              <w:t xml:space="preserve"> </w:t>
            </w:r>
            <w:r w:rsidRPr="006E50FF">
              <w:rPr>
                <w:sz w:val="16"/>
                <w:szCs w:val="16"/>
              </w:rPr>
              <w:t>stored</w:t>
            </w:r>
            <w:r w:rsidRPr="006E50FF">
              <w:rPr>
                <w:spacing w:val="-4"/>
                <w:sz w:val="16"/>
                <w:szCs w:val="16"/>
              </w:rPr>
              <w:t xml:space="preserve"> </w:t>
            </w:r>
            <w:r w:rsidRPr="006E50FF">
              <w:rPr>
                <w:sz w:val="16"/>
                <w:szCs w:val="16"/>
              </w:rPr>
              <w:t>water</w:t>
            </w:r>
            <w:r w:rsidRPr="006E50FF">
              <w:rPr>
                <w:spacing w:val="-6"/>
                <w:sz w:val="16"/>
                <w:szCs w:val="16"/>
              </w:rPr>
              <w:t xml:space="preserve"> </w:t>
            </w:r>
            <w:r w:rsidRPr="006E50FF">
              <w:rPr>
                <w:sz w:val="16"/>
                <w:szCs w:val="16"/>
              </w:rPr>
              <w:t>temperatures</w:t>
            </w:r>
            <w:r w:rsidRPr="006E50FF">
              <w:rPr>
                <w:spacing w:val="-4"/>
                <w:sz w:val="16"/>
                <w:szCs w:val="16"/>
              </w:rPr>
              <w:t xml:space="preserve"> </w:t>
            </w:r>
            <w:r w:rsidRPr="006E50FF">
              <w:rPr>
                <w:sz w:val="16"/>
                <w:szCs w:val="16"/>
              </w:rPr>
              <w:t>through</w:t>
            </w:r>
            <w:r w:rsidRPr="006E50FF">
              <w:rPr>
                <w:spacing w:val="-5"/>
                <w:sz w:val="16"/>
                <w:szCs w:val="16"/>
              </w:rPr>
              <w:t xml:space="preserve"> </w:t>
            </w:r>
            <w:r w:rsidRPr="006E50FF">
              <w:rPr>
                <w:sz w:val="16"/>
                <w:szCs w:val="16"/>
              </w:rPr>
              <w:t>enforcement</w:t>
            </w:r>
            <w:r w:rsidRPr="006E50FF">
              <w:rPr>
                <w:spacing w:val="-4"/>
                <w:sz w:val="16"/>
                <w:szCs w:val="16"/>
              </w:rPr>
              <w:t xml:space="preserve"> </w:t>
            </w:r>
            <w:r w:rsidRPr="006E50FF">
              <w:rPr>
                <w:sz w:val="16"/>
                <w:szCs w:val="16"/>
              </w:rPr>
              <w:t>of</w:t>
            </w:r>
            <w:r w:rsidRPr="006E50FF">
              <w:rPr>
                <w:spacing w:val="-7"/>
                <w:sz w:val="16"/>
                <w:szCs w:val="16"/>
              </w:rPr>
              <w:t xml:space="preserve"> </w:t>
            </w:r>
            <w:r w:rsidRPr="006E50FF">
              <w:rPr>
                <w:sz w:val="16"/>
                <w:szCs w:val="16"/>
              </w:rPr>
              <w:t>the</w:t>
            </w:r>
            <w:r w:rsidRPr="006E50FF">
              <w:rPr>
                <w:spacing w:val="-6"/>
                <w:sz w:val="16"/>
                <w:szCs w:val="16"/>
              </w:rPr>
              <w:t xml:space="preserve"> </w:t>
            </w:r>
            <w:r w:rsidRPr="006E50FF">
              <w:rPr>
                <w:i/>
                <w:sz w:val="16"/>
                <w:szCs w:val="16"/>
              </w:rPr>
              <w:t>Sanitary</w:t>
            </w:r>
            <w:r w:rsidRPr="006E50FF">
              <w:rPr>
                <w:i/>
                <w:spacing w:val="-6"/>
                <w:sz w:val="16"/>
                <w:szCs w:val="16"/>
              </w:rPr>
              <w:t xml:space="preserve"> </w:t>
            </w:r>
            <w:r w:rsidRPr="006E50FF">
              <w:rPr>
                <w:i/>
                <w:spacing w:val="-2"/>
                <w:sz w:val="16"/>
                <w:szCs w:val="16"/>
              </w:rPr>
              <w:t>Code</w:t>
            </w:r>
            <w:r w:rsidRPr="006E50FF">
              <w:rPr>
                <w:spacing w:val="-2"/>
                <w:sz w:val="16"/>
                <w:szCs w:val="16"/>
              </w:rPr>
              <w:t>;</w:t>
            </w:r>
          </w:p>
        </w:tc>
      </w:tr>
      <w:tr w:rsidR="006E50FF" w:rsidRPr="006E50FF" w14:paraId="2FEC5D67" w14:textId="77777777" w:rsidTr="0088638B">
        <w:trPr>
          <w:trHeight w:val="187"/>
        </w:trPr>
        <w:tc>
          <w:tcPr>
            <w:tcW w:w="1072" w:type="dxa"/>
          </w:tcPr>
          <w:p w14:paraId="434F1A62"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4CB40AA7"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(2.)</w:t>
            </w:r>
          </w:p>
        </w:tc>
        <w:tc>
          <w:tcPr>
            <w:tcW w:w="7043" w:type="dxa"/>
            <w:gridSpan w:val="2"/>
          </w:tcPr>
          <w:p w14:paraId="32097578" w14:textId="77777777" w:rsidR="006E50FF" w:rsidRPr="006E50FF" w:rsidRDefault="006E50FF" w:rsidP="006E50FF">
            <w:pPr>
              <w:widowControl w:val="0"/>
              <w:autoSpaceDE w:val="0"/>
              <w:autoSpaceDN w:val="0"/>
              <w:ind w:left="91" w:right="90"/>
              <w:rPr>
                <w:sz w:val="16"/>
                <w:szCs w:val="16"/>
              </w:rPr>
            </w:pPr>
            <w:r w:rsidRPr="006E50FF">
              <w:rPr>
                <w:sz w:val="16"/>
                <w:szCs w:val="16"/>
              </w:rPr>
              <w:t>(2.)</w:t>
            </w:r>
            <w:r w:rsidRPr="006E50FF">
              <w:rPr>
                <w:spacing w:val="30"/>
                <w:sz w:val="16"/>
                <w:szCs w:val="16"/>
              </w:rPr>
              <w:t xml:space="preserve"> </w:t>
            </w:r>
            <w:r w:rsidRPr="006E50FF">
              <w:rPr>
                <w:sz w:val="16"/>
                <w:szCs w:val="16"/>
              </w:rPr>
              <w:t>Regulating</w:t>
            </w:r>
            <w:r w:rsidRPr="006E50FF">
              <w:rPr>
                <w:spacing w:val="-4"/>
                <w:sz w:val="16"/>
                <w:szCs w:val="16"/>
              </w:rPr>
              <w:t xml:space="preserve"> </w:t>
            </w:r>
            <w:r w:rsidRPr="006E50FF">
              <w:rPr>
                <w:sz w:val="16"/>
                <w:szCs w:val="16"/>
              </w:rPr>
              <w:t>medical</w:t>
            </w:r>
            <w:r w:rsidRPr="006E50FF">
              <w:rPr>
                <w:spacing w:val="-5"/>
                <w:sz w:val="16"/>
                <w:szCs w:val="16"/>
              </w:rPr>
              <w:t xml:space="preserve"> </w:t>
            </w:r>
            <w:r w:rsidRPr="006E50FF">
              <w:rPr>
                <w:sz w:val="16"/>
                <w:szCs w:val="16"/>
              </w:rPr>
              <w:t>gas</w:t>
            </w:r>
            <w:r w:rsidRPr="006E50FF">
              <w:rPr>
                <w:spacing w:val="-6"/>
                <w:sz w:val="16"/>
                <w:szCs w:val="16"/>
              </w:rPr>
              <w:t xml:space="preserve"> </w:t>
            </w:r>
            <w:r w:rsidRPr="006E50FF">
              <w:rPr>
                <w:sz w:val="16"/>
                <w:szCs w:val="16"/>
              </w:rPr>
              <w:t>and</w:t>
            </w:r>
            <w:r w:rsidRPr="006E50FF">
              <w:rPr>
                <w:spacing w:val="-4"/>
                <w:sz w:val="16"/>
                <w:szCs w:val="16"/>
              </w:rPr>
              <w:t xml:space="preserve"> </w:t>
            </w:r>
            <w:r w:rsidRPr="006E50FF">
              <w:rPr>
                <w:sz w:val="16"/>
                <w:szCs w:val="16"/>
              </w:rPr>
              <w:t>medical</w:t>
            </w:r>
            <w:r w:rsidRPr="006E50FF">
              <w:rPr>
                <w:spacing w:val="-5"/>
                <w:sz w:val="16"/>
                <w:szCs w:val="16"/>
              </w:rPr>
              <w:t xml:space="preserve"> </w:t>
            </w:r>
            <w:r w:rsidRPr="006E50FF">
              <w:rPr>
                <w:sz w:val="16"/>
                <w:szCs w:val="16"/>
              </w:rPr>
              <w:t>vacuum</w:t>
            </w:r>
            <w:r w:rsidRPr="006E50FF">
              <w:rPr>
                <w:spacing w:val="-3"/>
                <w:sz w:val="16"/>
                <w:szCs w:val="16"/>
              </w:rPr>
              <w:t xml:space="preserve"> </w:t>
            </w:r>
            <w:r w:rsidRPr="006E50FF">
              <w:rPr>
                <w:spacing w:val="-2"/>
                <w:sz w:val="16"/>
                <w:szCs w:val="16"/>
              </w:rPr>
              <w:t>systems.</w:t>
            </w:r>
          </w:p>
        </w:tc>
      </w:tr>
      <w:tr w:rsidR="006E50FF" w:rsidRPr="006E50FF" w14:paraId="2CDBC5A3" w14:textId="77777777" w:rsidTr="0088638B">
        <w:trPr>
          <w:trHeight w:val="187"/>
        </w:trPr>
        <w:tc>
          <w:tcPr>
            <w:tcW w:w="1072" w:type="dxa"/>
          </w:tcPr>
          <w:p w14:paraId="19C805F9"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2999D4DC" w14:textId="77777777" w:rsidR="006E50FF" w:rsidRPr="006E50FF" w:rsidRDefault="006E50FF" w:rsidP="006E50FF">
            <w:pPr>
              <w:widowControl w:val="0"/>
              <w:autoSpaceDE w:val="0"/>
              <w:autoSpaceDN w:val="0"/>
              <w:ind w:left="108" w:right="85"/>
              <w:rPr>
                <w:sz w:val="16"/>
                <w:szCs w:val="16"/>
              </w:rPr>
            </w:pPr>
            <w:r w:rsidRPr="006E50FF">
              <w:rPr>
                <w:spacing w:val="-2"/>
                <w:sz w:val="16"/>
                <w:szCs w:val="16"/>
              </w:rPr>
              <w:t>Exception</w:t>
            </w:r>
          </w:p>
        </w:tc>
        <w:tc>
          <w:tcPr>
            <w:tcW w:w="7043" w:type="dxa"/>
            <w:gridSpan w:val="2"/>
          </w:tcPr>
          <w:p w14:paraId="0D87C6A1" w14:textId="77777777" w:rsidR="006E50FF" w:rsidRPr="006E50FF" w:rsidRDefault="006E50FF" w:rsidP="006E50FF">
            <w:pPr>
              <w:widowControl w:val="0"/>
              <w:autoSpaceDE w:val="0"/>
              <w:autoSpaceDN w:val="0"/>
              <w:ind w:left="91" w:right="90"/>
              <w:rPr>
                <w:sz w:val="16"/>
                <w:szCs w:val="16"/>
              </w:rPr>
            </w:pPr>
          </w:p>
        </w:tc>
      </w:tr>
      <w:tr w:rsidR="006E50FF" w:rsidRPr="006E50FF" w14:paraId="51F14381" w14:textId="77777777" w:rsidTr="0088638B">
        <w:trPr>
          <w:trHeight w:val="187"/>
        </w:trPr>
        <w:tc>
          <w:tcPr>
            <w:tcW w:w="1072" w:type="dxa"/>
          </w:tcPr>
          <w:p w14:paraId="0639CC12"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72567772"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(1.)</w:t>
            </w:r>
          </w:p>
        </w:tc>
        <w:tc>
          <w:tcPr>
            <w:tcW w:w="7043" w:type="dxa"/>
            <w:gridSpan w:val="2"/>
          </w:tcPr>
          <w:p w14:paraId="7A31575B" w14:textId="77777777" w:rsidR="006E50FF" w:rsidRPr="006E50FF" w:rsidRDefault="006E50FF" w:rsidP="006E50FF">
            <w:pPr>
              <w:widowControl w:val="0"/>
              <w:autoSpaceDE w:val="0"/>
              <w:autoSpaceDN w:val="0"/>
              <w:ind w:left="91" w:right="90"/>
              <w:rPr>
                <w:i/>
                <w:sz w:val="16"/>
                <w:szCs w:val="16"/>
              </w:rPr>
            </w:pPr>
            <w:r w:rsidRPr="006E50FF">
              <w:rPr>
                <w:sz w:val="16"/>
                <w:szCs w:val="16"/>
              </w:rPr>
              <w:t>1. Detached one- and two-family dwellings and multiple single-family dwellings (townhouses) not more than three</w:t>
            </w:r>
            <w:r w:rsidRPr="006E50FF">
              <w:rPr>
                <w:spacing w:val="40"/>
                <w:sz w:val="16"/>
                <w:szCs w:val="16"/>
              </w:rPr>
              <w:t xml:space="preserve"> </w:t>
            </w:r>
            <w:r w:rsidRPr="006E50FF">
              <w:rPr>
                <w:sz w:val="16"/>
                <w:szCs w:val="16"/>
              </w:rPr>
              <w:t>stories</w:t>
            </w:r>
            <w:r w:rsidRPr="006E50FF">
              <w:rPr>
                <w:spacing w:val="29"/>
                <w:sz w:val="16"/>
                <w:szCs w:val="16"/>
              </w:rPr>
              <w:t xml:space="preserve"> </w:t>
            </w:r>
            <w:r w:rsidRPr="006E50FF">
              <w:rPr>
                <w:sz w:val="16"/>
                <w:szCs w:val="16"/>
              </w:rPr>
              <w:t>high</w:t>
            </w:r>
            <w:r w:rsidRPr="006E50FF">
              <w:rPr>
                <w:spacing w:val="31"/>
                <w:sz w:val="16"/>
                <w:szCs w:val="16"/>
              </w:rPr>
              <w:t xml:space="preserve"> </w:t>
            </w:r>
            <w:r w:rsidRPr="006E50FF">
              <w:rPr>
                <w:sz w:val="16"/>
                <w:szCs w:val="16"/>
              </w:rPr>
              <w:t>with</w:t>
            </w:r>
            <w:r w:rsidRPr="006E50FF">
              <w:rPr>
                <w:spacing w:val="31"/>
                <w:sz w:val="16"/>
                <w:szCs w:val="16"/>
              </w:rPr>
              <w:t xml:space="preserve"> </w:t>
            </w:r>
            <w:r w:rsidRPr="006E50FF">
              <w:rPr>
                <w:sz w:val="16"/>
                <w:szCs w:val="16"/>
              </w:rPr>
              <w:t>separate</w:t>
            </w:r>
            <w:r w:rsidRPr="006E50FF">
              <w:rPr>
                <w:spacing w:val="29"/>
                <w:sz w:val="16"/>
                <w:szCs w:val="16"/>
              </w:rPr>
              <w:t xml:space="preserve"> </w:t>
            </w:r>
            <w:r w:rsidRPr="006E50FF">
              <w:rPr>
                <w:sz w:val="16"/>
                <w:szCs w:val="16"/>
              </w:rPr>
              <w:t>means</w:t>
            </w:r>
            <w:r w:rsidRPr="006E50FF">
              <w:rPr>
                <w:spacing w:val="30"/>
                <w:sz w:val="16"/>
                <w:szCs w:val="16"/>
              </w:rPr>
              <w:t xml:space="preserve"> </w:t>
            </w:r>
            <w:r w:rsidRPr="006E50FF">
              <w:rPr>
                <w:sz w:val="16"/>
                <w:szCs w:val="16"/>
              </w:rPr>
              <w:t>of</w:t>
            </w:r>
            <w:r w:rsidRPr="006E50FF">
              <w:rPr>
                <w:spacing w:val="29"/>
                <w:sz w:val="16"/>
                <w:szCs w:val="16"/>
              </w:rPr>
              <w:t xml:space="preserve"> </w:t>
            </w:r>
            <w:r w:rsidRPr="006E50FF">
              <w:rPr>
                <w:sz w:val="16"/>
                <w:szCs w:val="16"/>
              </w:rPr>
              <w:t>egress</w:t>
            </w:r>
            <w:r w:rsidRPr="006E50FF">
              <w:rPr>
                <w:spacing w:val="32"/>
                <w:sz w:val="16"/>
                <w:szCs w:val="16"/>
              </w:rPr>
              <w:t xml:space="preserve"> </w:t>
            </w:r>
            <w:r w:rsidRPr="006E50FF">
              <w:rPr>
                <w:sz w:val="16"/>
                <w:szCs w:val="16"/>
              </w:rPr>
              <w:t>and</w:t>
            </w:r>
            <w:r w:rsidRPr="006E50FF">
              <w:rPr>
                <w:spacing w:val="30"/>
                <w:sz w:val="16"/>
                <w:szCs w:val="16"/>
              </w:rPr>
              <w:t xml:space="preserve"> </w:t>
            </w:r>
            <w:r w:rsidRPr="006E50FF">
              <w:rPr>
                <w:sz w:val="16"/>
                <w:szCs w:val="16"/>
              </w:rPr>
              <w:t>their</w:t>
            </w:r>
            <w:r w:rsidRPr="006E50FF">
              <w:rPr>
                <w:spacing w:val="30"/>
                <w:sz w:val="16"/>
                <w:szCs w:val="16"/>
              </w:rPr>
              <w:t xml:space="preserve"> </w:t>
            </w:r>
            <w:r w:rsidRPr="006E50FF">
              <w:rPr>
                <w:sz w:val="16"/>
                <w:szCs w:val="16"/>
              </w:rPr>
              <w:t>accessory</w:t>
            </w:r>
            <w:r w:rsidRPr="006E50FF">
              <w:rPr>
                <w:spacing w:val="29"/>
                <w:sz w:val="16"/>
                <w:szCs w:val="16"/>
              </w:rPr>
              <w:t xml:space="preserve"> </w:t>
            </w:r>
            <w:r w:rsidRPr="006E50FF">
              <w:rPr>
                <w:sz w:val="16"/>
                <w:szCs w:val="16"/>
              </w:rPr>
              <w:t>structures</w:t>
            </w:r>
            <w:r w:rsidRPr="006E50FF">
              <w:rPr>
                <w:spacing w:val="32"/>
                <w:sz w:val="16"/>
                <w:szCs w:val="16"/>
              </w:rPr>
              <w:t xml:space="preserve"> </w:t>
            </w:r>
            <w:r w:rsidRPr="006E50FF">
              <w:rPr>
                <w:sz w:val="16"/>
                <w:szCs w:val="16"/>
              </w:rPr>
              <w:t>shall</w:t>
            </w:r>
            <w:r w:rsidRPr="006E50FF">
              <w:rPr>
                <w:spacing w:val="28"/>
                <w:sz w:val="16"/>
                <w:szCs w:val="16"/>
              </w:rPr>
              <w:t xml:space="preserve"> </w:t>
            </w:r>
            <w:r w:rsidRPr="006E50FF">
              <w:rPr>
                <w:sz w:val="16"/>
                <w:szCs w:val="16"/>
              </w:rPr>
              <w:t>comply</w:t>
            </w:r>
            <w:r w:rsidRPr="006E50FF">
              <w:rPr>
                <w:spacing w:val="29"/>
                <w:sz w:val="16"/>
                <w:szCs w:val="16"/>
              </w:rPr>
              <w:t xml:space="preserve"> </w:t>
            </w:r>
            <w:r w:rsidRPr="006E50FF">
              <w:rPr>
                <w:sz w:val="16"/>
                <w:szCs w:val="16"/>
              </w:rPr>
              <w:t>with</w:t>
            </w:r>
            <w:r w:rsidRPr="006E50FF">
              <w:rPr>
                <w:spacing w:val="31"/>
                <w:sz w:val="16"/>
                <w:szCs w:val="16"/>
              </w:rPr>
              <w:t xml:space="preserve"> </w:t>
            </w:r>
            <w:r w:rsidRPr="006E50FF">
              <w:rPr>
                <w:sz w:val="16"/>
                <w:szCs w:val="16"/>
              </w:rPr>
              <w:t>the</w:t>
            </w:r>
            <w:r w:rsidRPr="006E50FF">
              <w:rPr>
                <w:spacing w:val="35"/>
                <w:sz w:val="16"/>
                <w:szCs w:val="16"/>
              </w:rPr>
              <w:t xml:space="preserve"> </w:t>
            </w:r>
            <w:r w:rsidRPr="006E50FF">
              <w:rPr>
                <w:i/>
                <w:spacing w:val="-2"/>
                <w:sz w:val="16"/>
                <w:szCs w:val="16"/>
              </w:rPr>
              <w:t>International</w:t>
            </w:r>
            <w:r w:rsidRPr="006E50FF">
              <w:rPr>
                <w:i/>
                <w:sz w:val="16"/>
                <w:szCs w:val="16"/>
              </w:rPr>
              <w:t xml:space="preserve"> Residential</w:t>
            </w:r>
            <w:r w:rsidRPr="006E50FF">
              <w:rPr>
                <w:i/>
                <w:spacing w:val="-11"/>
                <w:sz w:val="16"/>
                <w:szCs w:val="16"/>
              </w:rPr>
              <w:t xml:space="preserve"> </w:t>
            </w:r>
            <w:r w:rsidRPr="006E50FF">
              <w:rPr>
                <w:i/>
                <w:spacing w:val="-2"/>
                <w:sz w:val="16"/>
                <w:szCs w:val="16"/>
              </w:rPr>
              <w:t>Code</w:t>
            </w:r>
            <w:r w:rsidRPr="006E50FF">
              <w:rPr>
                <w:spacing w:val="-2"/>
                <w:sz w:val="16"/>
                <w:szCs w:val="16"/>
              </w:rPr>
              <w:t>.</w:t>
            </w:r>
          </w:p>
        </w:tc>
      </w:tr>
      <w:tr w:rsidR="006E50FF" w:rsidRPr="006E50FF" w14:paraId="1B7C4C6F" w14:textId="77777777" w:rsidTr="0088638B">
        <w:trPr>
          <w:trHeight w:val="187"/>
        </w:trPr>
        <w:tc>
          <w:tcPr>
            <w:tcW w:w="1072" w:type="dxa"/>
          </w:tcPr>
          <w:p w14:paraId="2FB79909"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3176BAB3" w14:textId="77777777" w:rsidR="006E50FF" w:rsidRPr="006E50FF" w:rsidRDefault="006E50FF" w:rsidP="006E50FF">
            <w:pPr>
              <w:widowControl w:val="0"/>
              <w:autoSpaceDE w:val="0"/>
              <w:autoSpaceDN w:val="0"/>
              <w:ind w:left="108" w:right="85"/>
              <w:rPr>
                <w:sz w:val="16"/>
                <w:szCs w:val="16"/>
              </w:rPr>
            </w:pPr>
            <w:r w:rsidRPr="006E50FF">
              <w:rPr>
                <w:sz w:val="16"/>
                <w:szCs w:val="16"/>
              </w:rPr>
              <w:t>Chapter</w:t>
            </w:r>
            <w:r w:rsidRPr="006E50FF">
              <w:rPr>
                <w:spacing w:val="-7"/>
                <w:sz w:val="16"/>
                <w:szCs w:val="16"/>
              </w:rPr>
              <w:t xml:space="preserve"> </w:t>
            </w:r>
            <w:r w:rsidRPr="006E50FF">
              <w:rPr>
                <w:sz w:val="16"/>
                <w:szCs w:val="16"/>
              </w:rPr>
              <w:t>2,</w:t>
            </w:r>
            <w:r w:rsidRPr="006E50FF">
              <w:rPr>
                <w:spacing w:val="-4"/>
                <w:sz w:val="16"/>
                <w:szCs w:val="16"/>
              </w:rPr>
              <w:t xml:space="preserve"> </w:t>
            </w:r>
            <w:r w:rsidRPr="006E50FF">
              <w:rPr>
                <w:spacing w:val="-2"/>
                <w:sz w:val="16"/>
                <w:szCs w:val="16"/>
              </w:rPr>
              <w:t>Definitions.</w:t>
            </w:r>
          </w:p>
        </w:tc>
        <w:tc>
          <w:tcPr>
            <w:tcW w:w="7043" w:type="dxa"/>
            <w:gridSpan w:val="2"/>
          </w:tcPr>
          <w:p w14:paraId="32E522FF" w14:textId="77777777" w:rsidR="006E50FF" w:rsidRPr="006E50FF" w:rsidRDefault="006E50FF" w:rsidP="006E50FF">
            <w:pPr>
              <w:widowControl w:val="0"/>
              <w:autoSpaceDE w:val="0"/>
              <w:autoSpaceDN w:val="0"/>
              <w:ind w:left="91" w:right="90"/>
              <w:rPr>
                <w:sz w:val="16"/>
                <w:szCs w:val="16"/>
              </w:rPr>
            </w:pPr>
          </w:p>
        </w:tc>
      </w:tr>
      <w:tr w:rsidR="006E50FF" w:rsidRPr="006E50FF" w14:paraId="3A0CF755" w14:textId="77777777" w:rsidTr="0088638B">
        <w:trPr>
          <w:trHeight w:val="187"/>
        </w:trPr>
        <w:tc>
          <w:tcPr>
            <w:tcW w:w="1072" w:type="dxa"/>
          </w:tcPr>
          <w:p w14:paraId="0A8CEFDB"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5BDA5A81" w14:textId="77777777" w:rsidR="006E50FF" w:rsidRPr="006E50FF" w:rsidRDefault="006E50FF" w:rsidP="006E50FF">
            <w:pPr>
              <w:widowControl w:val="0"/>
              <w:autoSpaceDE w:val="0"/>
              <w:autoSpaceDN w:val="0"/>
              <w:ind w:left="108" w:right="85"/>
              <w:rPr>
                <w:i/>
                <w:sz w:val="16"/>
                <w:szCs w:val="16"/>
              </w:rPr>
            </w:pPr>
            <w:r w:rsidRPr="006E50FF">
              <w:rPr>
                <w:i/>
                <w:sz w:val="16"/>
                <w:szCs w:val="16"/>
              </w:rPr>
              <w:t>Adult</w:t>
            </w:r>
            <w:r w:rsidRPr="006E50FF">
              <w:rPr>
                <w:i/>
                <w:spacing w:val="-3"/>
                <w:sz w:val="16"/>
                <w:szCs w:val="16"/>
              </w:rPr>
              <w:t xml:space="preserve"> </w:t>
            </w:r>
            <w:r w:rsidRPr="006E50FF">
              <w:rPr>
                <w:i/>
                <w:sz w:val="16"/>
                <w:szCs w:val="16"/>
              </w:rPr>
              <w:t>Day</w:t>
            </w:r>
            <w:r w:rsidRPr="006E50FF">
              <w:rPr>
                <w:i/>
                <w:spacing w:val="-5"/>
                <w:sz w:val="16"/>
                <w:szCs w:val="16"/>
              </w:rPr>
              <w:t xml:space="preserve"> </w:t>
            </w:r>
            <w:r w:rsidRPr="006E50FF">
              <w:rPr>
                <w:i/>
                <w:sz w:val="16"/>
                <w:szCs w:val="16"/>
              </w:rPr>
              <w:t>Care</w:t>
            </w:r>
            <w:r w:rsidRPr="006E50FF">
              <w:rPr>
                <w:i/>
                <w:spacing w:val="-5"/>
                <w:sz w:val="16"/>
                <w:szCs w:val="16"/>
              </w:rPr>
              <w:t xml:space="preserve"> </w:t>
            </w:r>
            <w:r w:rsidRPr="006E50FF">
              <w:rPr>
                <w:i/>
                <w:spacing w:val="-2"/>
                <w:sz w:val="16"/>
                <w:szCs w:val="16"/>
              </w:rPr>
              <w:t>Center</w:t>
            </w:r>
          </w:p>
        </w:tc>
        <w:tc>
          <w:tcPr>
            <w:tcW w:w="7043" w:type="dxa"/>
            <w:gridSpan w:val="2"/>
          </w:tcPr>
          <w:p w14:paraId="62CEFEAC" w14:textId="77777777" w:rsidR="006E50FF" w:rsidRPr="006E50FF" w:rsidRDefault="006E50FF" w:rsidP="006E50FF">
            <w:pPr>
              <w:widowControl w:val="0"/>
              <w:autoSpaceDE w:val="0"/>
              <w:autoSpaceDN w:val="0"/>
              <w:ind w:left="91" w:right="90"/>
              <w:rPr>
                <w:sz w:val="16"/>
                <w:szCs w:val="16"/>
              </w:rPr>
            </w:pPr>
            <w:r w:rsidRPr="006E50FF">
              <w:rPr>
                <w:sz w:val="16"/>
                <w:szCs w:val="16"/>
              </w:rPr>
              <w:t>Any place or facility, operated by any person for</w:t>
            </w:r>
            <w:r w:rsidRPr="006E50FF">
              <w:rPr>
                <w:spacing w:val="12"/>
                <w:sz w:val="16"/>
                <w:szCs w:val="16"/>
              </w:rPr>
              <w:t xml:space="preserve"> </w:t>
            </w:r>
            <w:r w:rsidRPr="006E50FF">
              <w:rPr>
                <w:sz w:val="16"/>
                <w:szCs w:val="16"/>
              </w:rPr>
              <w:t>the primary purpose of providing care, supervision and guidance</w:t>
            </w:r>
            <w:r w:rsidRPr="006E50FF">
              <w:rPr>
                <w:spacing w:val="40"/>
                <w:sz w:val="16"/>
                <w:szCs w:val="16"/>
              </w:rPr>
              <w:t xml:space="preserve"> </w:t>
            </w:r>
            <w:r w:rsidRPr="006E50FF">
              <w:rPr>
                <w:sz w:val="16"/>
                <w:szCs w:val="16"/>
              </w:rPr>
              <w:t>of</w:t>
            </w:r>
            <w:r w:rsidRPr="006E50FF">
              <w:rPr>
                <w:spacing w:val="-2"/>
                <w:sz w:val="16"/>
                <w:szCs w:val="16"/>
              </w:rPr>
              <w:t xml:space="preserve"> </w:t>
            </w:r>
            <w:r w:rsidRPr="006E50FF">
              <w:rPr>
                <w:sz w:val="16"/>
                <w:szCs w:val="16"/>
              </w:rPr>
              <w:t>10 or</w:t>
            </w:r>
            <w:r w:rsidRPr="006E50FF">
              <w:rPr>
                <w:spacing w:val="-2"/>
                <w:sz w:val="16"/>
                <w:szCs w:val="16"/>
              </w:rPr>
              <w:t xml:space="preserve"> </w:t>
            </w:r>
            <w:r w:rsidRPr="006E50FF">
              <w:rPr>
                <w:sz w:val="16"/>
                <w:szCs w:val="16"/>
              </w:rPr>
              <w:t>more</w:t>
            </w:r>
            <w:r w:rsidRPr="006E50FF">
              <w:rPr>
                <w:spacing w:val="-3"/>
                <w:sz w:val="16"/>
                <w:szCs w:val="16"/>
              </w:rPr>
              <w:t xml:space="preserve"> </w:t>
            </w:r>
            <w:r w:rsidRPr="006E50FF">
              <w:rPr>
                <w:sz w:val="16"/>
                <w:szCs w:val="16"/>
              </w:rPr>
              <w:t>people</w:t>
            </w:r>
            <w:r w:rsidRPr="006E50FF">
              <w:rPr>
                <w:spacing w:val="-3"/>
                <w:sz w:val="16"/>
                <w:szCs w:val="16"/>
              </w:rPr>
              <w:t xml:space="preserve"> </w:t>
            </w:r>
            <w:r w:rsidRPr="006E50FF">
              <w:rPr>
                <w:sz w:val="16"/>
                <w:szCs w:val="16"/>
              </w:rPr>
              <w:t>18 years</w:t>
            </w:r>
            <w:r w:rsidRPr="006E50FF">
              <w:rPr>
                <w:spacing w:val="-1"/>
                <w:sz w:val="16"/>
                <w:szCs w:val="16"/>
              </w:rPr>
              <w:t xml:space="preserve"> </w:t>
            </w:r>
            <w:r w:rsidRPr="006E50FF">
              <w:rPr>
                <w:sz w:val="16"/>
                <w:szCs w:val="16"/>
              </w:rPr>
              <w:t>and older, not related to</w:t>
            </w:r>
            <w:r w:rsidRPr="006E50FF">
              <w:rPr>
                <w:spacing w:val="-2"/>
                <w:sz w:val="16"/>
                <w:szCs w:val="16"/>
              </w:rPr>
              <w:t xml:space="preserve"> </w:t>
            </w:r>
            <w:r w:rsidRPr="006E50FF">
              <w:rPr>
                <w:sz w:val="16"/>
                <w:szCs w:val="16"/>
              </w:rPr>
              <w:t>the</w:t>
            </w:r>
            <w:r w:rsidRPr="006E50FF">
              <w:rPr>
                <w:spacing w:val="-3"/>
                <w:sz w:val="16"/>
                <w:szCs w:val="16"/>
              </w:rPr>
              <w:t xml:space="preserve"> </w:t>
            </w:r>
            <w:r w:rsidRPr="006E50FF">
              <w:rPr>
                <w:sz w:val="16"/>
                <w:szCs w:val="16"/>
              </w:rPr>
              <w:t>caregiver</w:t>
            </w:r>
            <w:r w:rsidRPr="006E50FF">
              <w:rPr>
                <w:spacing w:val="-2"/>
                <w:sz w:val="16"/>
                <w:szCs w:val="16"/>
              </w:rPr>
              <w:t xml:space="preserve"> </w:t>
            </w:r>
            <w:r w:rsidRPr="006E50FF">
              <w:rPr>
                <w:sz w:val="16"/>
                <w:szCs w:val="16"/>
              </w:rPr>
              <w:t>and</w:t>
            </w:r>
            <w:r w:rsidRPr="006E50FF">
              <w:rPr>
                <w:spacing w:val="-2"/>
                <w:sz w:val="16"/>
                <w:szCs w:val="16"/>
              </w:rPr>
              <w:t xml:space="preserve"> </w:t>
            </w:r>
            <w:r w:rsidRPr="006E50FF">
              <w:rPr>
                <w:sz w:val="16"/>
                <w:szCs w:val="16"/>
              </w:rPr>
              <w:t>unaccompanied</w:t>
            </w:r>
            <w:r w:rsidRPr="006E50FF">
              <w:rPr>
                <w:spacing w:val="-2"/>
                <w:sz w:val="16"/>
                <w:szCs w:val="16"/>
              </w:rPr>
              <w:t xml:space="preserve"> </w:t>
            </w:r>
            <w:r w:rsidRPr="006E50FF">
              <w:rPr>
                <w:sz w:val="16"/>
                <w:szCs w:val="16"/>
              </w:rPr>
              <w:t>by</w:t>
            </w:r>
            <w:r w:rsidRPr="006E50FF">
              <w:rPr>
                <w:spacing w:val="-4"/>
                <w:sz w:val="16"/>
                <w:szCs w:val="16"/>
              </w:rPr>
              <w:t xml:space="preserve"> </w:t>
            </w:r>
            <w:r w:rsidRPr="006E50FF">
              <w:rPr>
                <w:sz w:val="16"/>
                <w:szCs w:val="16"/>
              </w:rPr>
              <w:t>parent or</w:t>
            </w:r>
            <w:r w:rsidRPr="006E50FF">
              <w:rPr>
                <w:spacing w:val="-2"/>
                <w:sz w:val="16"/>
                <w:szCs w:val="16"/>
              </w:rPr>
              <w:t xml:space="preserve"> </w:t>
            </w:r>
            <w:r w:rsidRPr="006E50FF">
              <w:rPr>
                <w:sz w:val="16"/>
                <w:szCs w:val="16"/>
              </w:rPr>
              <w:t>guardian, on a</w:t>
            </w:r>
            <w:r w:rsidRPr="006E50FF">
              <w:rPr>
                <w:spacing w:val="40"/>
                <w:sz w:val="16"/>
                <w:szCs w:val="16"/>
              </w:rPr>
              <w:t xml:space="preserve"> </w:t>
            </w:r>
            <w:r w:rsidRPr="006E50FF">
              <w:rPr>
                <w:sz w:val="16"/>
                <w:szCs w:val="16"/>
              </w:rPr>
              <w:t>regular basis, for</w:t>
            </w:r>
            <w:r w:rsidRPr="006E50FF">
              <w:rPr>
                <w:spacing w:val="-2"/>
                <w:sz w:val="16"/>
                <w:szCs w:val="16"/>
              </w:rPr>
              <w:t xml:space="preserve"> </w:t>
            </w:r>
            <w:r w:rsidRPr="006E50FF">
              <w:rPr>
                <w:sz w:val="16"/>
                <w:szCs w:val="16"/>
              </w:rPr>
              <w:t>a total of</w:t>
            </w:r>
            <w:r w:rsidRPr="006E50FF">
              <w:rPr>
                <w:spacing w:val="-2"/>
                <w:sz w:val="16"/>
                <w:szCs w:val="16"/>
              </w:rPr>
              <w:t xml:space="preserve"> </w:t>
            </w:r>
            <w:r w:rsidRPr="006E50FF">
              <w:rPr>
                <w:sz w:val="16"/>
                <w:szCs w:val="16"/>
              </w:rPr>
              <w:t>at least 20 hours</w:t>
            </w:r>
            <w:r w:rsidRPr="006E50FF">
              <w:rPr>
                <w:spacing w:val="-1"/>
                <w:sz w:val="16"/>
                <w:szCs w:val="16"/>
              </w:rPr>
              <w:t xml:space="preserve"> </w:t>
            </w:r>
            <w:r w:rsidRPr="006E50FF">
              <w:rPr>
                <w:sz w:val="16"/>
                <w:szCs w:val="16"/>
              </w:rPr>
              <w:t>in a continuous seven day</w:t>
            </w:r>
            <w:r w:rsidRPr="006E50FF">
              <w:rPr>
                <w:spacing w:val="-2"/>
                <w:sz w:val="16"/>
                <w:szCs w:val="16"/>
              </w:rPr>
              <w:t xml:space="preserve"> </w:t>
            </w:r>
            <w:r w:rsidRPr="006E50FF">
              <w:rPr>
                <w:sz w:val="16"/>
                <w:szCs w:val="16"/>
              </w:rPr>
              <w:t>week in a place other than the person's</w:t>
            </w:r>
            <w:r w:rsidRPr="006E50FF">
              <w:rPr>
                <w:spacing w:val="-1"/>
                <w:sz w:val="16"/>
                <w:szCs w:val="16"/>
              </w:rPr>
              <w:t xml:space="preserve"> </w:t>
            </w:r>
            <w:r w:rsidRPr="006E50FF">
              <w:rPr>
                <w:sz w:val="16"/>
                <w:szCs w:val="16"/>
              </w:rPr>
              <w:t>home. This</w:t>
            </w:r>
            <w:r w:rsidRPr="006E50FF">
              <w:rPr>
                <w:spacing w:val="-7"/>
                <w:sz w:val="16"/>
                <w:szCs w:val="16"/>
              </w:rPr>
              <w:t xml:space="preserve"> </w:t>
            </w:r>
            <w:r w:rsidRPr="006E50FF">
              <w:rPr>
                <w:sz w:val="16"/>
                <w:szCs w:val="16"/>
              </w:rPr>
              <w:t>definition</w:t>
            </w:r>
            <w:r w:rsidRPr="006E50FF">
              <w:rPr>
                <w:spacing w:val="-6"/>
                <w:sz w:val="16"/>
                <w:szCs w:val="16"/>
              </w:rPr>
              <w:t xml:space="preserve"> </w:t>
            </w:r>
            <w:r w:rsidRPr="006E50FF">
              <w:rPr>
                <w:sz w:val="16"/>
                <w:szCs w:val="16"/>
              </w:rPr>
              <w:t>would</w:t>
            </w:r>
            <w:r w:rsidRPr="006E50FF">
              <w:rPr>
                <w:spacing w:val="-6"/>
                <w:sz w:val="16"/>
                <w:szCs w:val="16"/>
              </w:rPr>
              <w:t xml:space="preserve"> </w:t>
            </w:r>
            <w:r w:rsidRPr="006E50FF">
              <w:rPr>
                <w:sz w:val="16"/>
                <w:szCs w:val="16"/>
              </w:rPr>
              <w:t>not</w:t>
            </w:r>
            <w:r w:rsidRPr="006E50FF">
              <w:rPr>
                <w:spacing w:val="-7"/>
                <w:sz w:val="16"/>
                <w:szCs w:val="16"/>
              </w:rPr>
              <w:t xml:space="preserve"> </w:t>
            </w:r>
            <w:r w:rsidRPr="006E50FF">
              <w:rPr>
                <w:sz w:val="16"/>
                <w:szCs w:val="16"/>
              </w:rPr>
              <w:t>include</w:t>
            </w:r>
            <w:r w:rsidRPr="006E50FF">
              <w:rPr>
                <w:spacing w:val="-9"/>
                <w:sz w:val="16"/>
                <w:szCs w:val="16"/>
              </w:rPr>
              <w:t xml:space="preserve"> </w:t>
            </w:r>
            <w:r w:rsidRPr="006E50FF">
              <w:rPr>
                <w:sz w:val="16"/>
                <w:szCs w:val="16"/>
              </w:rPr>
              <w:t>Applied</w:t>
            </w:r>
            <w:r w:rsidRPr="006E50FF">
              <w:rPr>
                <w:spacing w:val="-7"/>
                <w:sz w:val="16"/>
                <w:szCs w:val="16"/>
              </w:rPr>
              <w:t xml:space="preserve"> </w:t>
            </w:r>
            <w:r w:rsidRPr="006E50FF">
              <w:rPr>
                <w:sz w:val="16"/>
                <w:szCs w:val="16"/>
              </w:rPr>
              <w:t>Behavior</w:t>
            </w:r>
            <w:r w:rsidRPr="006E50FF">
              <w:rPr>
                <w:spacing w:val="-8"/>
                <w:sz w:val="16"/>
                <w:szCs w:val="16"/>
              </w:rPr>
              <w:t xml:space="preserve"> </w:t>
            </w:r>
            <w:r w:rsidRPr="006E50FF">
              <w:rPr>
                <w:sz w:val="16"/>
                <w:szCs w:val="16"/>
              </w:rPr>
              <w:t>Analyst</w:t>
            </w:r>
            <w:r w:rsidRPr="006E50FF">
              <w:rPr>
                <w:spacing w:val="-5"/>
                <w:sz w:val="16"/>
                <w:szCs w:val="16"/>
              </w:rPr>
              <w:t xml:space="preserve"> </w:t>
            </w:r>
            <w:r w:rsidRPr="006E50FF">
              <w:rPr>
                <w:spacing w:val="-2"/>
                <w:sz w:val="16"/>
                <w:szCs w:val="16"/>
              </w:rPr>
              <w:t>occupancies.</w:t>
            </w:r>
          </w:p>
        </w:tc>
      </w:tr>
      <w:tr w:rsidR="006E50FF" w:rsidRPr="006E50FF" w14:paraId="5206B639" w14:textId="77777777" w:rsidTr="0088638B">
        <w:trPr>
          <w:trHeight w:val="187"/>
        </w:trPr>
        <w:tc>
          <w:tcPr>
            <w:tcW w:w="1072" w:type="dxa"/>
          </w:tcPr>
          <w:p w14:paraId="1E795278"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2F5D9039" w14:textId="77777777" w:rsidR="006E50FF" w:rsidRPr="006E50FF" w:rsidRDefault="006E50FF" w:rsidP="006E50FF">
            <w:pPr>
              <w:widowControl w:val="0"/>
              <w:autoSpaceDE w:val="0"/>
              <w:autoSpaceDN w:val="0"/>
              <w:ind w:left="108" w:right="85"/>
              <w:rPr>
                <w:i/>
                <w:sz w:val="16"/>
                <w:szCs w:val="16"/>
              </w:rPr>
            </w:pPr>
            <w:r w:rsidRPr="006E50FF">
              <w:rPr>
                <w:i/>
                <w:sz w:val="16"/>
                <w:szCs w:val="16"/>
              </w:rPr>
              <w:t>Applied</w:t>
            </w:r>
            <w:r w:rsidRPr="006E50FF">
              <w:rPr>
                <w:i/>
                <w:spacing w:val="-7"/>
                <w:sz w:val="16"/>
                <w:szCs w:val="16"/>
              </w:rPr>
              <w:t xml:space="preserve"> </w:t>
            </w:r>
            <w:r w:rsidRPr="006E50FF">
              <w:rPr>
                <w:i/>
                <w:sz w:val="16"/>
                <w:szCs w:val="16"/>
              </w:rPr>
              <w:t>Behavior</w:t>
            </w:r>
            <w:r w:rsidRPr="006E50FF">
              <w:rPr>
                <w:i/>
                <w:spacing w:val="-7"/>
                <w:sz w:val="16"/>
                <w:szCs w:val="16"/>
              </w:rPr>
              <w:t xml:space="preserve"> </w:t>
            </w:r>
            <w:r w:rsidRPr="006E50FF">
              <w:rPr>
                <w:i/>
                <w:spacing w:val="-2"/>
                <w:sz w:val="16"/>
                <w:szCs w:val="16"/>
              </w:rPr>
              <w:t>Analyst</w:t>
            </w:r>
          </w:p>
        </w:tc>
        <w:tc>
          <w:tcPr>
            <w:tcW w:w="7043" w:type="dxa"/>
            <w:gridSpan w:val="2"/>
          </w:tcPr>
          <w:p w14:paraId="3372B140" w14:textId="77777777" w:rsidR="006E50FF" w:rsidRPr="006E50FF" w:rsidRDefault="006E50FF" w:rsidP="006E50FF">
            <w:pPr>
              <w:widowControl w:val="0"/>
              <w:autoSpaceDE w:val="0"/>
              <w:autoSpaceDN w:val="0"/>
              <w:ind w:left="91" w:right="-11"/>
              <w:rPr>
                <w:sz w:val="16"/>
                <w:szCs w:val="16"/>
              </w:rPr>
            </w:pPr>
            <w:r w:rsidRPr="006E50FF">
              <w:rPr>
                <w:sz w:val="16"/>
                <w:szCs w:val="16"/>
              </w:rPr>
              <w:t>An</w:t>
            </w:r>
            <w:r w:rsidRPr="006E50FF">
              <w:rPr>
                <w:spacing w:val="6"/>
                <w:sz w:val="16"/>
                <w:szCs w:val="16"/>
              </w:rPr>
              <w:t xml:space="preserve"> </w:t>
            </w:r>
            <w:r w:rsidRPr="006E50FF">
              <w:rPr>
                <w:sz w:val="16"/>
                <w:szCs w:val="16"/>
              </w:rPr>
              <w:t>expert</w:t>
            </w:r>
            <w:r w:rsidRPr="006E50FF">
              <w:rPr>
                <w:spacing w:val="9"/>
                <w:sz w:val="16"/>
                <w:szCs w:val="16"/>
              </w:rPr>
              <w:t xml:space="preserve"> </w:t>
            </w:r>
            <w:r w:rsidRPr="006E50FF">
              <w:rPr>
                <w:sz w:val="16"/>
                <w:szCs w:val="16"/>
              </w:rPr>
              <w:t>on</w:t>
            </w:r>
            <w:r w:rsidRPr="006E50FF">
              <w:rPr>
                <w:spacing w:val="8"/>
                <w:sz w:val="16"/>
                <w:szCs w:val="16"/>
              </w:rPr>
              <w:t xml:space="preserve"> </w:t>
            </w:r>
            <w:r w:rsidRPr="006E50FF">
              <w:rPr>
                <w:sz w:val="16"/>
                <w:szCs w:val="16"/>
              </w:rPr>
              <w:t>the</w:t>
            </w:r>
            <w:r w:rsidRPr="006E50FF">
              <w:rPr>
                <w:spacing w:val="6"/>
                <w:sz w:val="16"/>
                <w:szCs w:val="16"/>
              </w:rPr>
              <w:t xml:space="preserve"> </w:t>
            </w:r>
            <w:r w:rsidRPr="006E50FF">
              <w:rPr>
                <w:sz w:val="16"/>
                <w:szCs w:val="16"/>
              </w:rPr>
              <w:t>science</w:t>
            </w:r>
            <w:r w:rsidRPr="006E50FF">
              <w:rPr>
                <w:spacing w:val="4"/>
                <w:sz w:val="16"/>
                <w:szCs w:val="16"/>
              </w:rPr>
              <w:t xml:space="preserve"> </w:t>
            </w:r>
            <w:r w:rsidRPr="006E50FF">
              <w:rPr>
                <w:sz w:val="16"/>
                <w:szCs w:val="16"/>
              </w:rPr>
              <w:t>of</w:t>
            </w:r>
            <w:r w:rsidRPr="006E50FF">
              <w:rPr>
                <w:spacing w:val="7"/>
                <w:sz w:val="16"/>
                <w:szCs w:val="16"/>
              </w:rPr>
              <w:t xml:space="preserve"> </w:t>
            </w:r>
            <w:r w:rsidRPr="006E50FF">
              <w:rPr>
                <w:sz w:val="16"/>
                <w:szCs w:val="16"/>
              </w:rPr>
              <w:t>behavior</w:t>
            </w:r>
            <w:r w:rsidRPr="006E50FF">
              <w:rPr>
                <w:spacing w:val="5"/>
                <w:sz w:val="16"/>
                <w:szCs w:val="16"/>
              </w:rPr>
              <w:t xml:space="preserve"> </w:t>
            </w:r>
            <w:r w:rsidRPr="006E50FF">
              <w:rPr>
                <w:sz w:val="16"/>
                <w:szCs w:val="16"/>
              </w:rPr>
              <w:t>and</w:t>
            </w:r>
            <w:r w:rsidRPr="006E50FF">
              <w:rPr>
                <w:spacing w:val="8"/>
                <w:sz w:val="16"/>
                <w:szCs w:val="16"/>
              </w:rPr>
              <w:t xml:space="preserve"> </w:t>
            </w:r>
            <w:r w:rsidRPr="006E50FF">
              <w:rPr>
                <w:sz w:val="16"/>
                <w:szCs w:val="16"/>
              </w:rPr>
              <w:t>how</w:t>
            </w:r>
            <w:r w:rsidRPr="006E50FF">
              <w:rPr>
                <w:spacing w:val="5"/>
                <w:sz w:val="16"/>
                <w:szCs w:val="16"/>
              </w:rPr>
              <w:t xml:space="preserve"> </w:t>
            </w:r>
            <w:r w:rsidRPr="006E50FF">
              <w:rPr>
                <w:sz w:val="16"/>
                <w:szCs w:val="16"/>
              </w:rPr>
              <w:t>it</w:t>
            </w:r>
            <w:r w:rsidRPr="006E50FF">
              <w:rPr>
                <w:spacing w:val="7"/>
                <w:sz w:val="16"/>
                <w:szCs w:val="16"/>
              </w:rPr>
              <w:t xml:space="preserve"> </w:t>
            </w:r>
            <w:r w:rsidRPr="006E50FF">
              <w:rPr>
                <w:sz w:val="16"/>
                <w:szCs w:val="16"/>
              </w:rPr>
              <w:t>is</w:t>
            </w:r>
            <w:r w:rsidRPr="006E50FF">
              <w:rPr>
                <w:spacing w:val="6"/>
                <w:sz w:val="16"/>
                <w:szCs w:val="16"/>
              </w:rPr>
              <w:t xml:space="preserve"> </w:t>
            </w:r>
            <w:r w:rsidRPr="006E50FF">
              <w:rPr>
                <w:sz w:val="16"/>
                <w:szCs w:val="16"/>
              </w:rPr>
              <w:t>applied</w:t>
            </w:r>
            <w:r w:rsidRPr="006E50FF">
              <w:rPr>
                <w:spacing w:val="7"/>
                <w:sz w:val="16"/>
                <w:szCs w:val="16"/>
              </w:rPr>
              <w:t xml:space="preserve"> </w:t>
            </w:r>
            <w:r w:rsidRPr="006E50FF">
              <w:rPr>
                <w:sz w:val="16"/>
                <w:szCs w:val="16"/>
              </w:rPr>
              <w:t>to</w:t>
            </w:r>
            <w:r w:rsidRPr="006E50FF">
              <w:rPr>
                <w:spacing w:val="6"/>
                <w:sz w:val="16"/>
                <w:szCs w:val="16"/>
              </w:rPr>
              <w:t xml:space="preserve"> </w:t>
            </w:r>
            <w:r w:rsidRPr="006E50FF">
              <w:rPr>
                <w:sz w:val="16"/>
                <w:szCs w:val="16"/>
              </w:rPr>
              <w:t>problems</w:t>
            </w:r>
            <w:r w:rsidRPr="006E50FF">
              <w:rPr>
                <w:spacing w:val="8"/>
                <w:sz w:val="16"/>
                <w:szCs w:val="16"/>
              </w:rPr>
              <w:t xml:space="preserve"> </w:t>
            </w:r>
            <w:r w:rsidRPr="006E50FF">
              <w:rPr>
                <w:sz w:val="16"/>
                <w:szCs w:val="16"/>
              </w:rPr>
              <w:t>of</w:t>
            </w:r>
            <w:r w:rsidRPr="006E50FF">
              <w:rPr>
                <w:spacing w:val="7"/>
                <w:sz w:val="16"/>
                <w:szCs w:val="16"/>
              </w:rPr>
              <w:t xml:space="preserve"> </w:t>
            </w:r>
            <w:r w:rsidRPr="006E50FF">
              <w:rPr>
                <w:sz w:val="16"/>
                <w:szCs w:val="16"/>
              </w:rPr>
              <w:t>individual</w:t>
            </w:r>
            <w:r w:rsidRPr="006E50FF">
              <w:rPr>
                <w:spacing w:val="4"/>
                <w:sz w:val="16"/>
                <w:szCs w:val="16"/>
              </w:rPr>
              <w:t xml:space="preserve"> </w:t>
            </w:r>
            <w:r w:rsidRPr="006E50FF">
              <w:rPr>
                <w:sz w:val="16"/>
                <w:szCs w:val="16"/>
              </w:rPr>
              <w:t>and</w:t>
            </w:r>
            <w:r w:rsidRPr="006E50FF">
              <w:rPr>
                <w:spacing w:val="7"/>
                <w:sz w:val="16"/>
                <w:szCs w:val="16"/>
              </w:rPr>
              <w:t xml:space="preserve"> </w:t>
            </w:r>
            <w:r w:rsidRPr="006E50FF">
              <w:rPr>
                <w:sz w:val="16"/>
                <w:szCs w:val="16"/>
              </w:rPr>
              <w:t>social</w:t>
            </w:r>
            <w:r w:rsidRPr="006E50FF">
              <w:rPr>
                <w:spacing w:val="7"/>
                <w:sz w:val="16"/>
                <w:szCs w:val="16"/>
              </w:rPr>
              <w:t xml:space="preserve"> </w:t>
            </w:r>
            <w:r w:rsidRPr="006E50FF">
              <w:rPr>
                <w:sz w:val="16"/>
                <w:szCs w:val="16"/>
              </w:rPr>
              <w:t>significance,</w:t>
            </w:r>
            <w:r w:rsidRPr="006E50FF">
              <w:rPr>
                <w:spacing w:val="7"/>
                <w:sz w:val="16"/>
                <w:szCs w:val="16"/>
              </w:rPr>
              <w:t xml:space="preserve"> </w:t>
            </w:r>
            <w:r w:rsidRPr="006E50FF">
              <w:rPr>
                <w:spacing w:val="-5"/>
                <w:sz w:val="16"/>
                <w:szCs w:val="16"/>
              </w:rPr>
              <w:t>who</w:t>
            </w:r>
            <w:r w:rsidRPr="006E50FF">
              <w:rPr>
                <w:sz w:val="16"/>
                <w:szCs w:val="16"/>
              </w:rPr>
              <w:t xml:space="preserve"> works</w:t>
            </w:r>
            <w:r w:rsidRPr="006E50FF">
              <w:rPr>
                <w:spacing w:val="20"/>
                <w:sz w:val="16"/>
                <w:szCs w:val="16"/>
              </w:rPr>
              <w:t xml:space="preserve"> </w:t>
            </w:r>
            <w:r w:rsidRPr="006E50FF">
              <w:rPr>
                <w:sz w:val="16"/>
                <w:szCs w:val="16"/>
              </w:rPr>
              <w:t>with</w:t>
            </w:r>
            <w:r w:rsidRPr="006E50FF">
              <w:rPr>
                <w:spacing w:val="16"/>
                <w:sz w:val="16"/>
                <w:szCs w:val="16"/>
              </w:rPr>
              <w:t xml:space="preserve"> </w:t>
            </w:r>
            <w:r w:rsidRPr="006E50FF">
              <w:rPr>
                <w:sz w:val="16"/>
                <w:szCs w:val="16"/>
              </w:rPr>
              <w:t>people</w:t>
            </w:r>
            <w:r w:rsidRPr="006E50FF">
              <w:rPr>
                <w:spacing w:val="18"/>
                <w:sz w:val="16"/>
                <w:szCs w:val="16"/>
              </w:rPr>
              <w:t xml:space="preserve"> </w:t>
            </w:r>
            <w:r w:rsidRPr="006E50FF">
              <w:rPr>
                <w:sz w:val="16"/>
                <w:szCs w:val="16"/>
              </w:rPr>
              <w:t>across</w:t>
            </w:r>
            <w:r w:rsidRPr="006E50FF">
              <w:rPr>
                <w:spacing w:val="19"/>
                <w:sz w:val="16"/>
                <w:szCs w:val="16"/>
              </w:rPr>
              <w:t xml:space="preserve"> </w:t>
            </w:r>
            <w:r w:rsidRPr="006E50FF">
              <w:rPr>
                <w:sz w:val="16"/>
                <w:szCs w:val="16"/>
              </w:rPr>
              <w:t>the</w:t>
            </w:r>
            <w:r w:rsidRPr="006E50FF">
              <w:rPr>
                <w:spacing w:val="18"/>
                <w:sz w:val="16"/>
                <w:szCs w:val="16"/>
              </w:rPr>
              <w:t xml:space="preserve"> </w:t>
            </w:r>
            <w:r w:rsidRPr="006E50FF">
              <w:rPr>
                <w:sz w:val="16"/>
                <w:szCs w:val="16"/>
              </w:rPr>
              <w:t>lifespan,</w:t>
            </w:r>
            <w:r w:rsidRPr="006E50FF">
              <w:rPr>
                <w:spacing w:val="18"/>
                <w:sz w:val="16"/>
                <w:szCs w:val="16"/>
              </w:rPr>
              <w:t xml:space="preserve"> </w:t>
            </w:r>
            <w:r w:rsidRPr="006E50FF">
              <w:rPr>
                <w:sz w:val="16"/>
                <w:szCs w:val="16"/>
              </w:rPr>
              <w:t>with</w:t>
            </w:r>
            <w:r w:rsidRPr="006E50FF">
              <w:rPr>
                <w:spacing w:val="19"/>
                <w:sz w:val="16"/>
                <w:szCs w:val="16"/>
              </w:rPr>
              <w:t xml:space="preserve"> </w:t>
            </w:r>
            <w:r w:rsidRPr="006E50FF">
              <w:rPr>
                <w:sz w:val="16"/>
                <w:szCs w:val="16"/>
              </w:rPr>
              <w:t>the</w:t>
            </w:r>
            <w:r w:rsidRPr="006E50FF">
              <w:rPr>
                <w:spacing w:val="18"/>
                <w:sz w:val="16"/>
                <w:szCs w:val="16"/>
              </w:rPr>
              <w:t xml:space="preserve"> </w:t>
            </w:r>
            <w:r w:rsidRPr="006E50FF">
              <w:rPr>
                <w:sz w:val="16"/>
                <w:szCs w:val="16"/>
              </w:rPr>
              <w:t>goal</w:t>
            </w:r>
            <w:r w:rsidRPr="006E50FF">
              <w:rPr>
                <w:spacing w:val="18"/>
                <w:sz w:val="16"/>
                <w:szCs w:val="16"/>
              </w:rPr>
              <w:t xml:space="preserve"> </w:t>
            </w:r>
            <w:r w:rsidRPr="006E50FF">
              <w:rPr>
                <w:sz w:val="16"/>
                <w:szCs w:val="16"/>
              </w:rPr>
              <w:t>to</w:t>
            </w:r>
            <w:r w:rsidRPr="006E50FF">
              <w:rPr>
                <w:spacing w:val="16"/>
                <w:sz w:val="16"/>
                <w:szCs w:val="16"/>
              </w:rPr>
              <w:t xml:space="preserve"> </w:t>
            </w:r>
            <w:r w:rsidRPr="006E50FF">
              <w:rPr>
                <w:sz w:val="16"/>
                <w:szCs w:val="16"/>
              </w:rPr>
              <w:t>improve</w:t>
            </w:r>
            <w:r w:rsidRPr="006E50FF">
              <w:rPr>
                <w:spacing w:val="18"/>
                <w:sz w:val="16"/>
                <w:szCs w:val="16"/>
              </w:rPr>
              <w:t xml:space="preserve"> </w:t>
            </w:r>
            <w:r w:rsidRPr="006E50FF">
              <w:rPr>
                <w:sz w:val="16"/>
                <w:szCs w:val="16"/>
              </w:rPr>
              <w:t>the</w:t>
            </w:r>
            <w:r w:rsidRPr="006E50FF">
              <w:rPr>
                <w:spacing w:val="16"/>
                <w:sz w:val="16"/>
                <w:szCs w:val="16"/>
              </w:rPr>
              <w:t xml:space="preserve"> </w:t>
            </w:r>
            <w:r w:rsidRPr="006E50FF">
              <w:rPr>
                <w:sz w:val="16"/>
                <w:szCs w:val="16"/>
              </w:rPr>
              <w:t>lives</w:t>
            </w:r>
            <w:r w:rsidRPr="006E50FF">
              <w:rPr>
                <w:spacing w:val="20"/>
                <w:sz w:val="16"/>
                <w:szCs w:val="16"/>
              </w:rPr>
              <w:t xml:space="preserve"> </w:t>
            </w:r>
            <w:r w:rsidRPr="006E50FF">
              <w:rPr>
                <w:sz w:val="16"/>
                <w:szCs w:val="16"/>
              </w:rPr>
              <w:t>of</w:t>
            </w:r>
            <w:r w:rsidRPr="006E50FF">
              <w:rPr>
                <w:spacing w:val="19"/>
                <w:sz w:val="16"/>
                <w:szCs w:val="16"/>
              </w:rPr>
              <w:t xml:space="preserve"> </w:t>
            </w:r>
            <w:r w:rsidRPr="006E50FF">
              <w:rPr>
                <w:sz w:val="16"/>
                <w:szCs w:val="16"/>
              </w:rPr>
              <w:t>individuals</w:t>
            </w:r>
            <w:r w:rsidRPr="006E50FF">
              <w:rPr>
                <w:spacing w:val="17"/>
                <w:sz w:val="16"/>
                <w:szCs w:val="16"/>
              </w:rPr>
              <w:t xml:space="preserve"> </w:t>
            </w:r>
            <w:r w:rsidRPr="006E50FF">
              <w:rPr>
                <w:sz w:val="16"/>
                <w:szCs w:val="16"/>
              </w:rPr>
              <w:t>and</w:t>
            </w:r>
            <w:r w:rsidRPr="006E50FF">
              <w:rPr>
                <w:spacing w:val="19"/>
                <w:sz w:val="16"/>
                <w:szCs w:val="16"/>
              </w:rPr>
              <w:t xml:space="preserve"> </w:t>
            </w:r>
            <w:r w:rsidRPr="006E50FF">
              <w:rPr>
                <w:sz w:val="16"/>
                <w:szCs w:val="16"/>
              </w:rPr>
              <w:t>those</w:t>
            </w:r>
            <w:r w:rsidRPr="006E50FF">
              <w:rPr>
                <w:spacing w:val="18"/>
                <w:sz w:val="16"/>
                <w:szCs w:val="16"/>
              </w:rPr>
              <w:t xml:space="preserve"> </w:t>
            </w:r>
            <w:r w:rsidRPr="006E50FF">
              <w:rPr>
                <w:sz w:val="16"/>
                <w:szCs w:val="16"/>
              </w:rPr>
              <w:t>who</w:t>
            </w:r>
            <w:r w:rsidRPr="006E50FF">
              <w:rPr>
                <w:spacing w:val="19"/>
                <w:sz w:val="16"/>
                <w:szCs w:val="16"/>
              </w:rPr>
              <w:t xml:space="preserve"> </w:t>
            </w:r>
            <w:r w:rsidRPr="006E50FF">
              <w:rPr>
                <w:sz w:val="16"/>
                <w:szCs w:val="16"/>
              </w:rPr>
              <w:t>care</w:t>
            </w:r>
            <w:r w:rsidRPr="006E50FF">
              <w:rPr>
                <w:spacing w:val="18"/>
                <w:sz w:val="16"/>
                <w:szCs w:val="16"/>
              </w:rPr>
              <w:t xml:space="preserve"> </w:t>
            </w:r>
            <w:r w:rsidRPr="006E50FF">
              <w:rPr>
                <w:sz w:val="16"/>
                <w:szCs w:val="16"/>
              </w:rPr>
              <w:t>for</w:t>
            </w:r>
            <w:r w:rsidRPr="006E50FF">
              <w:rPr>
                <w:spacing w:val="40"/>
                <w:sz w:val="16"/>
                <w:szCs w:val="16"/>
              </w:rPr>
              <w:t xml:space="preserve"> </w:t>
            </w:r>
            <w:r w:rsidRPr="006E50FF">
              <w:rPr>
                <w:spacing w:val="-2"/>
                <w:sz w:val="16"/>
                <w:szCs w:val="16"/>
              </w:rPr>
              <w:t>them.</w:t>
            </w:r>
          </w:p>
        </w:tc>
      </w:tr>
      <w:tr w:rsidR="006E50FF" w:rsidRPr="006E50FF" w14:paraId="0CB86ABC" w14:textId="77777777" w:rsidTr="0088638B">
        <w:trPr>
          <w:trHeight w:val="187"/>
        </w:trPr>
        <w:tc>
          <w:tcPr>
            <w:tcW w:w="1072" w:type="dxa"/>
          </w:tcPr>
          <w:p w14:paraId="6689779B"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42BE596A" w14:textId="77777777" w:rsidR="006E50FF" w:rsidRPr="006E50FF" w:rsidRDefault="006E50FF" w:rsidP="006E50FF">
            <w:pPr>
              <w:widowControl w:val="0"/>
              <w:autoSpaceDE w:val="0"/>
              <w:autoSpaceDN w:val="0"/>
              <w:ind w:left="108" w:right="85"/>
              <w:rPr>
                <w:i/>
                <w:sz w:val="16"/>
                <w:szCs w:val="16"/>
              </w:rPr>
            </w:pPr>
            <w:r w:rsidRPr="006E50FF">
              <w:rPr>
                <w:i/>
                <w:sz w:val="16"/>
                <w:szCs w:val="16"/>
              </w:rPr>
              <w:t>Barometric</w:t>
            </w:r>
            <w:r w:rsidRPr="006E50FF">
              <w:rPr>
                <w:i/>
                <w:spacing w:val="-8"/>
                <w:sz w:val="16"/>
                <w:szCs w:val="16"/>
              </w:rPr>
              <w:t xml:space="preserve"> </w:t>
            </w:r>
            <w:r w:rsidRPr="006E50FF">
              <w:rPr>
                <w:i/>
                <w:spacing w:val="-4"/>
                <w:sz w:val="16"/>
                <w:szCs w:val="16"/>
              </w:rPr>
              <w:t>Loop</w:t>
            </w:r>
          </w:p>
        </w:tc>
        <w:tc>
          <w:tcPr>
            <w:tcW w:w="7043" w:type="dxa"/>
            <w:gridSpan w:val="2"/>
          </w:tcPr>
          <w:p w14:paraId="1B7904C3" w14:textId="77777777" w:rsidR="006E50FF" w:rsidRPr="006E50FF" w:rsidRDefault="006E50FF" w:rsidP="006E50FF">
            <w:pPr>
              <w:widowControl w:val="0"/>
              <w:autoSpaceDE w:val="0"/>
              <w:autoSpaceDN w:val="0"/>
              <w:ind w:left="91" w:right="90"/>
              <w:rPr>
                <w:sz w:val="16"/>
                <w:szCs w:val="16"/>
              </w:rPr>
            </w:pPr>
            <w:r w:rsidRPr="006E50FF">
              <w:rPr>
                <w:sz w:val="16"/>
                <w:szCs w:val="16"/>
              </w:rPr>
              <w:t>A</w:t>
            </w:r>
            <w:r w:rsidRPr="006E50FF">
              <w:rPr>
                <w:spacing w:val="-4"/>
                <w:sz w:val="16"/>
                <w:szCs w:val="16"/>
              </w:rPr>
              <w:t xml:space="preserve"> </w:t>
            </w:r>
            <w:r w:rsidRPr="006E50FF">
              <w:rPr>
                <w:sz w:val="16"/>
                <w:szCs w:val="16"/>
              </w:rPr>
              <w:t>fabricated piping arrangement rising at least</w:t>
            </w:r>
            <w:r w:rsidRPr="006E50FF">
              <w:rPr>
                <w:spacing w:val="-1"/>
                <w:sz w:val="16"/>
                <w:szCs w:val="16"/>
              </w:rPr>
              <w:t xml:space="preserve"> </w:t>
            </w:r>
            <w:r w:rsidRPr="006E50FF">
              <w:rPr>
                <w:sz w:val="16"/>
                <w:szCs w:val="16"/>
              </w:rPr>
              <w:t>35</w:t>
            </w:r>
            <w:r w:rsidRPr="006E50FF">
              <w:rPr>
                <w:spacing w:val="1"/>
                <w:sz w:val="16"/>
                <w:szCs w:val="16"/>
              </w:rPr>
              <w:t xml:space="preserve"> </w:t>
            </w:r>
            <w:r w:rsidRPr="006E50FF">
              <w:rPr>
                <w:sz w:val="16"/>
                <w:szCs w:val="16"/>
              </w:rPr>
              <w:t>feet</w:t>
            </w:r>
            <w:r w:rsidRPr="006E50FF">
              <w:rPr>
                <w:spacing w:val="1"/>
                <w:sz w:val="16"/>
                <w:szCs w:val="16"/>
              </w:rPr>
              <w:t xml:space="preserve"> </w:t>
            </w:r>
            <w:r w:rsidRPr="006E50FF">
              <w:rPr>
                <w:sz w:val="16"/>
                <w:szCs w:val="16"/>
              </w:rPr>
              <w:t>at</w:t>
            </w:r>
            <w:r w:rsidRPr="006E50FF">
              <w:rPr>
                <w:spacing w:val="1"/>
                <w:sz w:val="16"/>
                <w:szCs w:val="16"/>
              </w:rPr>
              <w:t xml:space="preserve"> </w:t>
            </w:r>
            <w:r w:rsidRPr="006E50FF">
              <w:rPr>
                <w:sz w:val="16"/>
                <w:szCs w:val="16"/>
              </w:rPr>
              <w:t>its</w:t>
            </w:r>
            <w:r w:rsidRPr="006E50FF">
              <w:rPr>
                <w:spacing w:val="-2"/>
                <w:sz w:val="16"/>
                <w:szCs w:val="16"/>
              </w:rPr>
              <w:t xml:space="preserve"> </w:t>
            </w:r>
            <w:r w:rsidRPr="006E50FF">
              <w:rPr>
                <w:sz w:val="16"/>
                <w:szCs w:val="16"/>
              </w:rPr>
              <w:t>topmost</w:t>
            </w:r>
            <w:r w:rsidRPr="006E50FF">
              <w:rPr>
                <w:spacing w:val="-1"/>
                <w:sz w:val="16"/>
                <w:szCs w:val="16"/>
              </w:rPr>
              <w:t xml:space="preserve"> </w:t>
            </w:r>
            <w:r w:rsidRPr="006E50FF">
              <w:rPr>
                <w:sz w:val="16"/>
                <w:szCs w:val="16"/>
              </w:rPr>
              <w:t>point</w:t>
            </w:r>
            <w:r w:rsidRPr="006E50FF">
              <w:rPr>
                <w:spacing w:val="-3"/>
                <w:sz w:val="16"/>
                <w:szCs w:val="16"/>
              </w:rPr>
              <w:t xml:space="preserve"> </w:t>
            </w:r>
            <w:r w:rsidRPr="006E50FF">
              <w:rPr>
                <w:sz w:val="16"/>
                <w:szCs w:val="16"/>
              </w:rPr>
              <w:t>above the</w:t>
            </w:r>
            <w:r w:rsidRPr="006E50FF">
              <w:rPr>
                <w:spacing w:val="-1"/>
                <w:sz w:val="16"/>
                <w:szCs w:val="16"/>
              </w:rPr>
              <w:t xml:space="preserve"> </w:t>
            </w:r>
            <w:r w:rsidRPr="006E50FF">
              <w:rPr>
                <w:sz w:val="16"/>
                <w:szCs w:val="16"/>
              </w:rPr>
              <w:t>highest</w:t>
            </w:r>
            <w:r w:rsidRPr="006E50FF">
              <w:rPr>
                <w:spacing w:val="-1"/>
                <w:sz w:val="16"/>
                <w:szCs w:val="16"/>
              </w:rPr>
              <w:t xml:space="preserve"> </w:t>
            </w:r>
            <w:r w:rsidRPr="006E50FF">
              <w:rPr>
                <w:sz w:val="16"/>
                <w:szCs w:val="16"/>
              </w:rPr>
              <w:t>fixture</w:t>
            </w:r>
            <w:r w:rsidRPr="006E50FF">
              <w:rPr>
                <w:spacing w:val="-1"/>
                <w:sz w:val="16"/>
                <w:szCs w:val="16"/>
              </w:rPr>
              <w:t xml:space="preserve"> </w:t>
            </w:r>
            <w:r w:rsidRPr="006E50FF">
              <w:rPr>
                <w:sz w:val="16"/>
                <w:szCs w:val="16"/>
              </w:rPr>
              <w:t>it</w:t>
            </w:r>
            <w:r w:rsidRPr="006E50FF">
              <w:rPr>
                <w:spacing w:val="-1"/>
                <w:sz w:val="16"/>
                <w:szCs w:val="16"/>
              </w:rPr>
              <w:t xml:space="preserve"> </w:t>
            </w:r>
            <w:r w:rsidRPr="006E50FF">
              <w:rPr>
                <w:sz w:val="16"/>
                <w:szCs w:val="16"/>
              </w:rPr>
              <w:t>supplies.</w:t>
            </w:r>
            <w:r w:rsidRPr="006E50FF">
              <w:rPr>
                <w:spacing w:val="1"/>
                <w:sz w:val="16"/>
                <w:szCs w:val="16"/>
              </w:rPr>
              <w:t xml:space="preserve"> </w:t>
            </w:r>
            <w:r w:rsidRPr="006E50FF">
              <w:rPr>
                <w:sz w:val="16"/>
                <w:szCs w:val="16"/>
              </w:rPr>
              <w:t xml:space="preserve">It </w:t>
            </w:r>
            <w:r w:rsidRPr="006E50FF">
              <w:rPr>
                <w:spacing w:val="-5"/>
                <w:sz w:val="16"/>
                <w:szCs w:val="16"/>
              </w:rPr>
              <w:t>is</w:t>
            </w:r>
            <w:r w:rsidRPr="006E50FF">
              <w:rPr>
                <w:sz w:val="16"/>
                <w:szCs w:val="16"/>
              </w:rPr>
              <w:t xml:space="preserve"> utilized</w:t>
            </w:r>
            <w:r w:rsidRPr="006E50FF">
              <w:rPr>
                <w:spacing w:val="-5"/>
                <w:sz w:val="16"/>
                <w:szCs w:val="16"/>
              </w:rPr>
              <w:t xml:space="preserve"> </w:t>
            </w:r>
            <w:r w:rsidRPr="006E50FF">
              <w:rPr>
                <w:sz w:val="16"/>
                <w:szCs w:val="16"/>
              </w:rPr>
              <w:t>in</w:t>
            </w:r>
            <w:r w:rsidRPr="006E50FF">
              <w:rPr>
                <w:spacing w:val="-7"/>
                <w:sz w:val="16"/>
                <w:szCs w:val="16"/>
              </w:rPr>
              <w:t xml:space="preserve"> </w:t>
            </w:r>
            <w:r w:rsidRPr="006E50FF">
              <w:rPr>
                <w:sz w:val="16"/>
                <w:szCs w:val="16"/>
              </w:rPr>
              <w:t>water</w:t>
            </w:r>
            <w:r w:rsidRPr="006E50FF">
              <w:rPr>
                <w:spacing w:val="-6"/>
                <w:sz w:val="16"/>
                <w:szCs w:val="16"/>
              </w:rPr>
              <w:t xml:space="preserve"> </w:t>
            </w:r>
            <w:r w:rsidRPr="006E50FF">
              <w:rPr>
                <w:sz w:val="16"/>
                <w:szCs w:val="16"/>
              </w:rPr>
              <w:t>supply</w:t>
            </w:r>
            <w:r w:rsidRPr="006E50FF">
              <w:rPr>
                <w:spacing w:val="-9"/>
                <w:sz w:val="16"/>
                <w:szCs w:val="16"/>
              </w:rPr>
              <w:t xml:space="preserve"> </w:t>
            </w:r>
            <w:r w:rsidRPr="006E50FF">
              <w:rPr>
                <w:sz w:val="16"/>
                <w:szCs w:val="16"/>
              </w:rPr>
              <w:t>systems</w:t>
            </w:r>
            <w:r w:rsidRPr="006E50FF">
              <w:rPr>
                <w:spacing w:val="-5"/>
                <w:sz w:val="16"/>
                <w:szCs w:val="16"/>
              </w:rPr>
              <w:t xml:space="preserve"> </w:t>
            </w:r>
            <w:r w:rsidRPr="006E50FF">
              <w:rPr>
                <w:sz w:val="16"/>
                <w:szCs w:val="16"/>
              </w:rPr>
              <w:t>to</w:t>
            </w:r>
            <w:r w:rsidRPr="006E50FF">
              <w:rPr>
                <w:spacing w:val="-7"/>
                <w:sz w:val="16"/>
                <w:szCs w:val="16"/>
              </w:rPr>
              <w:t xml:space="preserve"> </w:t>
            </w:r>
            <w:r w:rsidRPr="006E50FF">
              <w:rPr>
                <w:sz w:val="16"/>
                <w:szCs w:val="16"/>
              </w:rPr>
              <w:t>protect</w:t>
            </w:r>
            <w:r w:rsidRPr="006E50FF">
              <w:rPr>
                <w:spacing w:val="-5"/>
                <w:sz w:val="16"/>
                <w:szCs w:val="16"/>
              </w:rPr>
              <w:t xml:space="preserve"> </w:t>
            </w:r>
            <w:r w:rsidRPr="006E50FF">
              <w:rPr>
                <w:sz w:val="16"/>
                <w:szCs w:val="16"/>
              </w:rPr>
              <w:t>against</w:t>
            </w:r>
            <w:r w:rsidRPr="006E50FF">
              <w:rPr>
                <w:spacing w:val="-6"/>
                <w:sz w:val="16"/>
                <w:szCs w:val="16"/>
              </w:rPr>
              <w:t xml:space="preserve"> </w:t>
            </w:r>
            <w:r w:rsidRPr="006E50FF">
              <w:rPr>
                <w:sz w:val="16"/>
                <w:szCs w:val="16"/>
              </w:rPr>
              <w:t>backsiphonage</w:t>
            </w:r>
            <w:r w:rsidRPr="006E50FF">
              <w:rPr>
                <w:spacing w:val="-7"/>
                <w:sz w:val="16"/>
                <w:szCs w:val="16"/>
              </w:rPr>
              <w:t xml:space="preserve"> </w:t>
            </w:r>
            <w:r w:rsidRPr="006E50FF">
              <w:rPr>
                <w:spacing w:val="-2"/>
                <w:sz w:val="16"/>
                <w:szCs w:val="16"/>
              </w:rPr>
              <w:t>backflow.</w:t>
            </w:r>
          </w:p>
        </w:tc>
      </w:tr>
      <w:tr w:rsidR="006E50FF" w:rsidRPr="006E50FF" w14:paraId="1590781F" w14:textId="77777777" w:rsidTr="0088638B">
        <w:trPr>
          <w:trHeight w:val="187"/>
        </w:trPr>
        <w:tc>
          <w:tcPr>
            <w:tcW w:w="1072" w:type="dxa"/>
          </w:tcPr>
          <w:p w14:paraId="19E36320"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35E7846" w14:textId="77777777" w:rsidR="006E50FF" w:rsidRPr="006E50FF" w:rsidRDefault="006E50FF" w:rsidP="006E50FF">
            <w:pPr>
              <w:widowControl w:val="0"/>
              <w:autoSpaceDE w:val="0"/>
              <w:autoSpaceDN w:val="0"/>
              <w:ind w:left="108" w:right="85"/>
              <w:rPr>
                <w:i/>
                <w:sz w:val="16"/>
                <w:szCs w:val="16"/>
              </w:rPr>
            </w:pPr>
            <w:r w:rsidRPr="006E50FF">
              <w:rPr>
                <w:i/>
                <w:sz w:val="16"/>
                <w:szCs w:val="16"/>
              </w:rPr>
              <w:t>Building</w:t>
            </w:r>
            <w:r w:rsidRPr="006E50FF">
              <w:rPr>
                <w:i/>
                <w:spacing w:val="-8"/>
                <w:sz w:val="16"/>
                <w:szCs w:val="16"/>
              </w:rPr>
              <w:t xml:space="preserve"> </w:t>
            </w:r>
            <w:r w:rsidRPr="006E50FF">
              <w:rPr>
                <w:i/>
                <w:spacing w:val="-2"/>
                <w:sz w:val="16"/>
                <w:szCs w:val="16"/>
              </w:rPr>
              <w:t>Drain</w:t>
            </w:r>
          </w:p>
        </w:tc>
        <w:tc>
          <w:tcPr>
            <w:tcW w:w="7043" w:type="dxa"/>
            <w:gridSpan w:val="2"/>
          </w:tcPr>
          <w:p w14:paraId="1A38F15F" w14:textId="77777777" w:rsidR="006E50FF" w:rsidRPr="006E50FF" w:rsidRDefault="006E50FF" w:rsidP="006E50FF">
            <w:pPr>
              <w:widowControl w:val="0"/>
              <w:autoSpaceDE w:val="0"/>
              <w:autoSpaceDN w:val="0"/>
              <w:ind w:left="91" w:right="90"/>
              <w:rPr>
                <w:sz w:val="16"/>
                <w:szCs w:val="16"/>
              </w:rPr>
            </w:pPr>
            <w:r w:rsidRPr="006E50FF">
              <w:rPr>
                <w:sz w:val="16"/>
                <w:szCs w:val="16"/>
              </w:rPr>
              <w:t>That part of the lowest piping of a drainage system that receives the discharge from soil, waste and other drainage</w:t>
            </w:r>
            <w:r w:rsidRPr="006E50FF">
              <w:rPr>
                <w:spacing w:val="40"/>
                <w:sz w:val="16"/>
                <w:szCs w:val="16"/>
              </w:rPr>
              <w:t xml:space="preserve"> </w:t>
            </w:r>
            <w:r w:rsidRPr="006E50FF">
              <w:rPr>
                <w:sz w:val="16"/>
                <w:szCs w:val="16"/>
              </w:rPr>
              <w:t>pipes</w:t>
            </w:r>
            <w:r w:rsidRPr="006E50FF">
              <w:rPr>
                <w:spacing w:val="18"/>
                <w:sz w:val="16"/>
                <w:szCs w:val="16"/>
              </w:rPr>
              <w:t xml:space="preserve"> </w:t>
            </w:r>
            <w:r w:rsidRPr="006E50FF">
              <w:rPr>
                <w:sz w:val="16"/>
                <w:szCs w:val="16"/>
              </w:rPr>
              <w:t>inside</w:t>
            </w:r>
            <w:r w:rsidRPr="006E50FF">
              <w:rPr>
                <w:spacing w:val="16"/>
                <w:sz w:val="16"/>
                <w:szCs w:val="16"/>
              </w:rPr>
              <w:t xml:space="preserve"> </w:t>
            </w:r>
            <w:r w:rsidRPr="006E50FF">
              <w:rPr>
                <w:sz w:val="16"/>
                <w:szCs w:val="16"/>
              </w:rPr>
              <w:t>and</w:t>
            </w:r>
            <w:r w:rsidRPr="006E50FF">
              <w:rPr>
                <w:spacing w:val="19"/>
                <w:sz w:val="16"/>
                <w:szCs w:val="16"/>
              </w:rPr>
              <w:t xml:space="preserve"> </w:t>
            </w:r>
            <w:r w:rsidRPr="006E50FF">
              <w:rPr>
                <w:sz w:val="16"/>
                <w:szCs w:val="16"/>
              </w:rPr>
              <w:t>that</w:t>
            </w:r>
            <w:r w:rsidRPr="006E50FF">
              <w:rPr>
                <w:spacing w:val="19"/>
                <w:sz w:val="16"/>
                <w:szCs w:val="16"/>
              </w:rPr>
              <w:t xml:space="preserve"> </w:t>
            </w:r>
            <w:r w:rsidRPr="006E50FF">
              <w:rPr>
                <w:sz w:val="16"/>
                <w:szCs w:val="16"/>
              </w:rPr>
              <w:t>extends</w:t>
            </w:r>
            <w:r w:rsidRPr="006E50FF">
              <w:rPr>
                <w:spacing w:val="16"/>
                <w:sz w:val="16"/>
                <w:szCs w:val="16"/>
              </w:rPr>
              <w:t xml:space="preserve"> </w:t>
            </w:r>
            <w:r w:rsidRPr="006E50FF">
              <w:rPr>
                <w:sz w:val="16"/>
                <w:szCs w:val="16"/>
              </w:rPr>
              <w:t>30</w:t>
            </w:r>
            <w:r w:rsidRPr="006E50FF">
              <w:rPr>
                <w:spacing w:val="17"/>
                <w:sz w:val="16"/>
                <w:szCs w:val="16"/>
              </w:rPr>
              <w:t xml:space="preserve"> </w:t>
            </w:r>
            <w:r w:rsidRPr="006E50FF">
              <w:rPr>
                <w:sz w:val="16"/>
                <w:szCs w:val="16"/>
              </w:rPr>
              <w:t>inches</w:t>
            </w:r>
            <w:r w:rsidRPr="006E50FF">
              <w:rPr>
                <w:spacing w:val="18"/>
                <w:sz w:val="16"/>
                <w:szCs w:val="16"/>
              </w:rPr>
              <w:t xml:space="preserve"> </w:t>
            </w:r>
            <w:r w:rsidRPr="006E50FF">
              <w:rPr>
                <w:sz w:val="16"/>
                <w:szCs w:val="16"/>
              </w:rPr>
              <w:t>(762</w:t>
            </w:r>
            <w:r w:rsidRPr="006E50FF">
              <w:rPr>
                <w:spacing w:val="19"/>
                <w:sz w:val="16"/>
                <w:szCs w:val="16"/>
              </w:rPr>
              <w:t xml:space="preserve"> </w:t>
            </w:r>
            <w:r w:rsidRPr="006E50FF">
              <w:rPr>
                <w:sz w:val="16"/>
                <w:szCs w:val="16"/>
              </w:rPr>
              <w:t>mm)</w:t>
            </w:r>
            <w:r w:rsidRPr="006E50FF">
              <w:rPr>
                <w:spacing w:val="15"/>
                <w:sz w:val="16"/>
                <w:szCs w:val="16"/>
              </w:rPr>
              <w:t xml:space="preserve"> </w:t>
            </w:r>
            <w:r w:rsidRPr="006E50FF">
              <w:rPr>
                <w:sz w:val="16"/>
                <w:szCs w:val="16"/>
              </w:rPr>
              <w:t>in</w:t>
            </w:r>
            <w:r w:rsidRPr="006E50FF">
              <w:rPr>
                <w:spacing w:val="17"/>
                <w:sz w:val="16"/>
                <w:szCs w:val="16"/>
              </w:rPr>
              <w:t xml:space="preserve"> </w:t>
            </w:r>
            <w:r w:rsidRPr="006E50FF">
              <w:rPr>
                <w:sz w:val="16"/>
                <w:szCs w:val="16"/>
              </w:rPr>
              <w:t>developed</w:t>
            </w:r>
            <w:r w:rsidRPr="006E50FF">
              <w:rPr>
                <w:spacing w:val="19"/>
                <w:sz w:val="16"/>
                <w:szCs w:val="16"/>
              </w:rPr>
              <w:t xml:space="preserve"> </w:t>
            </w:r>
            <w:r w:rsidRPr="006E50FF">
              <w:rPr>
                <w:sz w:val="16"/>
                <w:szCs w:val="16"/>
              </w:rPr>
              <w:t>length</w:t>
            </w:r>
            <w:r w:rsidRPr="006E50FF">
              <w:rPr>
                <w:spacing w:val="19"/>
                <w:sz w:val="16"/>
                <w:szCs w:val="16"/>
              </w:rPr>
              <w:t xml:space="preserve"> </w:t>
            </w:r>
            <w:r w:rsidRPr="006E50FF">
              <w:rPr>
                <w:sz w:val="16"/>
                <w:szCs w:val="16"/>
              </w:rPr>
              <w:t>of</w:t>
            </w:r>
            <w:r w:rsidRPr="006E50FF">
              <w:rPr>
                <w:spacing w:val="17"/>
                <w:sz w:val="16"/>
                <w:szCs w:val="16"/>
              </w:rPr>
              <w:t xml:space="preserve"> </w:t>
            </w:r>
            <w:r w:rsidRPr="006E50FF">
              <w:rPr>
                <w:sz w:val="16"/>
                <w:szCs w:val="16"/>
              </w:rPr>
              <w:t>pipe</w:t>
            </w:r>
            <w:r w:rsidRPr="006E50FF">
              <w:rPr>
                <w:spacing w:val="17"/>
                <w:sz w:val="16"/>
                <w:szCs w:val="16"/>
              </w:rPr>
              <w:t xml:space="preserve"> </w:t>
            </w:r>
            <w:r w:rsidRPr="006E50FF">
              <w:rPr>
                <w:sz w:val="16"/>
                <w:szCs w:val="16"/>
              </w:rPr>
              <w:t>beyond</w:t>
            </w:r>
            <w:r w:rsidRPr="006E50FF">
              <w:rPr>
                <w:spacing w:val="19"/>
                <w:sz w:val="16"/>
                <w:szCs w:val="16"/>
              </w:rPr>
              <w:t xml:space="preserve"> </w:t>
            </w:r>
            <w:r w:rsidRPr="006E50FF">
              <w:rPr>
                <w:sz w:val="16"/>
                <w:szCs w:val="16"/>
              </w:rPr>
              <w:t>the</w:t>
            </w:r>
            <w:r w:rsidRPr="006E50FF">
              <w:rPr>
                <w:spacing w:val="16"/>
                <w:sz w:val="16"/>
                <w:szCs w:val="16"/>
              </w:rPr>
              <w:t xml:space="preserve"> </w:t>
            </w:r>
            <w:r w:rsidRPr="006E50FF">
              <w:rPr>
                <w:sz w:val="16"/>
                <w:szCs w:val="16"/>
              </w:rPr>
              <w:t>exterior</w:t>
            </w:r>
            <w:r w:rsidRPr="006E50FF">
              <w:rPr>
                <w:spacing w:val="19"/>
                <w:sz w:val="16"/>
                <w:szCs w:val="16"/>
              </w:rPr>
              <w:t xml:space="preserve"> </w:t>
            </w:r>
            <w:r w:rsidRPr="006E50FF">
              <w:rPr>
                <w:sz w:val="16"/>
                <w:szCs w:val="16"/>
              </w:rPr>
              <w:t>walls</w:t>
            </w:r>
            <w:r w:rsidRPr="006E50FF">
              <w:rPr>
                <w:spacing w:val="18"/>
                <w:sz w:val="16"/>
                <w:szCs w:val="16"/>
              </w:rPr>
              <w:t xml:space="preserve"> </w:t>
            </w:r>
            <w:r w:rsidRPr="006E50FF">
              <w:rPr>
                <w:sz w:val="16"/>
                <w:szCs w:val="16"/>
              </w:rPr>
              <w:t>of</w:t>
            </w:r>
            <w:r w:rsidRPr="006E50FF">
              <w:rPr>
                <w:spacing w:val="18"/>
                <w:sz w:val="16"/>
                <w:szCs w:val="16"/>
              </w:rPr>
              <w:t xml:space="preserve"> </w:t>
            </w:r>
            <w:r w:rsidRPr="006E50FF">
              <w:rPr>
                <w:spacing w:val="-5"/>
                <w:sz w:val="16"/>
                <w:szCs w:val="16"/>
              </w:rPr>
              <w:t>the</w:t>
            </w:r>
            <w:r w:rsidRPr="006E50FF">
              <w:rPr>
                <w:sz w:val="16"/>
                <w:szCs w:val="16"/>
              </w:rPr>
              <w:t xml:space="preserve"> building</w:t>
            </w:r>
            <w:r w:rsidRPr="006E50FF">
              <w:rPr>
                <w:spacing w:val="-6"/>
                <w:sz w:val="16"/>
                <w:szCs w:val="16"/>
              </w:rPr>
              <w:t xml:space="preserve"> </w:t>
            </w:r>
            <w:r w:rsidRPr="006E50FF">
              <w:rPr>
                <w:sz w:val="16"/>
                <w:szCs w:val="16"/>
              </w:rPr>
              <w:t>and</w:t>
            </w:r>
            <w:r w:rsidRPr="006E50FF">
              <w:rPr>
                <w:spacing w:val="-5"/>
                <w:sz w:val="16"/>
                <w:szCs w:val="16"/>
              </w:rPr>
              <w:t xml:space="preserve"> </w:t>
            </w:r>
            <w:r w:rsidRPr="006E50FF">
              <w:rPr>
                <w:sz w:val="16"/>
                <w:szCs w:val="16"/>
              </w:rPr>
              <w:t>conveys</w:t>
            </w:r>
            <w:r w:rsidRPr="006E50FF">
              <w:rPr>
                <w:spacing w:val="-4"/>
                <w:sz w:val="16"/>
                <w:szCs w:val="16"/>
              </w:rPr>
              <w:t xml:space="preserve"> </w:t>
            </w:r>
            <w:r w:rsidRPr="006E50FF">
              <w:rPr>
                <w:sz w:val="16"/>
                <w:szCs w:val="16"/>
              </w:rPr>
              <w:t>the</w:t>
            </w:r>
            <w:r w:rsidRPr="006E50FF">
              <w:rPr>
                <w:spacing w:val="-6"/>
                <w:sz w:val="16"/>
                <w:szCs w:val="16"/>
              </w:rPr>
              <w:t xml:space="preserve"> </w:t>
            </w:r>
            <w:r w:rsidRPr="006E50FF">
              <w:rPr>
                <w:sz w:val="16"/>
                <w:szCs w:val="16"/>
              </w:rPr>
              <w:t>drainage</w:t>
            </w:r>
            <w:r w:rsidRPr="006E50FF">
              <w:rPr>
                <w:spacing w:val="-6"/>
                <w:sz w:val="16"/>
                <w:szCs w:val="16"/>
              </w:rPr>
              <w:t xml:space="preserve"> </w:t>
            </w:r>
            <w:r w:rsidRPr="006E50FF">
              <w:rPr>
                <w:sz w:val="16"/>
                <w:szCs w:val="16"/>
              </w:rPr>
              <w:t>to</w:t>
            </w:r>
            <w:r w:rsidRPr="006E50FF">
              <w:rPr>
                <w:spacing w:val="-7"/>
                <w:sz w:val="16"/>
                <w:szCs w:val="16"/>
              </w:rPr>
              <w:t xml:space="preserve"> </w:t>
            </w:r>
            <w:r w:rsidRPr="006E50FF">
              <w:rPr>
                <w:sz w:val="16"/>
                <w:szCs w:val="16"/>
              </w:rPr>
              <w:t>the</w:t>
            </w:r>
            <w:r w:rsidRPr="006E50FF">
              <w:rPr>
                <w:spacing w:val="-6"/>
                <w:sz w:val="16"/>
                <w:szCs w:val="16"/>
              </w:rPr>
              <w:t xml:space="preserve"> </w:t>
            </w:r>
            <w:r w:rsidRPr="006E50FF">
              <w:rPr>
                <w:sz w:val="16"/>
                <w:szCs w:val="16"/>
              </w:rPr>
              <w:t>building</w:t>
            </w:r>
            <w:r w:rsidRPr="006E50FF">
              <w:rPr>
                <w:spacing w:val="-6"/>
                <w:sz w:val="16"/>
                <w:szCs w:val="16"/>
              </w:rPr>
              <w:t xml:space="preserve"> </w:t>
            </w:r>
            <w:r w:rsidRPr="006E50FF">
              <w:rPr>
                <w:spacing w:val="-2"/>
                <w:sz w:val="16"/>
                <w:szCs w:val="16"/>
              </w:rPr>
              <w:t>sewer:</w:t>
            </w:r>
          </w:p>
        </w:tc>
      </w:tr>
      <w:tr w:rsidR="006E50FF" w:rsidRPr="006E50FF" w14:paraId="04DD754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25CEFFD"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226F95A1"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DCBF75D" w14:textId="77777777" w:rsidR="006E50FF" w:rsidRPr="006E50FF" w:rsidRDefault="006E50FF" w:rsidP="006E50FF">
            <w:pPr>
              <w:ind w:left="91" w:right="90"/>
              <w:rPr>
                <w:sz w:val="16"/>
                <w:szCs w:val="16"/>
              </w:rPr>
            </w:pPr>
            <w:r w:rsidRPr="006E50FF">
              <w:rPr>
                <w:sz w:val="16"/>
                <w:szCs w:val="16"/>
              </w:rPr>
              <w:t>Delete definition Combined—Building Drain—“See building drain, combined”.</w:t>
            </w:r>
          </w:p>
        </w:tc>
      </w:tr>
      <w:tr w:rsidR="006E50FF" w:rsidRPr="006E50FF" w14:paraId="4EBD7EC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EE87A4F"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7A902E9"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9E19929" w14:textId="77777777" w:rsidR="006E50FF" w:rsidRPr="006E50FF" w:rsidRDefault="006E50FF" w:rsidP="006E50FF">
            <w:pPr>
              <w:ind w:left="91" w:right="90"/>
              <w:rPr>
                <w:sz w:val="16"/>
                <w:szCs w:val="16"/>
              </w:rPr>
            </w:pPr>
            <w:r w:rsidRPr="006E50FF">
              <w:rPr>
                <w:sz w:val="16"/>
                <w:szCs w:val="16"/>
              </w:rPr>
              <w:t>sanitary—a building drain that conveys sewage only;</w:t>
            </w:r>
          </w:p>
        </w:tc>
      </w:tr>
      <w:tr w:rsidR="006E50FF" w:rsidRPr="006E50FF" w14:paraId="651EFFD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B4892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6FF8618"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3C8457F" w14:textId="77777777" w:rsidR="006E50FF" w:rsidRPr="006E50FF" w:rsidRDefault="006E50FF" w:rsidP="006E50FF">
            <w:pPr>
              <w:ind w:left="91" w:right="90"/>
              <w:rPr>
                <w:sz w:val="16"/>
                <w:szCs w:val="16"/>
              </w:rPr>
            </w:pPr>
            <w:r w:rsidRPr="006E50FF">
              <w:rPr>
                <w:sz w:val="16"/>
                <w:szCs w:val="16"/>
              </w:rPr>
              <w:t>storm—a building drain that conveys storm water or other drainage, but not sewage</w:t>
            </w:r>
          </w:p>
        </w:tc>
      </w:tr>
      <w:tr w:rsidR="006E50FF" w:rsidRPr="006E50FF" w14:paraId="65FE063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4A9C52"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65BEA3A" w14:textId="77777777" w:rsidR="006E50FF" w:rsidRPr="006E50FF" w:rsidRDefault="006E50FF" w:rsidP="006E50FF">
            <w:pPr>
              <w:ind w:left="108" w:right="85"/>
              <w:rPr>
                <w:i/>
                <w:sz w:val="16"/>
                <w:szCs w:val="16"/>
              </w:rPr>
            </w:pPr>
            <w:r w:rsidRPr="006E50FF">
              <w:rPr>
                <w:i/>
                <w:sz w:val="16"/>
                <w:szCs w:val="16"/>
              </w:rPr>
              <w:t>Building Sewer</w:t>
            </w:r>
          </w:p>
        </w:tc>
        <w:tc>
          <w:tcPr>
            <w:tcW w:w="7043" w:type="dxa"/>
            <w:gridSpan w:val="2"/>
            <w:tcBorders>
              <w:top w:val="single" w:sz="6" w:space="0" w:color="000000"/>
              <w:left w:val="single" w:sz="6" w:space="0" w:color="000000"/>
              <w:bottom w:val="single" w:sz="6" w:space="0" w:color="000000"/>
              <w:right w:val="single" w:sz="6" w:space="0" w:color="000000"/>
            </w:tcBorders>
          </w:tcPr>
          <w:p w14:paraId="1F359767" w14:textId="77777777" w:rsidR="006E50FF" w:rsidRPr="006E50FF" w:rsidRDefault="006E50FF" w:rsidP="006E50FF">
            <w:pPr>
              <w:ind w:left="91" w:right="90"/>
              <w:rPr>
                <w:sz w:val="16"/>
                <w:szCs w:val="16"/>
              </w:rPr>
            </w:pPr>
            <w:r w:rsidRPr="006E50FF">
              <w:rPr>
                <w:sz w:val="16"/>
                <w:szCs w:val="16"/>
              </w:rPr>
              <w:t>That part of the drainage system that extends from the end of the building drain and conveys the discharge to a community sewerage system, commercial treatment facility, or individual sewerage system or other point of disposal:</w:t>
            </w:r>
          </w:p>
        </w:tc>
      </w:tr>
      <w:tr w:rsidR="006E50FF" w:rsidRPr="006E50FF" w14:paraId="1CB51B9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D411D82"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2615E08A"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053DF95" w14:textId="77777777" w:rsidR="006E50FF" w:rsidRPr="006E50FF" w:rsidRDefault="006E50FF" w:rsidP="006E50FF">
            <w:pPr>
              <w:ind w:left="91" w:right="90"/>
              <w:rPr>
                <w:sz w:val="16"/>
                <w:szCs w:val="16"/>
              </w:rPr>
            </w:pPr>
            <w:r w:rsidRPr="006E50FF">
              <w:rPr>
                <w:sz w:val="16"/>
                <w:szCs w:val="16"/>
              </w:rPr>
              <w:t>Delete definition Combined Building Sewer—“See Building sewer, combined”.</w:t>
            </w:r>
          </w:p>
        </w:tc>
      </w:tr>
      <w:tr w:rsidR="006E50FF" w:rsidRPr="006E50FF" w14:paraId="70E54D0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AF1309F"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1E334C1"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46BA6A8" w14:textId="77777777" w:rsidR="006E50FF" w:rsidRPr="006E50FF" w:rsidRDefault="006E50FF" w:rsidP="006E50FF">
            <w:pPr>
              <w:ind w:left="91" w:right="90"/>
              <w:rPr>
                <w:sz w:val="16"/>
                <w:szCs w:val="16"/>
              </w:rPr>
            </w:pPr>
            <w:r w:rsidRPr="006E50FF">
              <w:rPr>
                <w:sz w:val="16"/>
                <w:szCs w:val="16"/>
              </w:rPr>
              <w:t>1. sanitary—a building drain that conveys sewage only;</w:t>
            </w:r>
          </w:p>
        </w:tc>
      </w:tr>
      <w:tr w:rsidR="006E50FF" w:rsidRPr="006E50FF" w14:paraId="3A6265E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7C7EE4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C0C648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2791689" w14:textId="77777777" w:rsidR="006E50FF" w:rsidRPr="006E50FF" w:rsidRDefault="006E50FF" w:rsidP="006E50FF">
            <w:pPr>
              <w:ind w:left="91" w:right="90"/>
              <w:rPr>
                <w:sz w:val="16"/>
                <w:szCs w:val="16"/>
              </w:rPr>
            </w:pPr>
            <w:r w:rsidRPr="006E50FF">
              <w:rPr>
                <w:sz w:val="16"/>
                <w:szCs w:val="16"/>
              </w:rPr>
              <w:t>2. storm—a building drain that conveys storm water or other drainage, but not sewage.</w:t>
            </w:r>
          </w:p>
        </w:tc>
      </w:tr>
      <w:tr w:rsidR="006E50FF" w:rsidRPr="006E50FF" w14:paraId="6D65ABE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EC2A7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E26892C" w14:textId="77777777" w:rsidR="006E50FF" w:rsidRPr="006E50FF" w:rsidRDefault="006E50FF" w:rsidP="006E50FF">
            <w:pPr>
              <w:ind w:left="108" w:right="85"/>
              <w:rPr>
                <w:i/>
                <w:sz w:val="16"/>
                <w:szCs w:val="16"/>
              </w:rPr>
            </w:pPr>
            <w:r w:rsidRPr="006E50FF">
              <w:rPr>
                <w:i/>
                <w:sz w:val="16"/>
                <w:szCs w:val="16"/>
              </w:rPr>
              <w:t>By-Pass</w:t>
            </w:r>
          </w:p>
        </w:tc>
        <w:tc>
          <w:tcPr>
            <w:tcW w:w="7043" w:type="dxa"/>
            <w:gridSpan w:val="2"/>
            <w:tcBorders>
              <w:top w:val="single" w:sz="6" w:space="0" w:color="000000"/>
              <w:left w:val="single" w:sz="6" w:space="0" w:color="000000"/>
              <w:bottom w:val="single" w:sz="6" w:space="0" w:color="000000"/>
              <w:right w:val="single" w:sz="6" w:space="0" w:color="000000"/>
            </w:tcBorders>
          </w:tcPr>
          <w:p w14:paraId="07694AC2" w14:textId="77777777" w:rsidR="006E50FF" w:rsidRPr="006E50FF" w:rsidRDefault="006E50FF" w:rsidP="006E50FF">
            <w:pPr>
              <w:ind w:left="91" w:right="90"/>
              <w:rPr>
                <w:sz w:val="16"/>
                <w:szCs w:val="16"/>
              </w:rPr>
            </w:pPr>
            <w:r w:rsidRPr="006E50FF">
              <w:rPr>
                <w:sz w:val="16"/>
                <w:szCs w:val="16"/>
              </w:rPr>
              <w:t>any system of piping or other arrangement whereby the water may be diverted around any part or portion of the water supply system including, but not limited to, around an installed backflow preventer</w:t>
            </w:r>
          </w:p>
        </w:tc>
      </w:tr>
      <w:tr w:rsidR="006E50FF" w:rsidRPr="006E50FF" w14:paraId="7CFB793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81667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F447BBC" w14:textId="77777777" w:rsidR="006E50FF" w:rsidRPr="006E50FF" w:rsidRDefault="006E50FF" w:rsidP="006E50FF">
            <w:pPr>
              <w:ind w:left="108" w:right="85"/>
              <w:rPr>
                <w:i/>
                <w:sz w:val="16"/>
                <w:szCs w:val="16"/>
              </w:rPr>
            </w:pPr>
            <w:r w:rsidRPr="006E50FF">
              <w:rPr>
                <w:i/>
                <w:sz w:val="16"/>
                <w:szCs w:val="16"/>
              </w:rPr>
              <w:t>Child Day Care Center</w:t>
            </w:r>
          </w:p>
        </w:tc>
        <w:tc>
          <w:tcPr>
            <w:tcW w:w="7043" w:type="dxa"/>
            <w:gridSpan w:val="2"/>
            <w:tcBorders>
              <w:top w:val="single" w:sz="6" w:space="0" w:color="000000"/>
              <w:left w:val="single" w:sz="6" w:space="0" w:color="000000"/>
              <w:bottom w:val="single" w:sz="6" w:space="0" w:color="000000"/>
              <w:right w:val="single" w:sz="6" w:space="0" w:color="000000"/>
            </w:tcBorders>
          </w:tcPr>
          <w:p w14:paraId="714B9E0E" w14:textId="77777777" w:rsidR="006E50FF" w:rsidRPr="006E50FF" w:rsidRDefault="006E50FF" w:rsidP="006E50FF">
            <w:pPr>
              <w:ind w:left="91" w:right="90"/>
              <w:rPr>
                <w:sz w:val="16"/>
                <w:szCs w:val="16"/>
              </w:rPr>
            </w:pPr>
            <w:r w:rsidRPr="006E50FF">
              <w:rPr>
                <w:sz w:val="16"/>
                <w:szCs w:val="16"/>
              </w:rPr>
              <w:t>any place or facility, operated by any person for the primary purpose of providing care, supervision and guidance of seven or more children under the age of 18, not related to the care giver and supervision and guidance of seven or more children under the age of 18, not related to the care giver and unaccompanied by parent or guardian, on a regular basis, for a total of at least 20 hours in a continuous seven-day week in a place other than the children's home. A day care center that remains open for more than 20 hours in a continuous seven-day week, and in which no individual child remains for more than 24 hours in one continuous stay shall be known as a full-time day care center. This definition would not include Applied Behavior Analyst occupancies.</w:t>
            </w:r>
          </w:p>
        </w:tc>
      </w:tr>
      <w:tr w:rsidR="006E50FF" w:rsidRPr="006E50FF" w14:paraId="3418E58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66362E"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A395EA6" w14:textId="77777777" w:rsidR="006E50FF" w:rsidRPr="006E50FF" w:rsidRDefault="006E50FF" w:rsidP="006E50FF">
            <w:pPr>
              <w:ind w:left="108" w:right="85"/>
              <w:rPr>
                <w:i/>
                <w:sz w:val="16"/>
                <w:szCs w:val="16"/>
              </w:rPr>
            </w:pPr>
            <w:r w:rsidRPr="006E50FF">
              <w:rPr>
                <w:i/>
                <w:sz w:val="16"/>
                <w:szCs w:val="16"/>
              </w:rPr>
              <w:t>Commercial Treatment Facility</w:t>
            </w:r>
          </w:p>
        </w:tc>
        <w:tc>
          <w:tcPr>
            <w:tcW w:w="7043" w:type="dxa"/>
            <w:gridSpan w:val="2"/>
            <w:tcBorders>
              <w:top w:val="single" w:sz="6" w:space="0" w:color="000000"/>
              <w:left w:val="single" w:sz="6" w:space="0" w:color="000000"/>
              <w:bottom w:val="single" w:sz="6" w:space="0" w:color="000000"/>
              <w:right w:val="single" w:sz="6" w:space="0" w:color="000000"/>
            </w:tcBorders>
          </w:tcPr>
          <w:p w14:paraId="75F0DB45" w14:textId="77777777" w:rsidR="006E50FF" w:rsidRPr="006E50FF" w:rsidRDefault="006E50FF" w:rsidP="006E50FF">
            <w:pPr>
              <w:ind w:left="91" w:right="90"/>
              <w:rPr>
                <w:sz w:val="16"/>
                <w:szCs w:val="16"/>
              </w:rPr>
            </w:pPr>
            <w:r w:rsidRPr="006E50FF">
              <w:rPr>
                <w:sz w:val="16"/>
                <w:szCs w:val="16"/>
              </w:rPr>
              <w:t>any treatment facility which is required by the state health officer whenever the use of an individual sewerage system is unfeasible or not authorized.</w:t>
            </w:r>
          </w:p>
        </w:tc>
      </w:tr>
      <w:tr w:rsidR="006E50FF" w:rsidRPr="006E50FF" w14:paraId="030FC03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A29F81B"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7200703" w14:textId="77777777" w:rsidR="006E50FF" w:rsidRPr="006E50FF" w:rsidRDefault="006E50FF" w:rsidP="006E50FF">
            <w:pPr>
              <w:ind w:left="108" w:right="85"/>
              <w:rPr>
                <w:i/>
                <w:sz w:val="16"/>
                <w:szCs w:val="16"/>
              </w:rPr>
            </w:pPr>
            <w:r w:rsidRPr="006E50FF">
              <w:rPr>
                <w:i/>
                <w:sz w:val="16"/>
                <w:szCs w:val="16"/>
              </w:rPr>
              <w:t>Community Sewerage</w:t>
            </w:r>
          </w:p>
          <w:p w14:paraId="22B9EAD0" w14:textId="77777777" w:rsidR="006E50FF" w:rsidRPr="006E50FF" w:rsidRDefault="006E50FF" w:rsidP="006E50FF">
            <w:pPr>
              <w:ind w:left="108" w:right="85"/>
              <w:rPr>
                <w:i/>
                <w:sz w:val="16"/>
                <w:szCs w:val="16"/>
              </w:rPr>
            </w:pPr>
            <w:r w:rsidRPr="006E50FF">
              <w:rPr>
                <w:i/>
                <w:sz w:val="16"/>
                <w:szCs w:val="16"/>
              </w:rPr>
              <w:t>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5171F69E" w14:textId="77777777" w:rsidR="006E50FF" w:rsidRPr="006E50FF" w:rsidRDefault="006E50FF" w:rsidP="006E50FF">
            <w:pPr>
              <w:ind w:left="91" w:right="90"/>
              <w:rPr>
                <w:sz w:val="16"/>
                <w:szCs w:val="16"/>
              </w:rPr>
            </w:pPr>
            <w:r w:rsidRPr="006E50FF">
              <w:rPr>
                <w:sz w:val="16"/>
                <w:szCs w:val="16"/>
              </w:rPr>
              <w:t>any sewerage system which serves multiple connections and consists of a collection and/or pumping</w:t>
            </w:r>
          </w:p>
          <w:p w14:paraId="1C0EE910" w14:textId="77777777" w:rsidR="006E50FF" w:rsidRPr="006E50FF" w:rsidRDefault="006E50FF" w:rsidP="006E50FF">
            <w:pPr>
              <w:ind w:left="91" w:right="90"/>
              <w:rPr>
                <w:sz w:val="16"/>
                <w:szCs w:val="16"/>
              </w:rPr>
            </w:pPr>
            <w:r w:rsidRPr="006E50FF">
              <w:rPr>
                <w:sz w:val="16"/>
                <w:szCs w:val="16"/>
              </w:rPr>
              <w:t>system/transport system and treatment facility.</w:t>
            </w:r>
          </w:p>
        </w:tc>
      </w:tr>
      <w:tr w:rsidR="006E50FF" w:rsidRPr="006E50FF" w14:paraId="03C6C71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E4EAB32" w14:textId="77777777" w:rsidR="006E50FF" w:rsidRPr="006E50FF" w:rsidRDefault="006E50FF" w:rsidP="006E50FF">
            <w:pPr>
              <w:jc w:val="center"/>
              <w:rPr>
                <w:spacing w:val="-2"/>
                <w:sz w:val="16"/>
                <w:szCs w:val="16"/>
              </w:rPr>
            </w:pPr>
            <w:r w:rsidRPr="006E50FF">
              <w:rPr>
                <w:spacing w:val="-2"/>
                <w:sz w:val="16"/>
                <w:szCs w:val="16"/>
              </w:rPr>
              <w:lastRenderedPageBreak/>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B0A5822" w14:textId="77777777" w:rsidR="006E50FF" w:rsidRPr="006E50FF" w:rsidRDefault="006E50FF" w:rsidP="006E50FF">
            <w:pPr>
              <w:ind w:left="108" w:right="85"/>
              <w:rPr>
                <w:i/>
                <w:sz w:val="16"/>
                <w:szCs w:val="16"/>
              </w:rPr>
            </w:pPr>
            <w:r w:rsidRPr="006E50FF">
              <w:rPr>
                <w:i/>
                <w:sz w:val="16"/>
                <w:szCs w:val="16"/>
              </w:rPr>
              <w:t>Containment</w:t>
            </w:r>
          </w:p>
        </w:tc>
        <w:tc>
          <w:tcPr>
            <w:tcW w:w="7043" w:type="dxa"/>
            <w:gridSpan w:val="2"/>
            <w:tcBorders>
              <w:top w:val="single" w:sz="6" w:space="0" w:color="000000"/>
              <w:left w:val="single" w:sz="6" w:space="0" w:color="000000"/>
              <w:bottom w:val="single" w:sz="6" w:space="0" w:color="000000"/>
              <w:right w:val="single" w:sz="6" w:space="0" w:color="000000"/>
            </w:tcBorders>
          </w:tcPr>
          <w:p w14:paraId="56E3FF52" w14:textId="77777777" w:rsidR="006E50FF" w:rsidRPr="006E50FF" w:rsidRDefault="006E50FF" w:rsidP="006E50FF">
            <w:pPr>
              <w:ind w:left="91" w:right="90"/>
              <w:rPr>
                <w:sz w:val="16"/>
                <w:szCs w:val="16"/>
              </w:rPr>
            </w:pPr>
            <w:r w:rsidRPr="006E50FF">
              <w:rPr>
                <w:sz w:val="16"/>
                <w:szCs w:val="16"/>
              </w:rPr>
              <w:t>a method of backflow prevention which requires a backflow prevention device or method on the water service pipe to isolate the customer from the water main.</w:t>
            </w:r>
          </w:p>
        </w:tc>
      </w:tr>
      <w:tr w:rsidR="006E50FF" w:rsidRPr="006E50FF" w14:paraId="595CEF4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BD01F6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A50D9A0" w14:textId="77777777" w:rsidR="006E50FF" w:rsidRPr="006E50FF" w:rsidRDefault="006E50FF" w:rsidP="006E50FF">
            <w:pPr>
              <w:ind w:left="108" w:right="85"/>
              <w:rPr>
                <w:i/>
                <w:sz w:val="16"/>
                <w:szCs w:val="16"/>
              </w:rPr>
            </w:pPr>
            <w:r w:rsidRPr="006E50FF">
              <w:rPr>
                <w:i/>
                <w:sz w:val="16"/>
                <w:szCs w:val="16"/>
              </w:rPr>
              <w:t>Continuous Water</w:t>
            </w:r>
          </w:p>
          <w:p w14:paraId="0AB9C60A" w14:textId="77777777" w:rsidR="006E50FF" w:rsidRPr="006E50FF" w:rsidRDefault="006E50FF" w:rsidP="006E50FF">
            <w:pPr>
              <w:ind w:left="108" w:right="85"/>
              <w:rPr>
                <w:i/>
                <w:sz w:val="16"/>
                <w:szCs w:val="16"/>
              </w:rPr>
            </w:pPr>
            <w:r w:rsidRPr="006E50FF">
              <w:rPr>
                <w:i/>
                <w:sz w:val="16"/>
                <w:szCs w:val="16"/>
              </w:rPr>
              <w:t>Pressure</w:t>
            </w:r>
          </w:p>
        </w:tc>
        <w:tc>
          <w:tcPr>
            <w:tcW w:w="7043" w:type="dxa"/>
            <w:gridSpan w:val="2"/>
            <w:tcBorders>
              <w:top w:val="single" w:sz="6" w:space="0" w:color="000000"/>
              <w:left w:val="single" w:sz="6" w:space="0" w:color="000000"/>
              <w:bottom w:val="single" w:sz="6" w:space="0" w:color="000000"/>
              <w:right w:val="single" w:sz="6" w:space="0" w:color="000000"/>
            </w:tcBorders>
          </w:tcPr>
          <w:p w14:paraId="13EF2B4D" w14:textId="77777777" w:rsidR="006E50FF" w:rsidRPr="006E50FF" w:rsidRDefault="006E50FF" w:rsidP="006E50FF">
            <w:pPr>
              <w:ind w:left="91" w:right="90"/>
              <w:rPr>
                <w:sz w:val="16"/>
                <w:szCs w:val="16"/>
              </w:rPr>
            </w:pPr>
            <w:r w:rsidRPr="006E50FF">
              <w:rPr>
                <w:sz w:val="16"/>
                <w:szCs w:val="16"/>
              </w:rPr>
              <w:t>a condition when a backflow preventer is continuously subjected to the upstream water supply pressure for a period of 12 hours or more.</w:t>
            </w:r>
          </w:p>
        </w:tc>
      </w:tr>
      <w:tr w:rsidR="006E50FF" w:rsidRPr="006E50FF" w14:paraId="0169B73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D5378F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6555CB9" w14:textId="77777777" w:rsidR="006E50FF" w:rsidRPr="006E50FF" w:rsidRDefault="006E50FF" w:rsidP="006E50FF">
            <w:pPr>
              <w:ind w:left="108" w:right="85"/>
              <w:rPr>
                <w:i/>
                <w:sz w:val="16"/>
                <w:szCs w:val="16"/>
              </w:rPr>
            </w:pPr>
            <w:r w:rsidRPr="006E50FF">
              <w:rPr>
                <w:i/>
                <w:sz w:val="16"/>
                <w:szCs w:val="16"/>
              </w:rPr>
              <w:t>Day Care Centers</w:t>
            </w:r>
          </w:p>
        </w:tc>
        <w:tc>
          <w:tcPr>
            <w:tcW w:w="7043" w:type="dxa"/>
            <w:gridSpan w:val="2"/>
            <w:tcBorders>
              <w:top w:val="single" w:sz="6" w:space="0" w:color="000000"/>
              <w:left w:val="single" w:sz="6" w:space="0" w:color="000000"/>
              <w:bottom w:val="single" w:sz="6" w:space="0" w:color="000000"/>
              <w:right w:val="single" w:sz="6" w:space="0" w:color="000000"/>
            </w:tcBorders>
          </w:tcPr>
          <w:p w14:paraId="73D304BD" w14:textId="77777777" w:rsidR="006E50FF" w:rsidRPr="006E50FF" w:rsidRDefault="006E50FF" w:rsidP="006E50FF">
            <w:pPr>
              <w:ind w:left="91" w:right="90"/>
              <w:rPr>
                <w:sz w:val="16"/>
                <w:szCs w:val="16"/>
              </w:rPr>
            </w:pPr>
            <w:r w:rsidRPr="006E50FF">
              <w:rPr>
                <w:sz w:val="16"/>
                <w:szCs w:val="16"/>
              </w:rPr>
              <w:t>includes adult and child day care centers.</w:t>
            </w:r>
          </w:p>
        </w:tc>
      </w:tr>
      <w:tr w:rsidR="006E50FF" w:rsidRPr="006E50FF" w14:paraId="77D32C9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FA6192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21F25FD" w14:textId="77777777" w:rsidR="006E50FF" w:rsidRPr="006E50FF" w:rsidRDefault="006E50FF" w:rsidP="006E50FF">
            <w:pPr>
              <w:ind w:left="108" w:right="85"/>
              <w:rPr>
                <w:i/>
                <w:sz w:val="16"/>
                <w:szCs w:val="16"/>
              </w:rPr>
            </w:pPr>
            <w:r w:rsidRPr="006E50FF">
              <w:rPr>
                <w:i/>
                <w:sz w:val="16"/>
                <w:szCs w:val="16"/>
              </w:rPr>
              <w:t>Degree of Hazard</w:t>
            </w:r>
          </w:p>
        </w:tc>
        <w:tc>
          <w:tcPr>
            <w:tcW w:w="7043" w:type="dxa"/>
            <w:gridSpan w:val="2"/>
            <w:tcBorders>
              <w:top w:val="single" w:sz="6" w:space="0" w:color="000000"/>
              <w:left w:val="single" w:sz="6" w:space="0" w:color="000000"/>
              <w:bottom w:val="single" w:sz="6" w:space="0" w:color="000000"/>
              <w:right w:val="single" w:sz="6" w:space="0" w:color="000000"/>
            </w:tcBorders>
          </w:tcPr>
          <w:p w14:paraId="70012AC8" w14:textId="77777777" w:rsidR="006E50FF" w:rsidRPr="006E50FF" w:rsidRDefault="006E50FF" w:rsidP="006E50FF">
            <w:pPr>
              <w:ind w:left="91" w:right="90"/>
              <w:rPr>
                <w:sz w:val="16"/>
                <w:szCs w:val="16"/>
              </w:rPr>
            </w:pPr>
            <w:r w:rsidRPr="006E50FF">
              <w:rPr>
                <w:sz w:val="16"/>
                <w:szCs w:val="16"/>
              </w:rPr>
              <w:t>an evaluation of the potential risk to public health if the public were to be exposed to contaminated water caused by an unprotected or inadequately protected cross connection.</w:t>
            </w:r>
          </w:p>
        </w:tc>
      </w:tr>
      <w:tr w:rsidR="006E50FF" w:rsidRPr="006E50FF" w14:paraId="602BA22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B63B43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B067854" w14:textId="77777777" w:rsidR="006E50FF" w:rsidRPr="006E50FF" w:rsidRDefault="006E50FF" w:rsidP="006E50FF">
            <w:pPr>
              <w:ind w:left="108" w:right="85"/>
              <w:rPr>
                <w:i/>
                <w:sz w:val="16"/>
                <w:szCs w:val="16"/>
              </w:rPr>
            </w:pPr>
            <w:r w:rsidRPr="006E50FF">
              <w:rPr>
                <w:i/>
                <w:sz w:val="16"/>
                <w:szCs w:val="16"/>
              </w:rPr>
              <w:t>Domestic Well</w:t>
            </w:r>
          </w:p>
        </w:tc>
        <w:tc>
          <w:tcPr>
            <w:tcW w:w="7043" w:type="dxa"/>
            <w:gridSpan w:val="2"/>
            <w:tcBorders>
              <w:top w:val="single" w:sz="6" w:space="0" w:color="000000"/>
              <w:left w:val="single" w:sz="6" w:space="0" w:color="000000"/>
              <w:bottom w:val="single" w:sz="6" w:space="0" w:color="000000"/>
              <w:right w:val="single" w:sz="6" w:space="0" w:color="000000"/>
            </w:tcBorders>
          </w:tcPr>
          <w:p w14:paraId="02430536" w14:textId="77777777" w:rsidR="006E50FF" w:rsidRPr="006E50FF" w:rsidRDefault="006E50FF" w:rsidP="006E50FF">
            <w:pPr>
              <w:ind w:left="91" w:right="90"/>
              <w:rPr>
                <w:sz w:val="16"/>
                <w:szCs w:val="16"/>
              </w:rPr>
            </w:pPr>
            <w:r w:rsidRPr="006E50FF">
              <w:rPr>
                <w:sz w:val="16"/>
                <w:szCs w:val="16"/>
              </w:rPr>
              <w:t>a water well used exclusively to supply the household needs of the owner/lessee and his family. Uses may include human consumption, sanitary purposes, lawn and garden watering and caring for pets.</w:t>
            </w:r>
          </w:p>
        </w:tc>
      </w:tr>
      <w:tr w:rsidR="006E50FF" w:rsidRPr="006E50FF" w14:paraId="5611879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4F8EBE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C7F6BDD" w14:textId="77777777" w:rsidR="006E50FF" w:rsidRPr="006E50FF" w:rsidRDefault="006E50FF" w:rsidP="006E50FF">
            <w:pPr>
              <w:ind w:left="108" w:right="85"/>
              <w:rPr>
                <w:i/>
                <w:sz w:val="16"/>
                <w:szCs w:val="16"/>
              </w:rPr>
            </w:pPr>
            <w:r w:rsidRPr="006E50FF">
              <w:rPr>
                <w:i/>
                <w:sz w:val="16"/>
                <w:szCs w:val="16"/>
              </w:rPr>
              <w:t>Dual Check Valve</w:t>
            </w:r>
          </w:p>
        </w:tc>
        <w:tc>
          <w:tcPr>
            <w:tcW w:w="7043" w:type="dxa"/>
            <w:gridSpan w:val="2"/>
            <w:tcBorders>
              <w:top w:val="single" w:sz="6" w:space="0" w:color="000000"/>
              <w:left w:val="single" w:sz="6" w:space="0" w:color="000000"/>
              <w:bottom w:val="single" w:sz="6" w:space="0" w:color="000000"/>
              <w:right w:val="single" w:sz="6" w:space="0" w:color="000000"/>
            </w:tcBorders>
          </w:tcPr>
          <w:p w14:paraId="1F59E0CB" w14:textId="77777777" w:rsidR="006E50FF" w:rsidRPr="006E50FF" w:rsidRDefault="006E50FF" w:rsidP="006E50FF">
            <w:pPr>
              <w:ind w:left="91" w:right="90"/>
              <w:rPr>
                <w:sz w:val="16"/>
                <w:szCs w:val="16"/>
              </w:rPr>
            </w:pPr>
            <w:r w:rsidRPr="006E50FF">
              <w:rPr>
                <w:sz w:val="16"/>
                <w:szCs w:val="16"/>
              </w:rPr>
              <w:t>a device having two spring loaded, independently operated check valves without tightly closing shut-off valves and test cocks; generally employed immediately downstream of the water meter.</w:t>
            </w:r>
          </w:p>
        </w:tc>
      </w:tr>
      <w:tr w:rsidR="006E50FF" w:rsidRPr="006E50FF" w14:paraId="30CE346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98C70E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BD3D962" w14:textId="77777777" w:rsidR="006E50FF" w:rsidRPr="006E50FF" w:rsidRDefault="006E50FF" w:rsidP="006E50FF">
            <w:pPr>
              <w:ind w:left="108" w:right="85"/>
              <w:rPr>
                <w:i/>
                <w:sz w:val="16"/>
                <w:szCs w:val="16"/>
              </w:rPr>
            </w:pPr>
            <w:r w:rsidRPr="006E50FF">
              <w:rPr>
                <w:i/>
                <w:sz w:val="16"/>
                <w:szCs w:val="16"/>
              </w:rPr>
              <w:t>Fixture Isolation</w:t>
            </w:r>
          </w:p>
        </w:tc>
        <w:tc>
          <w:tcPr>
            <w:tcW w:w="7043" w:type="dxa"/>
            <w:gridSpan w:val="2"/>
            <w:tcBorders>
              <w:top w:val="single" w:sz="6" w:space="0" w:color="000000"/>
              <w:left w:val="single" w:sz="6" w:space="0" w:color="000000"/>
              <w:bottom w:val="single" w:sz="6" w:space="0" w:color="000000"/>
              <w:right w:val="single" w:sz="6" w:space="0" w:color="000000"/>
            </w:tcBorders>
          </w:tcPr>
          <w:p w14:paraId="29475680" w14:textId="77777777" w:rsidR="006E50FF" w:rsidRPr="006E50FF" w:rsidRDefault="006E50FF" w:rsidP="006E50FF">
            <w:pPr>
              <w:ind w:left="91" w:right="90"/>
              <w:rPr>
                <w:sz w:val="16"/>
                <w:szCs w:val="16"/>
              </w:rPr>
            </w:pPr>
            <w:r w:rsidRPr="006E50FF">
              <w:rPr>
                <w:sz w:val="16"/>
                <w:szCs w:val="16"/>
              </w:rPr>
              <w:t>a method of backflow prevention in which a backflow preventer is located to protect the potable water of a water supply system against a cross connection at a fixture located within the structure or premises itself.</w:t>
            </w:r>
          </w:p>
        </w:tc>
      </w:tr>
      <w:tr w:rsidR="006E50FF" w:rsidRPr="006E50FF" w14:paraId="65456B4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BE482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BE42651" w14:textId="77777777" w:rsidR="006E50FF" w:rsidRPr="006E50FF" w:rsidRDefault="006E50FF" w:rsidP="006E50FF">
            <w:pPr>
              <w:ind w:left="108" w:right="85"/>
              <w:rPr>
                <w:i/>
                <w:sz w:val="16"/>
                <w:szCs w:val="16"/>
              </w:rPr>
            </w:pPr>
            <w:r w:rsidRPr="006E50FF">
              <w:rPr>
                <w:i/>
                <w:sz w:val="16"/>
                <w:szCs w:val="16"/>
              </w:rPr>
              <w:t>Grade (G)</w:t>
            </w:r>
          </w:p>
        </w:tc>
        <w:tc>
          <w:tcPr>
            <w:tcW w:w="7043" w:type="dxa"/>
            <w:gridSpan w:val="2"/>
            <w:tcBorders>
              <w:top w:val="single" w:sz="6" w:space="0" w:color="000000"/>
              <w:left w:val="single" w:sz="6" w:space="0" w:color="000000"/>
              <w:bottom w:val="single" w:sz="6" w:space="0" w:color="000000"/>
              <w:right w:val="single" w:sz="6" w:space="0" w:color="000000"/>
            </w:tcBorders>
          </w:tcPr>
          <w:p w14:paraId="6A9EB2FC" w14:textId="77777777" w:rsidR="006E50FF" w:rsidRPr="006E50FF" w:rsidRDefault="006E50FF" w:rsidP="006E50FF">
            <w:pPr>
              <w:ind w:left="91" w:right="90"/>
              <w:rPr>
                <w:sz w:val="16"/>
                <w:szCs w:val="16"/>
              </w:rPr>
            </w:pPr>
            <w:r w:rsidRPr="006E50FF">
              <w:rPr>
                <w:sz w:val="16"/>
                <w:szCs w:val="16"/>
              </w:rPr>
              <w:t>normally, this references the location of some object in relation to either the floor or ground level elevation.</w:t>
            </w:r>
          </w:p>
        </w:tc>
      </w:tr>
      <w:tr w:rsidR="006E50FF" w:rsidRPr="006E50FF" w14:paraId="7A6F654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33154B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68AD23C" w14:textId="77777777" w:rsidR="006E50FF" w:rsidRPr="006E50FF" w:rsidRDefault="006E50FF" w:rsidP="006E50FF">
            <w:pPr>
              <w:ind w:left="108" w:right="85"/>
              <w:rPr>
                <w:i/>
                <w:sz w:val="16"/>
                <w:szCs w:val="16"/>
              </w:rPr>
            </w:pPr>
            <w:r w:rsidRPr="006E50FF">
              <w:rPr>
                <w:i/>
                <w:sz w:val="16"/>
                <w:szCs w:val="16"/>
              </w:rPr>
              <w:t>Gravity Grease Interceptor</w:t>
            </w:r>
          </w:p>
        </w:tc>
        <w:tc>
          <w:tcPr>
            <w:tcW w:w="7043" w:type="dxa"/>
            <w:gridSpan w:val="2"/>
            <w:tcBorders>
              <w:top w:val="single" w:sz="6" w:space="0" w:color="000000"/>
              <w:left w:val="single" w:sz="6" w:space="0" w:color="000000"/>
              <w:bottom w:val="single" w:sz="6" w:space="0" w:color="000000"/>
              <w:right w:val="single" w:sz="6" w:space="0" w:color="000000"/>
            </w:tcBorders>
          </w:tcPr>
          <w:p w14:paraId="16B009A9" w14:textId="77777777" w:rsidR="006E50FF" w:rsidRPr="006E50FF" w:rsidRDefault="006E50FF" w:rsidP="006E50FF">
            <w:pPr>
              <w:ind w:left="91" w:right="90"/>
              <w:rPr>
                <w:sz w:val="16"/>
                <w:szCs w:val="16"/>
              </w:rPr>
            </w:pPr>
            <w:r w:rsidRPr="006E50FF">
              <w:rPr>
                <w:sz w:val="16"/>
                <w:szCs w:val="16"/>
              </w:rPr>
              <w:t>plumbing appurtenances of not less than 125 gallons capacity that are installed in the sanitary drainage system to intercept free-floating fats, oils, and grease from waste water discharge. Separation is accomplished by gravity during a retention time of not less than 30 minutes.</w:t>
            </w:r>
          </w:p>
        </w:tc>
      </w:tr>
      <w:tr w:rsidR="006E50FF" w:rsidRPr="006E50FF" w14:paraId="655B94B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E8CEFD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FD9FAFA" w14:textId="77777777" w:rsidR="006E50FF" w:rsidRPr="006E50FF" w:rsidRDefault="006E50FF" w:rsidP="006E50FF">
            <w:pPr>
              <w:ind w:left="108" w:right="85"/>
              <w:rPr>
                <w:i/>
                <w:sz w:val="16"/>
                <w:szCs w:val="16"/>
              </w:rPr>
            </w:pPr>
            <w:r w:rsidRPr="006E50FF">
              <w:rPr>
                <w:i/>
                <w:sz w:val="16"/>
                <w:szCs w:val="16"/>
              </w:rPr>
              <w:t>Human Consumption</w:t>
            </w:r>
          </w:p>
        </w:tc>
        <w:tc>
          <w:tcPr>
            <w:tcW w:w="7043" w:type="dxa"/>
            <w:gridSpan w:val="2"/>
            <w:tcBorders>
              <w:top w:val="single" w:sz="6" w:space="0" w:color="000000"/>
              <w:left w:val="single" w:sz="6" w:space="0" w:color="000000"/>
              <w:bottom w:val="single" w:sz="6" w:space="0" w:color="000000"/>
              <w:right w:val="single" w:sz="6" w:space="0" w:color="000000"/>
            </w:tcBorders>
          </w:tcPr>
          <w:p w14:paraId="087E0391" w14:textId="77777777" w:rsidR="006E50FF" w:rsidRPr="006E50FF" w:rsidRDefault="006E50FF" w:rsidP="006E50FF">
            <w:pPr>
              <w:ind w:left="91" w:right="90"/>
              <w:rPr>
                <w:sz w:val="16"/>
                <w:szCs w:val="16"/>
              </w:rPr>
            </w:pPr>
            <w:r w:rsidRPr="006E50FF">
              <w:rPr>
                <w:sz w:val="16"/>
                <w:szCs w:val="16"/>
              </w:rPr>
              <w:t>the use of water by humans for drinking, cooking, bathing, showering, hand washing, dishwashing, or maintaining oral hygiene.</w:t>
            </w:r>
          </w:p>
        </w:tc>
      </w:tr>
      <w:tr w:rsidR="006E50FF" w:rsidRPr="006E50FF" w14:paraId="75ADB14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565DFF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04CECC1" w14:textId="77777777" w:rsidR="006E50FF" w:rsidRPr="006E50FF" w:rsidRDefault="006E50FF" w:rsidP="006E50FF">
            <w:pPr>
              <w:ind w:left="108" w:right="85"/>
              <w:rPr>
                <w:i/>
                <w:sz w:val="16"/>
                <w:szCs w:val="16"/>
              </w:rPr>
            </w:pPr>
            <w:r w:rsidRPr="006E50FF">
              <w:rPr>
                <w:i/>
                <w:sz w:val="16"/>
                <w:szCs w:val="16"/>
              </w:rPr>
              <w:t>Individual Sewerage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1223778A" w14:textId="77777777" w:rsidR="006E50FF" w:rsidRPr="006E50FF" w:rsidRDefault="006E50FF" w:rsidP="006E50FF">
            <w:pPr>
              <w:ind w:left="91" w:right="90"/>
              <w:rPr>
                <w:sz w:val="16"/>
                <w:szCs w:val="16"/>
              </w:rPr>
            </w:pPr>
            <w:r w:rsidRPr="006E50FF">
              <w:rPr>
                <w:sz w:val="16"/>
                <w:szCs w:val="16"/>
              </w:rPr>
              <w:t>any system of piping (excluding the building drain and building sewer), and/or collection and/or transport system which serves one or more connections, and/or pumping facility, and treatment facility, all located on the property where the sewage originates; and which utilizes the individual sewerage system technology which is set forth in LAC 51:XIII.Chapter 7, Subchapter B, or a commercial treatment facility which is specifically authorized for use by the state health officer.</w:t>
            </w:r>
          </w:p>
        </w:tc>
      </w:tr>
      <w:tr w:rsidR="006E50FF" w:rsidRPr="006E50FF" w14:paraId="1088F3A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3773AA7"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3011D95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7CB625A" w14:textId="77777777" w:rsidR="006E50FF" w:rsidRPr="006E50FF" w:rsidRDefault="006E50FF" w:rsidP="006E50FF">
            <w:pPr>
              <w:ind w:left="91" w:right="90"/>
              <w:rPr>
                <w:sz w:val="16"/>
                <w:szCs w:val="16"/>
              </w:rPr>
            </w:pPr>
            <w:r w:rsidRPr="006E50FF">
              <w:rPr>
                <w:sz w:val="16"/>
                <w:szCs w:val="16"/>
              </w:rPr>
              <w:t>Delete definition Individual Water Supply—a water supply that serves one or more families, and that is not an approved public water supply.</w:t>
            </w:r>
          </w:p>
        </w:tc>
      </w:tr>
      <w:tr w:rsidR="006E50FF" w:rsidRPr="006E50FF" w14:paraId="7CEE02E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F9440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5B2ECDA" w14:textId="77777777" w:rsidR="006E50FF" w:rsidRPr="006E50FF" w:rsidRDefault="006E50FF" w:rsidP="006E50FF">
            <w:pPr>
              <w:ind w:left="108" w:right="85"/>
              <w:rPr>
                <w:i/>
                <w:sz w:val="16"/>
                <w:szCs w:val="16"/>
              </w:rPr>
            </w:pPr>
            <w:r w:rsidRPr="006E50FF">
              <w:rPr>
                <w:i/>
                <w:sz w:val="16"/>
                <w:szCs w:val="16"/>
              </w:rPr>
              <w:t>Lead Free</w:t>
            </w:r>
          </w:p>
        </w:tc>
        <w:tc>
          <w:tcPr>
            <w:tcW w:w="7043" w:type="dxa"/>
            <w:gridSpan w:val="2"/>
            <w:tcBorders>
              <w:top w:val="single" w:sz="6" w:space="0" w:color="000000"/>
              <w:left w:val="single" w:sz="6" w:space="0" w:color="000000"/>
              <w:bottom w:val="single" w:sz="6" w:space="0" w:color="000000"/>
              <w:right w:val="single" w:sz="6" w:space="0" w:color="000000"/>
            </w:tcBorders>
          </w:tcPr>
          <w:p w14:paraId="5C351EDE" w14:textId="77777777" w:rsidR="006E50FF" w:rsidRPr="006E50FF" w:rsidRDefault="006E50FF" w:rsidP="006E50FF">
            <w:pPr>
              <w:ind w:left="91" w:right="90"/>
              <w:rPr>
                <w:sz w:val="16"/>
                <w:szCs w:val="16"/>
              </w:rPr>
            </w:pPr>
            <w:r w:rsidRPr="006E50FF">
              <w:rPr>
                <w:sz w:val="16"/>
                <w:szCs w:val="16"/>
              </w:rPr>
              <w:t>A. in general:</w:t>
            </w:r>
          </w:p>
        </w:tc>
      </w:tr>
      <w:tr w:rsidR="006E50FF" w:rsidRPr="006E50FF" w14:paraId="4BA902E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F2A3C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482AC63"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41C45A8" w14:textId="77777777" w:rsidR="006E50FF" w:rsidRPr="006E50FF" w:rsidRDefault="006E50FF" w:rsidP="006E50FF">
            <w:pPr>
              <w:ind w:left="91" w:right="90"/>
              <w:rPr>
                <w:sz w:val="16"/>
                <w:szCs w:val="16"/>
              </w:rPr>
            </w:pPr>
            <w:r w:rsidRPr="006E50FF">
              <w:rPr>
                <w:sz w:val="16"/>
                <w:szCs w:val="16"/>
              </w:rPr>
              <w:t>1. not containing more than 0.2 percent lead when used with respect to solder and flux; and</w:t>
            </w:r>
          </w:p>
        </w:tc>
      </w:tr>
      <w:tr w:rsidR="006E50FF" w:rsidRPr="006E50FF" w14:paraId="016FF57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DE0BBE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1951C9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076322E" w14:textId="77777777" w:rsidR="006E50FF" w:rsidRPr="006E50FF" w:rsidRDefault="006E50FF" w:rsidP="006E50FF">
            <w:pPr>
              <w:ind w:left="91" w:right="90"/>
              <w:rPr>
                <w:sz w:val="16"/>
                <w:szCs w:val="16"/>
              </w:rPr>
            </w:pPr>
            <w:r w:rsidRPr="006E50FF">
              <w:rPr>
                <w:sz w:val="16"/>
                <w:szCs w:val="16"/>
              </w:rPr>
              <w:t>2. not more than a weighted average of 0.25 percent lead when used with respect to the wetted surfaces of pipes, pipe fittings, plumbing fittings, and fixtures;</w:t>
            </w:r>
          </w:p>
        </w:tc>
      </w:tr>
      <w:tr w:rsidR="006E50FF" w:rsidRPr="006E50FF" w14:paraId="5C76B4D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F27A4B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EE741A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8CE4696" w14:textId="77777777" w:rsidR="006E50FF" w:rsidRPr="006E50FF" w:rsidRDefault="006E50FF" w:rsidP="006E50FF">
            <w:pPr>
              <w:ind w:left="91" w:right="90"/>
              <w:rPr>
                <w:sz w:val="16"/>
                <w:szCs w:val="16"/>
              </w:rPr>
            </w:pPr>
            <w:r w:rsidRPr="006E50FF">
              <w:rPr>
                <w:sz w:val="16"/>
                <w:szCs w:val="16"/>
              </w:rPr>
              <w:t>B. calculation:</w:t>
            </w:r>
          </w:p>
        </w:tc>
      </w:tr>
      <w:tr w:rsidR="006E50FF" w:rsidRPr="006E50FF" w14:paraId="2981BAA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049FD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9746E4B" w14:textId="77777777" w:rsidR="006E50FF" w:rsidRPr="006E50FF" w:rsidRDefault="006E50FF" w:rsidP="006E50FF">
            <w:pPr>
              <w:ind w:left="10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2B80AC3" w14:textId="77777777" w:rsidR="006E50FF" w:rsidRPr="006E50FF" w:rsidRDefault="006E50FF" w:rsidP="006E50FF">
            <w:pPr>
              <w:ind w:left="91" w:right="90"/>
              <w:rPr>
                <w:sz w:val="16"/>
                <w:szCs w:val="16"/>
              </w:rPr>
            </w:pPr>
            <w:r w:rsidRPr="006E50FF">
              <w:rPr>
                <w:sz w:val="16"/>
                <w:szCs w:val="16"/>
              </w:rPr>
              <w:t>1. the weighted average lead content of a pipe, pipe fitting, plumbing fitting, or fixture shall be calculated by using the following formula:</w:t>
            </w:r>
          </w:p>
        </w:tc>
      </w:tr>
      <w:tr w:rsidR="006E50FF" w:rsidRPr="006E50FF" w14:paraId="01F1002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E33E8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8E2F6BE" w14:textId="77777777" w:rsidR="006E50FF" w:rsidRPr="006E50FF" w:rsidRDefault="006E50FF" w:rsidP="006E50FF">
            <w:pPr>
              <w:ind w:left="10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620C34C" w14:textId="77777777" w:rsidR="006E50FF" w:rsidRPr="006E50FF" w:rsidRDefault="006E50FF" w:rsidP="006E50FF">
            <w:pPr>
              <w:ind w:left="91" w:right="90"/>
              <w:rPr>
                <w:sz w:val="16"/>
                <w:szCs w:val="16"/>
              </w:rPr>
            </w:pPr>
            <w:r w:rsidRPr="006E50FF">
              <w:rPr>
                <w:sz w:val="16"/>
                <w:szCs w:val="16"/>
              </w:rPr>
              <w:t>a. for each wetted component, the percentage of lead in the component shall be multiplied by the ratio of the wetted surface area of that component to the total wetted surface area of the entire product to arrive at the weighted percentage of lead of the component. The weighted percentage of lead of each wetted component shall be added together, and the sum of these weighted percentages shall constitute the weighted average lead content of the product. The lead content of the material used to produce wetted components shall be used to determine compliance with Clause a.ii above. For lead content of materials that are provided as a range, the maximum content of the range shall be used.</w:t>
            </w:r>
          </w:p>
        </w:tc>
      </w:tr>
      <w:tr w:rsidR="006E50FF" w:rsidRPr="006E50FF" w14:paraId="446EC0E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59F5480"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C7969CD" w14:textId="77777777" w:rsidR="006E50FF" w:rsidRPr="006E50FF" w:rsidRDefault="006E50FF" w:rsidP="006E50FF">
            <w:pPr>
              <w:ind w:left="96" w:right="58"/>
              <w:rPr>
                <w:i/>
                <w:sz w:val="16"/>
                <w:szCs w:val="16"/>
              </w:rPr>
            </w:pPr>
            <w:r w:rsidRPr="006E50FF">
              <w:rPr>
                <w:i/>
                <w:sz w:val="16"/>
                <w:szCs w:val="16"/>
              </w:rPr>
              <w:t>Major Plumbing Renovation (water bottle filling station)</w:t>
            </w:r>
          </w:p>
        </w:tc>
        <w:tc>
          <w:tcPr>
            <w:tcW w:w="7043" w:type="dxa"/>
            <w:gridSpan w:val="2"/>
            <w:tcBorders>
              <w:top w:val="single" w:sz="6" w:space="0" w:color="000000"/>
              <w:left w:val="single" w:sz="6" w:space="0" w:color="000000"/>
              <w:bottom w:val="single" w:sz="6" w:space="0" w:color="000000"/>
              <w:right w:val="single" w:sz="6" w:space="0" w:color="000000"/>
            </w:tcBorders>
          </w:tcPr>
          <w:p w14:paraId="78DCA9E5" w14:textId="77777777" w:rsidR="006E50FF" w:rsidRPr="006E50FF" w:rsidRDefault="006E50FF" w:rsidP="006E50FF">
            <w:pPr>
              <w:ind w:left="91" w:right="90"/>
              <w:rPr>
                <w:sz w:val="16"/>
                <w:szCs w:val="16"/>
              </w:rPr>
            </w:pPr>
            <w:r w:rsidRPr="006E50FF">
              <w:rPr>
                <w:sz w:val="16"/>
                <w:szCs w:val="16"/>
              </w:rPr>
              <w:t>A renovation to an existing school building means the replacement, repair, alteration, or upgrade of water systems or fixtures within an existing facility, which involves more than fifty percent of the fixtures in the facility, even if such renovation does not include any structural change to the facility. Such renovation shall not include repairs done as a result of damages from a natural disaster.</w:t>
            </w:r>
          </w:p>
        </w:tc>
      </w:tr>
      <w:tr w:rsidR="006E50FF" w:rsidRPr="006E50FF" w14:paraId="247BF20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7EA805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A4A1BBD" w14:textId="77777777" w:rsidR="006E50FF" w:rsidRPr="006E50FF" w:rsidRDefault="006E50FF" w:rsidP="006E50FF">
            <w:pPr>
              <w:ind w:left="96" w:right="58"/>
              <w:rPr>
                <w:i/>
                <w:sz w:val="16"/>
                <w:szCs w:val="16"/>
              </w:rPr>
            </w:pPr>
            <w:r w:rsidRPr="006E50FF">
              <w:rPr>
                <w:i/>
                <w:sz w:val="16"/>
                <w:szCs w:val="16"/>
              </w:rPr>
              <w:t>Master Meter</w:t>
            </w:r>
          </w:p>
        </w:tc>
        <w:tc>
          <w:tcPr>
            <w:tcW w:w="7043" w:type="dxa"/>
            <w:gridSpan w:val="2"/>
            <w:tcBorders>
              <w:top w:val="single" w:sz="6" w:space="0" w:color="000000"/>
              <w:left w:val="single" w:sz="6" w:space="0" w:color="000000"/>
              <w:bottom w:val="single" w:sz="6" w:space="0" w:color="000000"/>
              <w:right w:val="single" w:sz="6" w:space="0" w:color="000000"/>
            </w:tcBorders>
          </w:tcPr>
          <w:p w14:paraId="7816F9D9" w14:textId="77777777" w:rsidR="006E50FF" w:rsidRPr="006E50FF" w:rsidRDefault="006E50FF" w:rsidP="006E50FF">
            <w:pPr>
              <w:ind w:left="91" w:right="90"/>
              <w:rPr>
                <w:sz w:val="16"/>
                <w:szCs w:val="16"/>
              </w:rPr>
            </w:pPr>
            <w:r w:rsidRPr="006E50FF">
              <w:rPr>
                <w:sz w:val="16"/>
                <w:szCs w:val="16"/>
              </w:rPr>
              <w:t>a water meter serving multiple residential dwelling units or multiple commercial units. Individual units may or may not be sub-metered</w:t>
            </w:r>
          </w:p>
        </w:tc>
      </w:tr>
      <w:tr w:rsidR="006E50FF" w:rsidRPr="006E50FF" w14:paraId="238B0A9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2006AC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50D40A4" w14:textId="77777777" w:rsidR="006E50FF" w:rsidRPr="006E50FF" w:rsidRDefault="006E50FF" w:rsidP="006E50FF">
            <w:pPr>
              <w:ind w:left="96" w:right="58"/>
              <w:rPr>
                <w:i/>
                <w:sz w:val="16"/>
                <w:szCs w:val="16"/>
              </w:rPr>
            </w:pPr>
            <w:r w:rsidRPr="006E50FF">
              <w:rPr>
                <w:i/>
                <w:sz w:val="16"/>
                <w:szCs w:val="16"/>
              </w:rPr>
              <w:t>Potable Water Supply</w:t>
            </w:r>
          </w:p>
        </w:tc>
        <w:tc>
          <w:tcPr>
            <w:tcW w:w="7043" w:type="dxa"/>
            <w:gridSpan w:val="2"/>
            <w:tcBorders>
              <w:top w:val="single" w:sz="6" w:space="0" w:color="000000"/>
              <w:left w:val="single" w:sz="6" w:space="0" w:color="000000"/>
              <w:bottom w:val="single" w:sz="6" w:space="0" w:color="000000"/>
              <w:right w:val="single" w:sz="6" w:space="0" w:color="000000"/>
            </w:tcBorders>
          </w:tcPr>
          <w:p w14:paraId="0875A015" w14:textId="77777777" w:rsidR="006E50FF" w:rsidRPr="006E50FF" w:rsidRDefault="006E50FF" w:rsidP="006E50FF">
            <w:pPr>
              <w:ind w:left="91" w:right="90"/>
              <w:rPr>
                <w:sz w:val="16"/>
                <w:szCs w:val="16"/>
              </w:rPr>
            </w:pPr>
            <w:r w:rsidRPr="006E50FF">
              <w:rPr>
                <w:sz w:val="16"/>
                <w:szCs w:val="16"/>
              </w:rPr>
              <w:t>a publicly owned or privately owned water supply system which purveys potable water.</w:t>
            </w:r>
          </w:p>
        </w:tc>
      </w:tr>
      <w:tr w:rsidR="006E50FF" w:rsidRPr="006E50FF" w14:paraId="50478FB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821145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816729A" w14:textId="77777777" w:rsidR="006E50FF" w:rsidRPr="006E50FF" w:rsidRDefault="006E50FF" w:rsidP="006E50FF">
            <w:pPr>
              <w:ind w:left="96" w:right="58"/>
              <w:rPr>
                <w:i/>
                <w:sz w:val="16"/>
                <w:szCs w:val="16"/>
              </w:rPr>
            </w:pPr>
            <w:r w:rsidRPr="006E50FF">
              <w:rPr>
                <w:i/>
                <w:sz w:val="16"/>
                <w:szCs w:val="16"/>
              </w:rPr>
              <w:t>Preschool</w:t>
            </w:r>
          </w:p>
        </w:tc>
        <w:tc>
          <w:tcPr>
            <w:tcW w:w="7043" w:type="dxa"/>
            <w:gridSpan w:val="2"/>
            <w:tcBorders>
              <w:top w:val="single" w:sz="6" w:space="0" w:color="000000"/>
              <w:left w:val="single" w:sz="6" w:space="0" w:color="000000"/>
              <w:bottom w:val="single" w:sz="6" w:space="0" w:color="000000"/>
              <w:right w:val="single" w:sz="6" w:space="0" w:color="000000"/>
            </w:tcBorders>
          </w:tcPr>
          <w:p w14:paraId="30373060" w14:textId="77777777" w:rsidR="006E50FF" w:rsidRPr="006E50FF" w:rsidRDefault="006E50FF" w:rsidP="006E50FF">
            <w:pPr>
              <w:ind w:left="91" w:right="90"/>
              <w:rPr>
                <w:sz w:val="16"/>
                <w:szCs w:val="16"/>
              </w:rPr>
            </w:pPr>
            <w:r w:rsidRPr="006E50FF">
              <w:rPr>
                <w:sz w:val="16"/>
                <w:szCs w:val="16"/>
              </w:rPr>
              <w:t>any child less than five years of age</w:t>
            </w:r>
          </w:p>
        </w:tc>
      </w:tr>
      <w:tr w:rsidR="006E50FF" w:rsidRPr="006E50FF" w14:paraId="16905D4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4614C3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3B52FE0" w14:textId="77777777" w:rsidR="006E50FF" w:rsidRPr="006E50FF" w:rsidRDefault="006E50FF" w:rsidP="006E50FF">
            <w:pPr>
              <w:ind w:left="96" w:right="58"/>
              <w:rPr>
                <w:i/>
                <w:sz w:val="16"/>
                <w:szCs w:val="16"/>
              </w:rPr>
            </w:pPr>
            <w:r w:rsidRPr="006E50FF">
              <w:rPr>
                <w:i/>
                <w:sz w:val="16"/>
                <w:szCs w:val="16"/>
              </w:rPr>
              <w:t>Private Water Supply</w:t>
            </w:r>
          </w:p>
        </w:tc>
        <w:tc>
          <w:tcPr>
            <w:tcW w:w="7043" w:type="dxa"/>
            <w:gridSpan w:val="2"/>
            <w:tcBorders>
              <w:top w:val="single" w:sz="6" w:space="0" w:color="000000"/>
              <w:left w:val="single" w:sz="6" w:space="0" w:color="000000"/>
              <w:bottom w:val="single" w:sz="6" w:space="0" w:color="000000"/>
              <w:right w:val="single" w:sz="6" w:space="0" w:color="000000"/>
            </w:tcBorders>
          </w:tcPr>
          <w:p w14:paraId="58FA54B4" w14:textId="77777777" w:rsidR="006E50FF" w:rsidRPr="006E50FF" w:rsidRDefault="006E50FF" w:rsidP="006E50FF">
            <w:pPr>
              <w:ind w:left="91" w:right="90"/>
              <w:rPr>
                <w:sz w:val="16"/>
                <w:szCs w:val="16"/>
              </w:rPr>
            </w:pPr>
            <w:r w:rsidRPr="006E50FF">
              <w:rPr>
                <w:sz w:val="16"/>
                <w:szCs w:val="16"/>
              </w:rPr>
              <w:t>a potable water supply that does not meet the criteria for a public water supply including, but not limited to a domestic well.</w:t>
            </w:r>
          </w:p>
        </w:tc>
      </w:tr>
      <w:tr w:rsidR="006E50FF" w:rsidRPr="006E50FF" w14:paraId="450867C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B5819A1" w14:textId="77777777" w:rsidR="006E50FF" w:rsidRPr="006E50FF" w:rsidRDefault="006E50FF" w:rsidP="006E50FF">
            <w:pPr>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3DDC1A58"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FEB682D" w14:textId="77777777" w:rsidR="006E50FF" w:rsidRPr="006E50FF" w:rsidRDefault="006E50FF" w:rsidP="006E50FF">
            <w:pPr>
              <w:ind w:left="91" w:right="90"/>
              <w:rPr>
                <w:sz w:val="16"/>
                <w:szCs w:val="16"/>
              </w:rPr>
            </w:pPr>
            <w:r w:rsidRPr="006E50FF">
              <w:rPr>
                <w:sz w:val="16"/>
                <w:szCs w:val="16"/>
              </w:rPr>
              <w:t>Delete definition Public Water Main—a water supply pipe for public use controlled by public authority</w:t>
            </w:r>
          </w:p>
        </w:tc>
      </w:tr>
      <w:tr w:rsidR="006E50FF" w:rsidRPr="006E50FF" w14:paraId="1658DDF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E81360B"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E034984" w14:textId="77777777" w:rsidR="006E50FF" w:rsidRPr="006E50FF" w:rsidRDefault="006E50FF" w:rsidP="006E50FF">
            <w:pPr>
              <w:ind w:left="96" w:right="58"/>
              <w:rPr>
                <w:i/>
                <w:sz w:val="16"/>
                <w:szCs w:val="16"/>
              </w:rPr>
            </w:pPr>
            <w:r w:rsidRPr="006E50FF">
              <w:rPr>
                <w:i/>
                <w:sz w:val="16"/>
                <w:szCs w:val="16"/>
              </w:rPr>
              <w:t>Public Water Supply</w:t>
            </w:r>
          </w:p>
        </w:tc>
        <w:tc>
          <w:tcPr>
            <w:tcW w:w="7043" w:type="dxa"/>
            <w:gridSpan w:val="2"/>
            <w:tcBorders>
              <w:top w:val="single" w:sz="6" w:space="0" w:color="000000"/>
              <w:left w:val="single" w:sz="6" w:space="0" w:color="000000"/>
              <w:bottom w:val="single" w:sz="6" w:space="0" w:color="000000"/>
              <w:right w:val="single" w:sz="6" w:space="0" w:color="000000"/>
            </w:tcBorders>
          </w:tcPr>
          <w:p w14:paraId="0F28412C" w14:textId="77777777" w:rsidR="006E50FF" w:rsidRPr="006E50FF" w:rsidRDefault="006E50FF" w:rsidP="006E50FF">
            <w:pPr>
              <w:ind w:left="91" w:right="90"/>
              <w:rPr>
                <w:sz w:val="16"/>
                <w:szCs w:val="16"/>
              </w:rPr>
            </w:pPr>
            <w:r w:rsidRPr="006E50FF">
              <w:rPr>
                <w:sz w:val="16"/>
                <w:szCs w:val="16"/>
              </w:rPr>
              <w:t>public water system.</w:t>
            </w:r>
          </w:p>
        </w:tc>
      </w:tr>
      <w:tr w:rsidR="006E50FF" w:rsidRPr="006E50FF" w14:paraId="5E3BC95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A485AA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CA46D4" w14:textId="77777777" w:rsidR="006E50FF" w:rsidRPr="006E50FF" w:rsidRDefault="006E50FF" w:rsidP="006E50FF">
            <w:pPr>
              <w:ind w:left="96" w:right="58"/>
              <w:rPr>
                <w:i/>
                <w:sz w:val="16"/>
                <w:szCs w:val="16"/>
              </w:rPr>
            </w:pPr>
            <w:r w:rsidRPr="006E50FF">
              <w:rPr>
                <w:i/>
                <w:sz w:val="16"/>
                <w:szCs w:val="16"/>
              </w:rPr>
              <w:t>Public Water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0F0C1985" w14:textId="77777777" w:rsidR="006E50FF" w:rsidRPr="006E50FF" w:rsidRDefault="006E50FF" w:rsidP="006E50FF">
            <w:pPr>
              <w:ind w:left="91" w:right="90"/>
              <w:rPr>
                <w:sz w:val="16"/>
                <w:szCs w:val="16"/>
              </w:rPr>
            </w:pPr>
            <w:r w:rsidRPr="006E50FF">
              <w:rPr>
                <w:sz w:val="16"/>
                <w:szCs w:val="16"/>
              </w:rPr>
              <w:t>a particular type of water supply system intended to provide potable water to the public having at least 15 service connections or regularly serving an average of at least 25 individuals daily at least 60 days out of the year.</w:t>
            </w:r>
          </w:p>
        </w:tc>
      </w:tr>
      <w:tr w:rsidR="006E50FF" w:rsidRPr="006E50FF" w14:paraId="4850DAF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6A93B5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5568626" w14:textId="77777777" w:rsidR="006E50FF" w:rsidRPr="006E50FF" w:rsidRDefault="006E50FF" w:rsidP="006E50FF">
            <w:pPr>
              <w:ind w:left="96" w:right="58"/>
              <w:rPr>
                <w:i/>
                <w:sz w:val="16"/>
                <w:szCs w:val="16"/>
              </w:rPr>
            </w:pPr>
            <w:r w:rsidRPr="006E50FF">
              <w:rPr>
                <w:i/>
                <w:sz w:val="16"/>
                <w:szCs w:val="16"/>
              </w:rPr>
              <w:t>Putrescible Waste</w:t>
            </w:r>
          </w:p>
        </w:tc>
        <w:tc>
          <w:tcPr>
            <w:tcW w:w="7043" w:type="dxa"/>
            <w:gridSpan w:val="2"/>
            <w:tcBorders>
              <w:top w:val="single" w:sz="6" w:space="0" w:color="000000"/>
              <w:left w:val="single" w:sz="6" w:space="0" w:color="000000"/>
              <w:bottom w:val="single" w:sz="6" w:space="0" w:color="000000"/>
              <w:right w:val="single" w:sz="6" w:space="0" w:color="000000"/>
            </w:tcBorders>
          </w:tcPr>
          <w:p w14:paraId="336517DA" w14:textId="77777777" w:rsidR="006E50FF" w:rsidRPr="006E50FF" w:rsidRDefault="006E50FF" w:rsidP="006E50FF">
            <w:pPr>
              <w:ind w:left="91" w:right="90"/>
              <w:rPr>
                <w:sz w:val="16"/>
                <w:szCs w:val="16"/>
              </w:rPr>
            </w:pPr>
            <w:r w:rsidRPr="006E50FF">
              <w:rPr>
                <w:sz w:val="16"/>
                <w:szCs w:val="16"/>
              </w:rPr>
              <w:t>waste which is subject to spoilage, rot, or decomposition and may give rise to foul smelling, offensive odors and/or is capable of attracting or providing food for birds and potential disease vectors such as rodents and flies. It includes wastes from the preparation and consumption of food, vegetable matter, and animal offal and carcasses</w:t>
            </w:r>
          </w:p>
        </w:tc>
      </w:tr>
      <w:tr w:rsidR="006E50FF" w:rsidRPr="006E50FF" w14:paraId="4F659FF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0EC13B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BBDF860" w14:textId="77777777" w:rsidR="006E50FF" w:rsidRPr="006E50FF" w:rsidRDefault="006E50FF" w:rsidP="006E50FF">
            <w:pPr>
              <w:ind w:left="96" w:right="58"/>
              <w:rPr>
                <w:i/>
                <w:sz w:val="16"/>
                <w:szCs w:val="16"/>
              </w:rPr>
            </w:pPr>
            <w:r w:rsidRPr="006E50FF">
              <w:rPr>
                <w:i/>
                <w:sz w:val="16"/>
                <w:szCs w:val="16"/>
              </w:rPr>
              <w:t>Residential Facility</w:t>
            </w:r>
          </w:p>
        </w:tc>
        <w:tc>
          <w:tcPr>
            <w:tcW w:w="7043" w:type="dxa"/>
            <w:gridSpan w:val="2"/>
            <w:tcBorders>
              <w:top w:val="single" w:sz="6" w:space="0" w:color="000000"/>
              <w:left w:val="single" w:sz="6" w:space="0" w:color="000000"/>
              <w:bottom w:val="single" w:sz="6" w:space="0" w:color="000000"/>
              <w:right w:val="single" w:sz="6" w:space="0" w:color="000000"/>
            </w:tcBorders>
          </w:tcPr>
          <w:p w14:paraId="21EE55FD" w14:textId="77777777" w:rsidR="006E50FF" w:rsidRPr="006E50FF" w:rsidRDefault="006E50FF" w:rsidP="006E50FF">
            <w:pPr>
              <w:ind w:left="91" w:right="90"/>
              <w:rPr>
                <w:sz w:val="16"/>
                <w:szCs w:val="16"/>
              </w:rPr>
            </w:pPr>
            <w:r w:rsidRPr="006E50FF">
              <w:rPr>
                <w:sz w:val="16"/>
                <w:szCs w:val="16"/>
              </w:rPr>
              <w:t>any place, facility, or home operated by any person who receives therein four or more people who are not related to such person for supervision, care, lodging and maintenance with or without transfer of custody. This shall include, but not be limited to group homes, community homes, maternity homes, juvenile detention centers, emergency shelters, halfway homes and schools for the mentally retarded.</w:t>
            </w:r>
          </w:p>
        </w:tc>
      </w:tr>
      <w:tr w:rsidR="006E50FF" w:rsidRPr="006E50FF" w14:paraId="276337D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8B633B4" w14:textId="77777777" w:rsidR="006E50FF" w:rsidRPr="006E50FF" w:rsidRDefault="006E50FF" w:rsidP="006E50FF">
            <w:pPr>
              <w:jc w:val="center"/>
              <w:rPr>
                <w:spacing w:val="-2"/>
                <w:sz w:val="16"/>
                <w:szCs w:val="16"/>
              </w:rPr>
            </w:pPr>
            <w:r w:rsidRPr="006E50FF">
              <w:rPr>
                <w:spacing w:val="-2"/>
                <w:sz w:val="16"/>
                <w:szCs w:val="16"/>
              </w:rPr>
              <w:t>Note</w:t>
            </w:r>
          </w:p>
        </w:tc>
        <w:tc>
          <w:tcPr>
            <w:tcW w:w="2415" w:type="dxa"/>
            <w:gridSpan w:val="2"/>
            <w:tcBorders>
              <w:top w:val="single" w:sz="6" w:space="0" w:color="000000"/>
              <w:left w:val="single" w:sz="6" w:space="0" w:color="000000"/>
              <w:bottom w:val="single" w:sz="6" w:space="0" w:color="000000"/>
              <w:right w:val="single" w:sz="6" w:space="0" w:color="000000"/>
            </w:tcBorders>
          </w:tcPr>
          <w:p w14:paraId="50EA2E9F" w14:textId="77777777" w:rsidR="006E50FF" w:rsidRPr="006E50FF" w:rsidRDefault="006E50FF" w:rsidP="006E50FF">
            <w:pPr>
              <w:ind w:left="96" w:right="58"/>
              <w:rPr>
                <w:i/>
                <w:sz w:val="16"/>
                <w:szCs w:val="16"/>
              </w:rPr>
            </w:pPr>
            <w:r w:rsidRPr="006E50FF">
              <w:rPr>
                <w:i/>
                <w:sz w:val="16"/>
                <w:szCs w:val="16"/>
              </w:rPr>
              <w:t>Sanitary Sewage</w:t>
            </w:r>
          </w:p>
        </w:tc>
        <w:tc>
          <w:tcPr>
            <w:tcW w:w="7043" w:type="dxa"/>
            <w:gridSpan w:val="2"/>
            <w:tcBorders>
              <w:top w:val="single" w:sz="6" w:space="0" w:color="000000"/>
              <w:left w:val="single" w:sz="6" w:space="0" w:color="000000"/>
              <w:bottom w:val="single" w:sz="6" w:space="0" w:color="000000"/>
              <w:right w:val="single" w:sz="6" w:space="0" w:color="000000"/>
            </w:tcBorders>
          </w:tcPr>
          <w:p w14:paraId="430B6660" w14:textId="77777777" w:rsidR="006E50FF" w:rsidRPr="006E50FF" w:rsidRDefault="006E50FF" w:rsidP="006E50FF">
            <w:pPr>
              <w:ind w:left="91" w:right="90"/>
              <w:rPr>
                <w:sz w:val="16"/>
                <w:szCs w:val="16"/>
              </w:rPr>
            </w:pPr>
            <w:r w:rsidRPr="006E50FF">
              <w:rPr>
                <w:sz w:val="16"/>
                <w:szCs w:val="16"/>
              </w:rPr>
              <w:t>see sewage</w:t>
            </w:r>
          </w:p>
        </w:tc>
      </w:tr>
      <w:tr w:rsidR="006E50FF" w:rsidRPr="006E50FF" w14:paraId="0F7FEE1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461C0BF"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52C151C" w14:textId="77777777" w:rsidR="006E50FF" w:rsidRPr="006E50FF" w:rsidRDefault="006E50FF" w:rsidP="006E50FF">
            <w:pPr>
              <w:ind w:left="96" w:right="58"/>
              <w:rPr>
                <w:i/>
                <w:sz w:val="16"/>
                <w:szCs w:val="16"/>
              </w:rPr>
            </w:pPr>
            <w:r w:rsidRPr="006E50FF">
              <w:rPr>
                <w:i/>
                <w:sz w:val="16"/>
                <w:szCs w:val="16"/>
              </w:rPr>
              <w:t>Sewer</w:t>
            </w:r>
          </w:p>
        </w:tc>
        <w:tc>
          <w:tcPr>
            <w:tcW w:w="7043" w:type="dxa"/>
            <w:gridSpan w:val="2"/>
            <w:tcBorders>
              <w:top w:val="single" w:sz="6" w:space="0" w:color="000000"/>
              <w:left w:val="single" w:sz="6" w:space="0" w:color="000000"/>
              <w:bottom w:val="single" w:sz="6" w:space="0" w:color="000000"/>
              <w:right w:val="single" w:sz="6" w:space="0" w:color="000000"/>
            </w:tcBorders>
          </w:tcPr>
          <w:p w14:paraId="1732B614" w14:textId="77777777" w:rsidR="006E50FF" w:rsidRPr="006E50FF" w:rsidRDefault="006E50FF" w:rsidP="006E50FF">
            <w:pPr>
              <w:ind w:left="91" w:right="90"/>
              <w:rPr>
                <w:sz w:val="16"/>
                <w:szCs w:val="16"/>
              </w:rPr>
            </w:pPr>
            <w:r w:rsidRPr="006E50FF">
              <w:rPr>
                <w:sz w:val="16"/>
                <w:szCs w:val="16"/>
              </w:rPr>
              <w:t>a pipe or other constructed conveyance which conveys sewage, rainwater, surface water, subsurface water, or similar liquid wastes:</w:t>
            </w:r>
          </w:p>
        </w:tc>
      </w:tr>
      <w:tr w:rsidR="006E50FF" w:rsidRPr="006E50FF" w14:paraId="21B3F47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9DEA800"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DDFDD32"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0358ECD" w14:textId="77777777" w:rsidR="006E50FF" w:rsidRPr="006E50FF" w:rsidRDefault="006E50FF" w:rsidP="006E50FF">
            <w:pPr>
              <w:ind w:left="91" w:right="90"/>
              <w:rPr>
                <w:sz w:val="16"/>
                <w:szCs w:val="16"/>
              </w:rPr>
            </w:pPr>
            <w:r w:rsidRPr="006E50FF">
              <w:rPr>
                <w:sz w:val="16"/>
                <w:szCs w:val="16"/>
              </w:rPr>
              <w:t>1. building sewer—see “building sewer”;</w:t>
            </w:r>
          </w:p>
        </w:tc>
      </w:tr>
      <w:tr w:rsidR="006E50FF" w:rsidRPr="006E50FF" w14:paraId="1CAAA7A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FB6303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B6515BB"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FFFA004" w14:textId="77777777" w:rsidR="006E50FF" w:rsidRPr="006E50FF" w:rsidRDefault="006E50FF" w:rsidP="006E50FF">
            <w:pPr>
              <w:ind w:left="91" w:right="90"/>
              <w:rPr>
                <w:sz w:val="16"/>
                <w:szCs w:val="16"/>
              </w:rPr>
            </w:pPr>
            <w:r w:rsidRPr="006E50FF">
              <w:rPr>
                <w:sz w:val="16"/>
                <w:szCs w:val="16"/>
              </w:rPr>
              <w:t>2. public sewer—a common sewer directly controlled by a public authority or utilized by the public;</w:t>
            </w:r>
          </w:p>
        </w:tc>
      </w:tr>
      <w:tr w:rsidR="006E50FF" w:rsidRPr="006E50FF" w14:paraId="4A9E904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9EF52BD"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D461405"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47AEB38" w14:textId="77777777" w:rsidR="006E50FF" w:rsidRPr="006E50FF" w:rsidRDefault="006E50FF" w:rsidP="006E50FF">
            <w:pPr>
              <w:ind w:left="91" w:right="90"/>
              <w:rPr>
                <w:sz w:val="16"/>
                <w:szCs w:val="16"/>
              </w:rPr>
            </w:pPr>
            <w:r w:rsidRPr="006E50FF">
              <w:rPr>
                <w:sz w:val="16"/>
                <w:szCs w:val="16"/>
              </w:rPr>
              <w:t>3. sanitary sewer—a sewer that carries sewage and excludes storm, surface and ground water;</w:t>
            </w:r>
          </w:p>
        </w:tc>
      </w:tr>
      <w:tr w:rsidR="006E50FF" w:rsidRPr="006E50FF" w14:paraId="0E5FD79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0127BF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02B8496"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08A22A4" w14:textId="77777777" w:rsidR="006E50FF" w:rsidRPr="006E50FF" w:rsidRDefault="006E50FF" w:rsidP="006E50FF">
            <w:pPr>
              <w:ind w:left="91" w:right="90"/>
              <w:rPr>
                <w:sz w:val="16"/>
                <w:szCs w:val="16"/>
              </w:rPr>
            </w:pPr>
            <w:r w:rsidRPr="006E50FF">
              <w:rPr>
                <w:sz w:val="16"/>
                <w:szCs w:val="16"/>
              </w:rPr>
              <w:t>4. storm sewer—a sewer that conveys rainwater, surface water, subsurface water and similar liquid wastes.</w:t>
            </w:r>
          </w:p>
        </w:tc>
      </w:tr>
      <w:tr w:rsidR="006E50FF" w:rsidRPr="006E50FF" w14:paraId="2857E1C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DDF099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0807745" w14:textId="77777777" w:rsidR="006E50FF" w:rsidRPr="006E50FF" w:rsidRDefault="006E50FF" w:rsidP="006E50FF">
            <w:pPr>
              <w:ind w:left="96" w:right="58"/>
              <w:rPr>
                <w:i/>
                <w:sz w:val="16"/>
                <w:szCs w:val="16"/>
              </w:rPr>
            </w:pPr>
            <w:r w:rsidRPr="006E50FF">
              <w:rPr>
                <w:i/>
                <w:sz w:val="16"/>
                <w:szCs w:val="16"/>
              </w:rPr>
              <w:t>Sewerage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1B6C647D" w14:textId="77777777" w:rsidR="006E50FF" w:rsidRPr="006E50FF" w:rsidRDefault="006E50FF" w:rsidP="006E50FF">
            <w:pPr>
              <w:ind w:left="91" w:right="90"/>
              <w:rPr>
                <w:sz w:val="16"/>
                <w:szCs w:val="16"/>
              </w:rPr>
            </w:pPr>
            <w:r w:rsidRPr="006E50FF">
              <w:rPr>
                <w:sz w:val="16"/>
                <w:szCs w:val="16"/>
              </w:rPr>
              <w:t>any system of piping (excluding the building drain and building sewer) and/or collection and/or transport system and/or pumping facility and/or treatment facility, all for the purpose of collecting, transporting, pumping, treating and/or disposing of sanitary sewage.</w:t>
            </w:r>
          </w:p>
        </w:tc>
      </w:tr>
      <w:tr w:rsidR="006E50FF" w:rsidRPr="006E50FF" w14:paraId="201E5B0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E7C9ADB" w14:textId="77777777" w:rsidR="006E50FF" w:rsidRPr="006E50FF" w:rsidRDefault="006E50FF" w:rsidP="006E50FF">
            <w:pPr>
              <w:jc w:val="center"/>
              <w:rPr>
                <w:spacing w:val="-2"/>
                <w:sz w:val="16"/>
                <w:szCs w:val="16"/>
              </w:rPr>
            </w:pPr>
            <w:r w:rsidRPr="006E50FF">
              <w:rPr>
                <w:spacing w:val="-2"/>
                <w:sz w:val="16"/>
                <w:szCs w:val="16"/>
              </w:rPr>
              <w:lastRenderedPageBreak/>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4D930F" w14:textId="77777777" w:rsidR="006E50FF" w:rsidRPr="006E50FF" w:rsidRDefault="006E50FF" w:rsidP="006E50FF">
            <w:pPr>
              <w:ind w:left="96" w:right="58"/>
              <w:rPr>
                <w:i/>
                <w:sz w:val="16"/>
                <w:szCs w:val="16"/>
              </w:rPr>
            </w:pPr>
            <w:r w:rsidRPr="006E50FF">
              <w:rPr>
                <w:i/>
                <w:sz w:val="16"/>
                <w:szCs w:val="16"/>
              </w:rPr>
              <w:t>Water Bottle Filling Station</w:t>
            </w:r>
          </w:p>
        </w:tc>
        <w:tc>
          <w:tcPr>
            <w:tcW w:w="7043" w:type="dxa"/>
            <w:gridSpan w:val="2"/>
            <w:tcBorders>
              <w:top w:val="single" w:sz="6" w:space="0" w:color="000000"/>
              <w:left w:val="single" w:sz="6" w:space="0" w:color="000000"/>
              <w:bottom w:val="single" w:sz="6" w:space="0" w:color="000000"/>
              <w:right w:val="single" w:sz="6" w:space="0" w:color="000000"/>
            </w:tcBorders>
          </w:tcPr>
          <w:p w14:paraId="440F7593" w14:textId="77777777" w:rsidR="006E50FF" w:rsidRPr="006E50FF" w:rsidRDefault="006E50FF" w:rsidP="006E50FF">
            <w:pPr>
              <w:ind w:left="91" w:right="90"/>
              <w:rPr>
                <w:sz w:val="16"/>
                <w:szCs w:val="16"/>
              </w:rPr>
            </w:pPr>
            <w:r w:rsidRPr="006E50FF">
              <w:rPr>
                <w:sz w:val="16"/>
                <w:szCs w:val="16"/>
              </w:rPr>
              <w:t>A water dispenser, accessible to all people in compliance with the federal Americans with Disabilities Act of 1990 that dispenses clean drinking water directly into a bottle or other drinking container. A water bottle filling station shall be considered a drinking fountain for purposes of the International Plumbing Code, as incorporated within the State Uniform Construction Code.</w:t>
            </w:r>
          </w:p>
        </w:tc>
      </w:tr>
      <w:tr w:rsidR="006E50FF" w:rsidRPr="006E50FF" w14:paraId="4D18B1E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797C29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411C00D" w14:textId="77777777" w:rsidR="006E50FF" w:rsidRPr="006E50FF" w:rsidRDefault="006E50FF" w:rsidP="006E50FF">
            <w:pPr>
              <w:ind w:left="96" w:right="58"/>
              <w:rPr>
                <w:i/>
                <w:sz w:val="16"/>
                <w:szCs w:val="16"/>
              </w:rPr>
            </w:pPr>
            <w:r w:rsidRPr="006E50FF">
              <w:rPr>
                <w:i/>
                <w:sz w:val="16"/>
                <w:szCs w:val="16"/>
              </w:rPr>
              <w:t>Water Main</w:t>
            </w:r>
          </w:p>
        </w:tc>
        <w:tc>
          <w:tcPr>
            <w:tcW w:w="7043" w:type="dxa"/>
            <w:gridSpan w:val="2"/>
            <w:tcBorders>
              <w:top w:val="single" w:sz="6" w:space="0" w:color="000000"/>
              <w:left w:val="single" w:sz="6" w:space="0" w:color="000000"/>
              <w:bottom w:val="single" w:sz="6" w:space="0" w:color="000000"/>
              <w:right w:val="single" w:sz="6" w:space="0" w:color="000000"/>
            </w:tcBorders>
          </w:tcPr>
          <w:p w14:paraId="58018358" w14:textId="77777777" w:rsidR="006E50FF" w:rsidRPr="006E50FF" w:rsidRDefault="006E50FF" w:rsidP="006E50FF">
            <w:pPr>
              <w:ind w:left="91" w:right="90"/>
              <w:rPr>
                <w:sz w:val="16"/>
                <w:szCs w:val="16"/>
              </w:rPr>
            </w:pPr>
            <w:r w:rsidRPr="006E50FF">
              <w:rPr>
                <w:sz w:val="16"/>
                <w:szCs w:val="16"/>
              </w:rPr>
              <w:t>a water supply pipe or system of pipes installed and maintained by a city, township, county, public utility company or other public entity, on public property, in the street or in an approved dedicated easement of public or community use. This term shall also mean the principal artery (or arteries) used for the distribution of potable water to consumers by any water supplier including, but not limited to, those public water systems which are not owned by the public and which may not be on public property.</w:t>
            </w:r>
          </w:p>
        </w:tc>
      </w:tr>
      <w:tr w:rsidR="006E50FF" w:rsidRPr="006E50FF" w14:paraId="4AC2B0D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76D596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90AF179" w14:textId="77777777" w:rsidR="006E50FF" w:rsidRPr="006E50FF" w:rsidRDefault="006E50FF" w:rsidP="006E50FF">
            <w:pPr>
              <w:ind w:left="96" w:right="58"/>
              <w:rPr>
                <w:i/>
                <w:sz w:val="16"/>
                <w:szCs w:val="16"/>
              </w:rPr>
            </w:pPr>
            <w:r w:rsidRPr="006E50FF">
              <w:rPr>
                <w:i/>
                <w:sz w:val="16"/>
                <w:szCs w:val="16"/>
              </w:rPr>
              <w:t>Water Supplier</w:t>
            </w:r>
          </w:p>
        </w:tc>
        <w:tc>
          <w:tcPr>
            <w:tcW w:w="7043" w:type="dxa"/>
            <w:gridSpan w:val="2"/>
            <w:tcBorders>
              <w:top w:val="single" w:sz="6" w:space="0" w:color="000000"/>
              <w:left w:val="single" w:sz="6" w:space="0" w:color="000000"/>
              <w:bottom w:val="single" w:sz="6" w:space="0" w:color="000000"/>
              <w:right w:val="single" w:sz="6" w:space="0" w:color="000000"/>
            </w:tcBorders>
          </w:tcPr>
          <w:p w14:paraId="43DE85E0" w14:textId="77777777" w:rsidR="006E50FF" w:rsidRPr="006E50FF" w:rsidRDefault="006E50FF" w:rsidP="006E50FF">
            <w:pPr>
              <w:ind w:left="91" w:right="90"/>
              <w:rPr>
                <w:sz w:val="16"/>
                <w:szCs w:val="16"/>
              </w:rPr>
            </w:pPr>
            <w:r w:rsidRPr="006E50FF">
              <w:rPr>
                <w:sz w:val="16"/>
                <w:szCs w:val="16"/>
              </w:rPr>
              <w:t>a person who owns or operates a water supply system including, but not limited to, a person who owns or operates a public water system.</w:t>
            </w:r>
          </w:p>
        </w:tc>
      </w:tr>
      <w:tr w:rsidR="006E50FF" w:rsidRPr="006E50FF" w14:paraId="5DEA388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A066F50"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3E90FAD" w14:textId="77777777" w:rsidR="006E50FF" w:rsidRPr="006E50FF" w:rsidRDefault="006E50FF" w:rsidP="006E50FF">
            <w:pPr>
              <w:ind w:left="96" w:right="58"/>
              <w:rPr>
                <w:i/>
                <w:sz w:val="16"/>
                <w:szCs w:val="16"/>
              </w:rPr>
            </w:pPr>
            <w:r w:rsidRPr="006E50FF">
              <w:rPr>
                <w:i/>
                <w:sz w:val="16"/>
                <w:szCs w:val="16"/>
              </w:rPr>
              <w:t>Water Supply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2F0B41DB" w14:textId="77777777" w:rsidR="006E50FF" w:rsidRPr="006E50FF" w:rsidRDefault="006E50FF" w:rsidP="006E50FF">
            <w:pPr>
              <w:ind w:left="91" w:right="90"/>
              <w:rPr>
                <w:sz w:val="16"/>
                <w:szCs w:val="16"/>
              </w:rPr>
            </w:pPr>
            <w:r w:rsidRPr="006E50FF">
              <w:rPr>
                <w:sz w:val="16"/>
                <w:szCs w:val="16"/>
              </w:rPr>
              <w:t>the water service pipe, water distribution pipes, and the necessary connecting pipes, fittings, control valves and all appurtenances in or adjacent to the structure or premise. This term shall also mean the system of pipes or other constructed conveyances, structures and facilities through which water is obtained, treated to make it potable (if necessary) and then distributed (with or without charge) for human consumption or other use.</w:t>
            </w:r>
          </w:p>
        </w:tc>
      </w:tr>
      <w:tr w:rsidR="006E50FF" w:rsidRPr="006E50FF" w14:paraId="624AF99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D86DE24"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3A050224" w14:textId="77777777" w:rsidR="006E50FF" w:rsidRPr="006E50FF" w:rsidRDefault="006E50FF" w:rsidP="006E50FF">
            <w:pPr>
              <w:ind w:left="96" w:right="58"/>
              <w:rPr>
                <w:i/>
                <w:sz w:val="16"/>
                <w:szCs w:val="16"/>
              </w:rPr>
            </w:pPr>
            <w:r w:rsidRPr="006E50FF">
              <w:rPr>
                <w:i/>
                <w:sz w:val="16"/>
                <w:szCs w:val="16"/>
              </w:rPr>
              <w:t>Well-Bored</w:t>
            </w:r>
          </w:p>
        </w:tc>
        <w:tc>
          <w:tcPr>
            <w:tcW w:w="7043" w:type="dxa"/>
            <w:gridSpan w:val="2"/>
            <w:tcBorders>
              <w:top w:val="single" w:sz="6" w:space="0" w:color="000000"/>
              <w:left w:val="single" w:sz="6" w:space="0" w:color="000000"/>
              <w:bottom w:val="single" w:sz="6" w:space="0" w:color="000000"/>
              <w:right w:val="single" w:sz="6" w:space="0" w:color="000000"/>
            </w:tcBorders>
          </w:tcPr>
          <w:p w14:paraId="6D2FEAAE" w14:textId="77777777" w:rsidR="006E50FF" w:rsidRPr="006E50FF" w:rsidRDefault="006E50FF" w:rsidP="006E50FF">
            <w:pPr>
              <w:ind w:left="91" w:right="90"/>
              <w:rPr>
                <w:sz w:val="16"/>
                <w:szCs w:val="16"/>
              </w:rPr>
            </w:pPr>
            <w:r w:rsidRPr="006E50FF">
              <w:rPr>
                <w:sz w:val="16"/>
                <w:szCs w:val="16"/>
              </w:rPr>
              <w:t>a well constructed by boring a hole in the ground with an auger and installing a casing.</w:t>
            </w:r>
          </w:p>
        </w:tc>
      </w:tr>
      <w:tr w:rsidR="006E50FF" w:rsidRPr="006E50FF" w14:paraId="4C6C121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56E528"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2DA229AA" w14:textId="77777777" w:rsidR="006E50FF" w:rsidRPr="006E50FF" w:rsidRDefault="006E50FF" w:rsidP="006E50FF">
            <w:pPr>
              <w:ind w:left="96" w:right="58"/>
              <w:rPr>
                <w:i/>
                <w:sz w:val="16"/>
                <w:szCs w:val="16"/>
              </w:rPr>
            </w:pPr>
            <w:r w:rsidRPr="006E50FF">
              <w:rPr>
                <w:i/>
                <w:sz w:val="16"/>
                <w:szCs w:val="16"/>
              </w:rPr>
              <w:t>Well-Drilled</w:t>
            </w:r>
          </w:p>
        </w:tc>
        <w:tc>
          <w:tcPr>
            <w:tcW w:w="7043" w:type="dxa"/>
            <w:gridSpan w:val="2"/>
            <w:tcBorders>
              <w:top w:val="single" w:sz="6" w:space="0" w:color="000000"/>
              <w:left w:val="single" w:sz="6" w:space="0" w:color="000000"/>
              <w:bottom w:val="single" w:sz="6" w:space="0" w:color="000000"/>
              <w:right w:val="single" w:sz="6" w:space="0" w:color="000000"/>
            </w:tcBorders>
          </w:tcPr>
          <w:p w14:paraId="41253B98" w14:textId="77777777" w:rsidR="006E50FF" w:rsidRPr="006E50FF" w:rsidRDefault="006E50FF" w:rsidP="006E50FF">
            <w:pPr>
              <w:ind w:left="91" w:right="90"/>
              <w:rPr>
                <w:sz w:val="16"/>
                <w:szCs w:val="16"/>
              </w:rPr>
            </w:pPr>
            <w:r w:rsidRPr="006E50FF">
              <w:rPr>
                <w:sz w:val="16"/>
                <w:szCs w:val="16"/>
              </w:rPr>
              <w:t>a well constructed by making a hole in the ground with a drilling machine of any type and installing a casing and screen.</w:t>
            </w:r>
          </w:p>
        </w:tc>
      </w:tr>
      <w:tr w:rsidR="006E50FF" w:rsidRPr="006E50FF" w14:paraId="235A2AE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8FE7DA1"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062666B4" w14:textId="77777777" w:rsidR="006E50FF" w:rsidRPr="006E50FF" w:rsidRDefault="006E50FF" w:rsidP="006E50FF">
            <w:pPr>
              <w:ind w:left="96" w:right="58"/>
              <w:rPr>
                <w:i/>
                <w:sz w:val="16"/>
                <w:szCs w:val="16"/>
              </w:rPr>
            </w:pPr>
            <w:r w:rsidRPr="006E50FF">
              <w:rPr>
                <w:i/>
                <w:sz w:val="16"/>
                <w:szCs w:val="16"/>
              </w:rPr>
              <w:t>Well-Driven</w:t>
            </w:r>
          </w:p>
        </w:tc>
        <w:tc>
          <w:tcPr>
            <w:tcW w:w="7043" w:type="dxa"/>
            <w:gridSpan w:val="2"/>
            <w:tcBorders>
              <w:top w:val="single" w:sz="6" w:space="0" w:color="000000"/>
              <w:left w:val="single" w:sz="6" w:space="0" w:color="000000"/>
              <w:bottom w:val="single" w:sz="6" w:space="0" w:color="000000"/>
              <w:right w:val="single" w:sz="6" w:space="0" w:color="000000"/>
            </w:tcBorders>
          </w:tcPr>
          <w:p w14:paraId="0A3EB95F" w14:textId="77777777" w:rsidR="006E50FF" w:rsidRPr="006E50FF" w:rsidRDefault="006E50FF" w:rsidP="006E50FF">
            <w:pPr>
              <w:ind w:left="91" w:right="90"/>
              <w:rPr>
                <w:sz w:val="16"/>
                <w:szCs w:val="16"/>
              </w:rPr>
            </w:pPr>
            <w:r w:rsidRPr="006E50FF">
              <w:rPr>
                <w:sz w:val="16"/>
                <w:szCs w:val="16"/>
              </w:rPr>
              <w:t>a well constructed by driving a pipe in the ground. The drive pipe is usually fitted with a well point and screen.</w:t>
            </w:r>
          </w:p>
        </w:tc>
      </w:tr>
      <w:tr w:rsidR="006E50FF" w:rsidRPr="006E50FF" w14:paraId="2390C26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52CE55D"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36680DE2" w14:textId="77777777" w:rsidR="006E50FF" w:rsidRPr="006E50FF" w:rsidRDefault="006E50FF" w:rsidP="006E50FF">
            <w:pPr>
              <w:ind w:left="96" w:right="58"/>
              <w:rPr>
                <w:i/>
                <w:sz w:val="16"/>
                <w:szCs w:val="16"/>
              </w:rPr>
            </w:pPr>
            <w:r w:rsidRPr="006E50FF">
              <w:rPr>
                <w:i/>
                <w:sz w:val="16"/>
                <w:szCs w:val="16"/>
              </w:rPr>
              <w:t>Well-Dug</w:t>
            </w:r>
          </w:p>
        </w:tc>
        <w:tc>
          <w:tcPr>
            <w:tcW w:w="7043" w:type="dxa"/>
            <w:gridSpan w:val="2"/>
            <w:tcBorders>
              <w:top w:val="single" w:sz="6" w:space="0" w:color="000000"/>
              <w:left w:val="single" w:sz="6" w:space="0" w:color="000000"/>
              <w:bottom w:val="single" w:sz="6" w:space="0" w:color="000000"/>
              <w:right w:val="single" w:sz="6" w:space="0" w:color="000000"/>
            </w:tcBorders>
          </w:tcPr>
          <w:p w14:paraId="50E95C8F" w14:textId="77777777" w:rsidR="006E50FF" w:rsidRPr="006E50FF" w:rsidRDefault="006E50FF" w:rsidP="006E50FF">
            <w:pPr>
              <w:ind w:left="91" w:right="90"/>
              <w:rPr>
                <w:sz w:val="16"/>
                <w:szCs w:val="16"/>
              </w:rPr>
            </w:pPr>
            <w:r w:rsidRPr="006E50FF">
              <w:rPr>
                <w:sz w:val="16"/>
                <w:szCs w:val="16"/>
              </w:rPr>
              <w:t>a well constructed by excavating a large-diameter shaft and installing a casing.</w:t>
            </w:r>
          </w:p>
        </w:tc>
      </w:tr>
      <w:tr w:rsidR="006E50FF" w:rsidRPr="006E50FF" w14:paraId="3C91699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37EA4D7"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C868128" w14:textId="77777777" w:rsidR="006E50FF" w:rsidRPr="006E50FF" w:rsidRDefault="006E50FF" w:rsidP="006E50FF">
            <w:pPr>
              <w:ind w:left="96" w:right="58"/>
              <w:rPr>
                <w:iCs/>
                <w:sz w:val="16"/>
                <w:szCs w:val="16"/>
              </w:rPr>
            </w:pPr>
            <w:r w:rsidRPr="006E50FF">
              <w:rPr>
                <w:iCs/>
                <w:sz w:val="16"/>
                <w:szCs w:val="16"/>
              </w:rPr>
              <w:t>Chapter 3, General Regulations.</w:t>
            </w:r>
          </w:p>
        </w:tc>
        <w:tc>
          <w:tcPr>
            <w:tcW w:w="7043" w:type="dxa"/>
            <w:gridSpan w:val="2"/>
            <w:tcBorders>
              <w:top w:val="single" w:sz="6" w:space="0" w:color="000000"/>
              <w:left w:val="single" w:sz="6" w:space="0" w:color="000000"/>
              <w:bottom w:val="single" w:sz="6" w:space="0" w:color="000000"/>
              <w:right w:val="single" w:sz="6" w:space="0" w:color="000000"/>
            </w:tcBorders>
          </w:tcPr>
          <w:p w14:paraId="3F15A616" w14:textId="77777777" w:rsidR="006E50FF" w:rsidRPr="006E50FF" w:rsidRDefault="006E50FF" w:rsidP="006E50FF">
            <w:pPr>
              <w:ind w:left="91" w:right="90"/>
              <w:rPr>
                <w:sz w:val="16"/>
                <w:szCs w:val="16"/>
              </w:rPr>
            </w:pPr>
          </w:p>
        </w:tc>
      </w:tr>
      <w:tr w:rsidR="006E50FF" w:rsidRPr="006E50FF" w14:paraId="69BB510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18BB5C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7C91517" w14:textId="77777777" w:rsidR="006E50FF" w:rsidRPr="006E50FF" w:rsidRDefault="006E50FF" w:rsidP="006E50FF">
            <w:pPr>
              <w:ind w:left="96" w:right="58"/>
              <w:rPr>
                <w:iCs/>
                <w:sz w:val="16"/>
                <w:szCs w:val="16"/>
              </w:rPr>
            </w:pPr>
            <w:r w:rsidRPr="006E50FF">
              <w:rPr>
                <w:iCs/>
                <w:sz w:val="16"/>
                <w:szCs w:val="16"/>
              </w:rPr>
              <w:t>Section 301.6.</w:t>
            </w:r>
          </w:p>
        </w:tc>
        <w:tc>
          <w:tcPr>
            <w:tcW w:w="7043" w:type="dxa"/>
            <w:gridSpan w:val="2"/>
            <w:tcBorders>
              <w:top w:val="single" w:sz="6" w:space="0" w:color="000000"/>
              <w:left w:val="single" w:sz="6" w:space="0" w:color="000000"/>
              <w:bottom w:val="single" w:sz="6" w:space="0" w:color="000000"/>
              <w:right w:val="single" w:sz="6" w:space="0" w:color="000000"/>
            </w:tcBorders>
          </w:tcPr>
          <w:p w14:paraId="583AFAFB" w14:textId="77777777" w:rsidR="006E50FF" w:rsidRPr="006E50FF" w:rsidRDefault="006E50FF" w:rsidP="006E50FF">
            <w:pPr>
              <w:ind w:left="91" w:right="90"/>
              <w:rPr>
                <w:sz w:val="16"/>
                <w:szCs w:val="16"/>
              </w:rPr>
            </w:pPr>
          </w:p>
        </w:tc>
      </w:tr>
      <w:tr w:rsidR="006E50FF" w:rsidRPr="006E50FF" w14:paraId="45965B1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220CF03"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FB292E3"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10B9DE6B" w14:textId="77777777" w:rsidR="006E50FF" w:rsidRPr="006E50FF" w:rsidRDefault="006E50FF" w:rsidP="006E50FF">
            <w:pPr>
              <w:ind w:left="91" w:right="90"/>
              <w:rPr>
                <w:sz w:val="16"/>
                <w:szCs w:val="16"/>
              </w:rPr>
            </w:pPr>
          </w:p>
        </w:tc>
      </w:tr>
      <w:tr w:rsidR="006E50FF" w:rsidRPr="006E50FF" w14:paraId="3E5ACD9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430EE8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43C5A5C"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2A634BAC" w14:textId="77777777" w:rsidR="006E50FF" w:rsidRPr="006E50FF" w:rsidRDefault="006E50FF" w:rsidP="006E50FF">
            <w:pPr>
              <w:ind w:left="91" w:right="90"/>
              <w:rPr>
                <w:sz w:val="16"/>
                <w:szCs w:val="16"/>
              </w:rPr>
            </w:pPr>
            <w:r w:rsidRPr="006E50FF">
              <w:rPr>
                <w:sz w:val="16"/>
                <w:szCs w:val="16"/>
              </w:rPr>
              <w:t>Sumps may drain to exterior of building, storm drain or other means when approved by the authority having jurisdiction.</w:t>
            </w:r>
          </w:p>
        </w:tc>
      </w:tr>
      <w:tr w:rsidR="006E50FF" w:rsidRPr="006E50FF" w14:paraId="5157A40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C8D037A"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8CB23F5" w14:textId="77777777" w:rsidR="006E50FF" w:rsidRPr="006E50FF" w:rsidRDefault="006E50FF" w:rsidP="006E50FF">
            <w:pPr>
              <w:ind w:left="96" w:right="58"/>
              <w:rPr>
                <w:iCs/>
                <w:sz w:val="16"/>
                <w:szCs w:val="16"/>
              </w:rPr>
            </w:pPr>
            <w:r w:rsidRPr="006E50FF">
              <w:rPr>
                <w:iCs/>
                <w:sz w:val="16"/>
                <w:szCs w:val="16"/>
              </w:rPr>
              <w:t>Section 312.1, Required Tests.</w:t>
            </w:r>
          </w:p>
        </w:tc>
        <w:tc>
          <w:tcPr>
            <w:tcW w:w="7043" w:type="dxa"/>
            <w:gridSpan w:val="2"/>
            <w:tcBorders>
              <w:top w:val="single" w:sz="6" w:space="0" w:color="000000"/>
              <w:left w:val="single" w:sz="6" w:space="0" w:color="000000"/>
              <w:bottom w:val="single" w:sz="6" w:space="0" w:color="000000"/>
              <w:right w:val="single" w:sz="6" w:space="0" w:color="000000"/>
            </w:tcBorders>
          </w:tcPr>
          <w:p w14:paraId="742F302A" w14:textId="77777777" w:rsidR="006E50FF" w:rsidRPr="006E50FF" w:rsidRDefault="006E50FF" w:rsidP="006E50FF">
            <w:pPr>
              <w:ind w:left="91" w:right="90"/>
              <w:rPr>
                <w:sz w:val="16"/>
                <w:szCs w:val="16"/>
              </w:rPr>
            </w:pPr>
            <w:r w:rsidRPr="006E50FF">
              <w:rPr>
                <w:sz w:val="16"/>
                <w:szCs w:val="16"/>
              </w:rPr>
              <w:t>The permit holder shall make the applicable tests prescribed in Sections 312.2 through 312.10 to determine compliance with the provisions of this code. The permit holder shall give reasonable advance notice to the code official when the plumbing work is ready for tests. The code official shall verify the test results. The equipment, material, power and labor necessary for the inspection and test shall be furnished by the permit holder and the permit holder shall be responsible for determining that the work will withstand the test pressure prescribed in the following tests. All plumbing system piping shall be tested with either water or by air. After the plumbing fixtures have been set and their traps filled with water, the entire drainage system shall be submitted to final tests. The code official shall require the removal of any cleanouts if necessary to ascertain whether the pressure has reached all parts of the system.</w:t>
            </w:r>
          </w:p>
        </w:tc>
      </w:tr>
      <w:tr w:rsidR="006E50FF" w:rsidRPr="006E50FF" w14:paraId="7B1221F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A3BB82B"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015227C" w14:textId="77777777" w:rsidR="006E50FF" w:rsidRPr="006E50FF" w:rsidRDefault="006E50FF" w:rsidP="006E50FF">
            <w:pPr>
              <w:ind w:left="96" w:right="58"/>
              <w:rPr>
                <w:iCs/>
                <w:sz w:val="16"/>
                <w:szCs w:val="16"/>
              </w:rPr>
            </w:pPr>
            <w:r w:rsidRPr="006E50FF">
              <w:rPr>
                <w:iCs/>
                <w:sz w:val="16"/>
                <w:szCs w:val="16"/>
              </w:rPr>
              <w:t>Section 312.3, Drainage and Vent Test.</w:t>
            </w:r>
          </w:p>
        </w:tc>
        <w:tc>
          <w:tcPr>
            <w:tcW w:w="7043" w:type="dxa"/>
            <w:gridSpan w:val="2"/>
            <w:tcBorders>
              <w:top w:val="single" w:sz="6" w:space="0" w:color="000000"/>
              <w:left w:val="single" w:sz="6" w:space="0" w:color="000000"/>
              <w:bottom w:val="single" w:sz="6" w:space="0" w:color="000000"/>
              <w:right w:val="single" w:sz="6" w:space="0" w:color="000000"/>
            </w:tcBorders>
          </w:tcPr>
          <w:p w14:paraId="55D8D938" w14:textId="77777777" w:rsidR="006E50FF" w:rsidRPr="006E50FF" w:rsidRDefault="006E50FF" w:rsidP="006E50FF">
            <w:pPr>
              <w:ind w:left="91" w:right="90"/>
              <w:rPr>
                <w:sz w:val="16"/>
                <w:szCs w:val="16"/>
              </w:rPr>
            </w:pPr>
            <w:r w:rsidRPr="006E50FF">
              <w:rPr>
                <w:sz w:val="16"/>
                <w:szCs w:val="16"/>
              </w:rPr>
              <w:t>An air test shall be made by forcing air into the system until there is a uniform gauge pressure of 5 psi (34.5 kPa) or sufficient to balance a 10-inch (254 mm) column of mercury. This pressure shall be held for a test period of not less than 15 minutes. Any adjustments to the test pressure required because of changes in ambient temperatures or the seating of gaskets shall be made prior to the beginning of the test period.</w:t>
            </w:r>
          </w:p>
        </w:tc>
      </w:tr>
      <w:tr w:rsidR="006E50FF" w:rsidRPr="006E50FF" w14:paraId="4D3A1DA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1AD0A46"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66FCC4F" w14:textId="77777777" w:rsidR="006E50FF" w:rsidRPr="006E50FF" w:rsidRDefault="006E50FF" w:rsidP="006E50FF">
            <w:pPr>
              <w:ind w:left="96" w:right="58"/>
              <w:rPr>
                <w:iCs/>
                <w:sz w:val="16"/>
                <w:szCs w:val="16"/>
              </w:rPr>
            </w:pPr>
            <w:r w:rsidRPr="006E50FF">
              <w:rPr>
                <w:iCs/>
                <w:sz w:val="16"/>
                <w:szCs w:val="16"/>
              </w:rPr>
              <w:t>Section 312.5, Water Supply System Test.</w:t>
            </w:r>
          </w:p>
        </w:tc>
        <w:tc>
          <w:tcPr>
            <w:tcW w:w="7043" w:type="dxa"/>
            <w:gridSpan w:val="2"/>
            <w:tcBorders>
              <w:top w:val="single" w:sz="6" w:space="0" w:color="000000"/>
              <w:left w:val="single" w:sz="6" w:space="0" w:color="000000"/>
              <w:bottom w:val="single" w:sz="6" w:space="0" w:color="000000"/>
              <w:right w:val="single" w:sz="6" w:space="0" w:color="000000"/>
            </w:tcBorders>
          </w:tcPr>
          <w:p w14:paraId="69FDEB55" w14:textId="77777777" w:rsidR="006E50FF" w:rsidRPr="006E50FF" w:rsidRDefault="006E50FF" w:rsidP="006E50FF">
            <w:pPr>
              <w:ind w:left="91" w:right="90"/>
              <w:rPr>
                <w:sz w:val="16"/>
                <w:szCs w:val="16"/>
              </w:rPr>
            </w:pPr>
            <w:r w:rsidRPr="006E50FF">
              <w:rPr>
                <w:sz w:val="16"/>
                <w:szCs w:val="16"/>
              </w:rPr>
              <w:t>Upon completion of a section of or the entire water supply system, during the rough-in inspection, the system, or portion completed, shall be tested and proved tight under a hydrostatic water pressure not less than 1.5 times the working pressure of the system, but not less than 140 psi; or, for piping systems other than plastic, by an air test of not less than 50 psi (344 kPa). This pressure shall be held for not less than 15 minutes. The water utilized for tests shall be obtained from a potable source of supply. The required tests shall be performed in accordance with this section and Section 112</w:t>
            </w:r>
          </w:p>
        </w:tc>
      </w:tr>
      <w:tr w:rsidR="006E50FF" w:rsidRPr="006E50FF" w14:paraId="6470DD7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9908096"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7A1CA11" w14:textId="77777777" w:rsidR="006E50FF" w:rsidRPr="006E50FF" w:rsidRDefault="006E50FF" w:rsidP="006E50FF">
            <w:pPr>
              <w:ind w:left="96" w:right="58"/>
              <w:rPr>
                <w:iCs/>
                <w:sz w:val="16"/>
                <w:szCs w:val="16"/>
              </w:rPr>
            </w:pPr>
            <w:r w:rsidRPr="006E50FF">
              <w:rPr>
                <w:iCs/>
                <w:sz w:val="16"/>
                <w:szCs w:val="16"/>
              </w:rPr>
              <w:t>Section 312.10 Installation, Inspection and Testing of Backflow Prevention Assemblies,</w:t>
            </w:r>
          </w:p>
          <w:p w14:paraId="24D1C445" w14:textId="77777777" w:rsidR="006E50FF" w:rsidRPr="006E50FF" w:rsidRDefault="006E50FF" w:rsidP="006E50FF">
            <w:pPr>
              <w:ind w:left="96" w:right="58"/>
              <w:rPr>
                <w:iCs/>
                <w:sz w:val="16"/>
                <w:szCs w:val="16"/>
              </w:rPr>
            </w:pPr>
            <w:r w:rsidRPr="006E50FF">
              <w:rPr>
                <w:iCs/>
                <w:sz w:val="16"/>
                <w:szCs w:val="16"/>
              </w:rPr>
              <w:t>Barometric Loops and Air Gaps.</w:t>
            </w:r>
          </w:p>
        </w:tc>
        <w:tc>
          <w:tcPr>
            <w:tcW w:w="7043" w:type="dxa"/>
            <w:gridSpan w:val="2"/>
            <w:tcBorders>
              <w:top w:val="single" w:sz="6" w:space="0" w:color="000000"/>
              <w:left w:val="single" w:sz="6" w:space="0" w:color="000000"/>
              <w:bottom w:val="single" w:sz="6" w:space="0" w:color="000000"/>
              <w:right w:val="single" w:sz="6" w:space="0" w:color="000000"/>
            </w:tcBorders>
          </w:tcPr>
          <w:p w14:paraId="1E635998" w14:textId="77777777" w:rsidR="006E50FF" w:rsidRPr="006E50FF" w:rsidRDefault="006E50FF" w:rsidP="006E50FF">
            <w:pPr>
              <w:ind w:left="91" w:right="90"/>
              <w:rPr>
                <w:sz w:val="16"/>
                <w:szCs w:val="16"/>
              </w:rPr>
            </w:pPr>
            <w:r w:rsidRPr="006E50FF">
              <w:rPr>
                <w:sz w:val="16"/>
                <w:szCs w:val="16"/>
              </w:rPr>
              <w:t>Installation, inspection and testing shall comply with Sections 312.10.1 through 312.10.3.</w:t>
            </w:r>
          </w:p>
        </w:tc>
      </w:tr>
      <w:tr w:rsidR="006E50FF" w:rsidRPr="006E50FF" w14:paraId="46D948E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8ED998A"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E282584" w14:textId="77777777" w:rsidR="006E50FF" w:rsidRPr="006E50FF" w:rsidRDefault="006E50FF" w:rsidP="006E50FF">
            <w:pPr>
              <w:ind w:left="96" w:right="58"/>
              <w:rPr>
                <w:iCs/>
                <w:sz w:val="16"/>
                <w:szCs w:val="16"/>
              </w:rPr>
            </w:pPr>
            <w:r w:rsidRPr="006E50FF">
              <w:rPr>
                <w:iCs/>
                <w:sz w:val="16"/>
                <w:szCs w:val="16"/>
              </w:rPr>
              <w:t>Section 312.10.1, Inspections.</w:t>
            </w:r>
          </w:p>
        </w:tc>
        <w:tc>
          <w:tcPr>
            <w:tcW w:w="7043" w:type="dxa"/>
            <w:gridSpan w:val="2"/>
            <w:tcBorders>
              <w:top w:val="single" w:sz="6" w:space="0" w:color="000000"/>
              <w:left w:val="single" w:sz="6" w:space="0" w:color="000000"/>
              <w:bottom w:val="single" w:sz="6" w:space="0" w:color="000000"/>
              <w:right w:val="single" w:sz="6" w:space="0" w:color="000000"/>
            </w:tcBorders>
          </w:tcPr>
          <w:p w14:paraId="5533FF62" w14:textId="77777777" w:rsidR="006E50FF" w:rsidRPr="006E50FF" w:rsidRDefault="006E50FF" w:rsidP="006E50FF">
            <w:pPr>
              <w:ind w:left="91" w:right="90"/>
              <w:rPr>
                <w:sz w:val="16"/>
                <w:szCs w:val="16"/>
              </w:rPr>
            </w:pPr>
            <w:r w:rsidRPr="006E50FF">
              <w:rPr>
                <w:sz w:val="16"/>
                <w:szCs w:val="16"/>
              </w:rPr>
              <w:t>Annual inspections shall be made of all backflow prevention assemblies, barometric loops and air gaps to determine whether they are operable, properly installed and maintained, and meet testing/code requirements. Inspections of backflow prevention devices including barometric loops and air gaps used to protect high degree of hazard cross connections shall be documented in writing and the report provided to the owner of the backflow prevention device.</w:t>
            </w:r>
          </w:p>
        </w:tc>
      </w:tr>
      <w:tr w:rsidR="006E50FF" w:rsidRPr="006E50FF" w14:paraId="0DE2BE2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8CF0B9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9FC0D0C" w14:textId="77777777" w:rsidR="006E50FF" w:rsidRPr="006E50FF" w:rsidRDefault="006E50FF" w:rsidP="006E50FF">
            <w:pPr>
              <w:ind w:left="96" w:right="58"/>
              <w:rPr>
                <w:iCs/>
                <w:sz w:val="16"/>
                <w:szCs w:val="16"/>
              </w:rPr>
            </w:pPr>
            <w:r w:rsidRPr="006E50FF">
              <w:rPr>
                <w:iCs/>
                <w:sz w:val="16"/>
                <w:szCs w:val="16"/>
              </w:rPr>
              <w:t>Section 312.10.2, Testing.</w:t>
            </w:r>
          </w:p>
        </w:tc>
        <w:tc>
          <w:tcPr>
            <w:tcW w:w="7043" w:type="dxa"/>
            <w:gridSpan w:val="2"/>
            <w:tcBorders>
              <w:top w:val="single" w:sz="6" w:space="0" w:color="000000"/>
              <w:left w:val="single" w:sz="6" w:space="0" w:color="000000"/>
              <w:bottom w:val="single" w:sz="6" w:space="0" w:color="000000"/>
              <w:right w:val="single" w:sz="6" w:space="0" w:color="000000"/>
            </w:tcBorders>
          </w:tcPr>
          <w:p w14:paraId="358D6EDC" w14:textId="77777777" w:rsidR="006E50FF" w:rsidRPr="006E50FF" w:rsidRDefault="006E50FF" w:rsidP="006E50FF">
            <w:pPr>
              <w:ind w:left="91" w:right="90"/>
              <w:rPr>
                <w:sz w:val="16"/>
                <w:szCs w:val="16"/>
              </w:rPr>
            </w:pPr>
            <w:r w:rsidRPr="006E50FF">
              <w:rPr>
                <w:sz w:val="16"/>
                <w:szCs w:val="16"/>
              </w:rPr>
              <w:t>Reduced pressure principle, double-check, pressure vacuum breaker, reduced pressure detector fire protection, double check detector fire protection, and spill-resistant vacuum breaker backflow preventer assemblies shall be tested at the time of installation, immediately after repairs or relocation and at least annually. The testing procedure shall be performed in accordance with one of the following standards: ASSE 5013, ASSE 5015, ASSE 5020, ASSE 5047, ASSE 5048, ASSE 5052, ASSE 5056, CSA B64.10.1, USC’s FCCC and HR’s “Manual of Cross-Connection Control”, or UFL’s TREEO’s “Backflow Prevention—Theory and Practice”. Any backflow preventer which is found to be defective shall be repaired. Test gauges shall comply with ASSE 1064.</w:t>
            </w:r>
          </w:p>
        </w:tc>
      </w:tr>
      <w:tr w:rsidR="006E50FF" w:rsidRPr="006E50FF" w14:paraId="596AA49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EA6661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0A669F9" w14:textId="77777777" w:rsidR="006E50FF" w:rsidRPr="006E50FF" w:rsidRDefault="006E50FF" w:rsidP="006E50FF">
            <w:pPr>
              <w:ind w:left="96" w:right="58"/>
              <w:rPr>
                <w:iCs/>
                <w:sz w:val="16"/>
                <w:szCs w:val="16"/>
              </w:rPr>
            </w:pPr>
            <w:r w:rsidRPr="006E50FF">
              <w:rPr>
                <w:iCs/>
                <w:sz w:val="16"/>
                <w:szCs w:val="16"/>
              </w:rPr>
              <w:t>Section 312.10.3, Owner</w:t>
            </w:r>
          </w:p>
          <w:p w14:paraId="6B3C6074" w14:textId="77777777" w:rsidR="006E50FF" w:rsidRPr="006E50FF" w:rsidRDefault="006E50FF" w:rsidP="006E50FF">
            <w:pPr>
              <w:ind w:left="96" w:right="58"/>
              <w:rPr>
                <w:iCs/>
                <w:sz w:val="16"/>
                <w:szCs w:val="16"/>
              </w:rPr>
            </w:pPr>
            <w:r w:rsidRPr="006E50FF">
              <w:rPr>
                <w:iCs/>
                <w:sz w:val="16"/>
                <w:szCs w:val="16"/>
              </w:rPr>
              <w:t>Responsibilities.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064D2AAB" w14:textId="77777777" w:rsidR="006E50FF" w:rsidRPr="006E50FF" w:rsidRDefault="006E50FF" w:rsidP="006E50FF">
            <w:pPr>
              <w:ind w:left="91" w:right="90"/>
              <w:rPr>
                <w:sz w:val="16"/>
                <w:szCs w:val="16"/>
              </w:rPr>
            </w:pPr>
            <w:r w:rsidRPr="006E50FF">
              <w:rPr>
                <w:sz w:val="16"/>
                <w:szCs w:val="16"/>
              </w:rPr>
              <w:t>The owner of the backflow prevention assemblies shall comply with the following:</w:t>
            </w:r>
          </w:p>
        </w:tc>
      </w:tr>
      <w:tr w:rsidR="006E50FF" w:rsidRPr="006E50FF" w14:paraId="07D4215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38C66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C1FB122"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6DB5837" w14:textId="77777777" w:rsidR="006E50FF" w:rsidRPr="006E50FF" w:rsidRDefault="006E50FF" w:rsidP="006E50FF">
            <w:pPr>
              <w:ind w:left="91" w:right="90"/>
              <w:rPr>
                <w:sz w:val="16"/>
                <w:szCs w:val="16"/>
              </w:rPr>
            </w:pPr>
            <w:r w:rsidRPr="006E50FF">
              <w:rPr>
                <w:sz w:val="16"/>
                <w:szCs w:val="16"/>
              </w:rPr>
              <w:t>1. It shall be the duty of the owner of the backflow prevention assembly to see that these tests are made in a timely manner in accord with the frequency of field testing specified in 312.10.2 of this code.</w:t>
            </w:r>
          </w:p>
        </w:tc>
      </w:tr>
      <w:tr w:rsidR="006E50FF" w:rsidRPr="006E50FF" w14:paraId="06C8646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105EB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F0DCD2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F84EA3A" w14:textId="77777777" w:rsidR="006E50FF" w:rsidRPr="006E50FF" w:rsidRDefault="006E50FF" w:rsidP="006E50FF">
            <w:pPr>
              <w:ind w:left="91" w:right="90"/>
              <w:rPr>
                <w:sz w:val="16"/>
                <w:szCs w:val="16"/>
              </w:rPr>
            </w:pPr>
            <w:r w:rsidRPr="006E50FF">
              <w:rPr>
                <w:sz w:val="16"/>
                <w:szCs w:val="16"/>
              </w:rPr>
              <w:t>2.  The owner shall notify the building official, and/or water supplier (for those devices associated with</w:t>
            </w:r>
          </w:p>
          <w:p w14:paraId="791A735B" w14:textId="77777777" w:rsidR="006E50FF" w:rsidRPr="006E50FF" w:rsidRDefault="006E50FF" w:rsidP="006E50FF">
            <w:pPr>
              <w:ind w:left="91" w:right="90"/>
              <w:rPr>
                <w:sz w:val="16"/>
                <w:szCs w:val="16"/>
              </w:rPr>
            </w:pPr>
            <w:r w:rsidRPr="006E50FF">
              <w:rPr>
                <w:sz w:val="16"/>
                <w:szCs w:val="16"/>
              </w:rPr>
              <w:t>containment) in advance when the tests are to be undertaken so that the building official and/or water supplier may witness the tests if so desired.</w:t>
            </w:r>
          </w:p>
        </w:tc>
      </w:tr>
      <w:tr w:rsidR="006E50FF" w:rsidRPr="006E50FF" w14:paraId="7CDEB5D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0C1282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2F0EE1"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15AA0FC" w14:textId="77777777" w:rsidR="006E50FF" w:rsidRPr="006E50FF" w:rsidRDefault="006E50FF" w:rsidP="006E50FF">
            <w:pPr>
              <w:ind w:left="91" w:right="90"/>
              <w:rPr>
                <w:sz w:val="16"/>
                <w:szCs w:val="16"/>
              </w:rPr>
            </w:pPr>
            <w:r w:rsidRPr="006E50FF">
              <w:rPr>
                <w:sz w:val="16"/>
                <w:szCs w:val="16"/>
              </w:rPr>
              <w:t>3. Upon completion, the owner shall provide records of such tests, repairs, overhauls, or replacements to the building official or water supplier (for those devices associated with containment). In addition, all records shall be kept by the owner of the backflow prevention device or method for at least five years and, upon specific request, shall be made available to the building official or water supplier.</w:t>
            </w:r>
          </w:p>
        </w:tc>
      </w:tr>
      <w:tr w:rsidR="006E50FF" w:rsidRPr="006E50FF" w14:paraId="2711332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6F1FDB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C9E8FBA"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9FC81ED" w14:textId="77777777" w:rsidR="006E50FF" w:rsidRPr="006E50FF" w:rsidRDefault="006E50FF" w:rsidP="006E50FF">
            <w:pPr>
              <w:ind w:left="91" w:right="90"/>
              <w:rPr>
                <w:sz w:val="16"/>
                <w:szCs w:val="16"/>
              </w:rPr>
            </w:pPr>
            <w:r w:rsidRPr="006E50FF">
              <w:rPr>
                <w:sz w:val="16"/>
                <w:szCs w:val="16"/>
              </w:rPr>
              <w:t>4. All tests, repairs, overhauls or replacements shall be at the expense of the owner of the backflow preventer.</w:t>
            </w:r>
          </w:p>
        </w:tc>
      </w:tr>
      <w:tr w:rsidR="006E50FF" w:rsidRPr="006E50FF" w14:paraId="18C47E4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9E3E84F" w14:textId="77777777" w:rsidR="006E50FF" w:rsidRPr="006E50FF" w:rsidRDefault="006E50FF" w:rsidP="006E50FF">
            <w:pPr>
              <w:jc w:val="center"/>
              <w:rPr>
                <w:spacing w:val="-2"/>
                <w:sz w:val="16"/>
                <w:szCs w:val="16"/>
              </w:rPr>
            </w:pPr>
            <w:r w:rsidRPr="006E50FF">
              <w:rPr>
                <w:spacing w:val="-2"/>
                <w:sz w:val="16"/>
                <w:szCs w:val="16"/>
              </w:rPr>
              <w:lastRenderedPageBreak/>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753FEAF" w14:textId="77777777" w:rsidR="006E50FF" w:rsidRPr="006E50FF" w:rsidRDefault="006E50FF" w:rsidP="006E50FF">
            <w:pPr>
              <w:ind w:left="96" w:right="58"/>
              <w:rPr>
                <w:iCs/>
                <w:sz w:val="16"/>
                <w:szCs w:val="16"/>
              </w:rPr>
            </w:pPr>
            <w:r w:rsidRPr="006E50FF">
              <w:rPr>
                <w:iCs/>
                <w:sz w:val="16"/>
                <w:szCs w:val="16"/>
              </w:rPr>
              <w:t>Chapter 4</w:t>
            </w:r>
          </w:p>
        </w:tc>
        <w:tc>
          <w:tcPr>
            <w:tcW w:w="7043" w:type="dxa"/>
            <w:gridSpan w:val="2"/>
            <w:tcBorders>
              <w:top w:val="single" w:sz="6" w:space="0" w:color="000000"/>
              <w:left w:val="single" w:sz="6" w:space="0" w:color="000000"/>
              <w:bottom w:val="single" w:sz="6" w:space="0" w:color="000000"/>
              <w:right w:val="single" w:sz="6" w:space="0" w:color="000000"/>
            </w:tcBorders>
          </w:tcPr>
          <w:p w14:paraId="0C5E4D34" w14:textId="77777777" w:rsidR="006E50FF" w:rsidRPr="006E50FF" w:rsidRDefault="006E50FF" w:rsidP="006E50FF">
            <w:pPr>
              <w:ind w:left="91" w:right="90"/>
              <w:rPr>
                <w:sz w:val="16"/>
                <w:szCs w:val="16"/>
              </w:rPr>
            </w:pPr>
          </w:p>
        </w:tc>
      </w:tr>
      <w:tr w:rsidR="006E50FF" w:rsidRPr="006E50FF" w14:paraId="178B8A6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52C96E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AA6B99E" w14:textId="77777777" w:rsidR="006E50FF" w:rsidRPr="006E50FF" w:rsidRDefault="006E50FF" w:rsidP="006E50FF">
            <w:pPr>
              <w:ind w:left="96" w:right="58"/>
              <w:rPr>
                <w:iCs/>
                <w:sz w:val="16"/>
                <w:szCs w:val="16"/>
              </w:rPr>
            </w:pPr>
            <w:r w:rsidRPr="006E50FF">
              <w:rPr>
                <w:iCs/>
                <w:sz w:val="16"/>
                <w:szCs w:val="16"/>
              </w:rPr>
              <w:t>Section 403.1, Fixture</w:t>
            </w:r>
          </w:p>
          <w:p w14:paraId="492BD317" w14:textId="77777777" w:rsidR="006E50FF" w:rsidRPr="006E50FF" w:rsidRDefault="006E50FF" w:rsidP="006E50FF">
            <w:pPr>
              <w:ind w:left="96" w:right="58"/>
              <w:rPr>
                <w:iCs/>
                <w:sz w:val="16"/>
                <w:szCs w:val="16"/>
              </w:rPr>
            </w:pPr>
            <w:r w:rsidRPr="006E50FF">
              <w:rPr>
                <w:iCs/>
                <w:sz w:val="16"/>
                <w:szCs w:val="16"/>
              </w:rPr>
              <w:t>Calculations.</w:t>
            </w:r>
          </w:p>
        </w:tc>
        <w:tc>
          <w:tcPr>
            <w:tcW w:w="7043" w:type="dxa"/>
            <w:gridSpan w:val="2"/>
            <w:tcBorders>
              <w:top w:val="single" w:sz="6" w:space="0" w:color="000000"/>
              <w:left w:val="single" w:sz="6" w:space="0" w:color="000000"/>
              <w:bottom w:val="single" w:sz="6" w:space="0" w:color="000000"/>
              <w:right w:val="single" w:sz="6" w:space="0" w:color="000000"/>
            </w:tcBorders>
          </w:tcPr>
          <w:p w14:paraId="314DFA64" w14:textId="77777777" w:rsidR="006E50FF" w:rsidRPr="006E50FF" w:rsidRDefault="006E50FF" w:rsidP="006E50FF">
            <w:pPr>
              <w:ind w:left="91" w:right="90"/>
              <w:rPr>
                <w:sz w:val="16"/>
                <w:szCs w:val="16"/>
              </w:rPr>
            </w:pPr>
          </w:p>
        </w:tc>
      </w:tr>
      <w:tr w:rsidR="006E50FF" w:rsidRPr="006E50FF" w14:paraId="6573E94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F4A1EA2"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9861F0B" w14:textId="77777777" w:rsidR="006E50FF" w:rsidRPr="006E50FF" w:rsidRDefault="006E50FF" w:rsidP="006E50FF">
            <w:pPr>
              <w:ind w:left="96" w:right="58"/>
              <w:rPr>
                <w:iCs/>
                <w:sz w:val="16"/>
                <w:szCs w:val="16"/>
              </w:rPr>
            </w:pPr>
            <w:r w:rsidRPr="006E50FF">
              <w:rPr>
                <w:iCs/>
                <w:sz w:val="16"/>
                <w:szCs w:val="16"/>
              </w:rPr>
              <w:t>Table 403.1</w:t>
            </w:r>
          </w:p>
        </w:tc>
        <w:tc>
          <w:tcPr>
            <w:tcW w:w="7043" w:type="dxa"/>
            <w:gridSpan w:val="2"/>
            <w:tcBorders>
              <w:top w:val="single" w:sz="6" w:space="0" w:color="000000"/>
              <w:left w:val="single" w:sz="6" w:space="0" w:color="000000"/>
              <w:bottom w:val="single" w:sz="6" w:space="0" w:color="000000"/>
              <w:right w:val="single" w:sz="6" w:space="0" w:color="000000"/>
            </w:tcBorders>
          </w:tcPr>
          <w:p w14:paraId="6961BBF1" w14:textId="77777777" w:rsidR="006E50FF" w:rsidRPr="006E50FF" w:rsidRDefault="006E50FF" w:rsidP="006E50FF">
            <w:pPr>
              <w:ind w:left="91" w:right="90"/>
              <w:rPr>
                <w:sz w:val="16"/>
                <w:szCs w:val="16"/>
              </w:rPr>
            </w:pPr>
          </w:p>
        </w:tc>
      </w:tr>
      <w:tr w:rsidR="006E50FF" w:rsidRPr="006E50FF" w14:paraId="76A671B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ACA76F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4426720" w14:textId="77777777" w:rsidR="006E50FF" w:rsidRPr="006E50FF" w:rsidRDefault="006E50FF" w:rsidP="006E50FF">
            <w:pPr>
              <w:ind w:left="96" w:right="58"/>
              <w:rPr>
                <w:iCs/>
                <w:sz w:val="16"/>
                <w:szCs w:val="16"/>
              </w:rPr>
            </w:pPr>
            <w:r w:rsidRPr="006E50FF">
              <w:rPr>
                <w:iCs/>
                <w:sz w:val="16"/>
                <w:szCs w:val="16"/>
              </w:rPr>
              <w:t>Footnote (f.)</w:t>
            </w:r>
          </w:p>
        </w:tc>
        <w:tc>
          <w:tcPr>
            <w:tcW w:w="7043" w:type="dxa"/>
            <w:gridSpan w:val="2"/>
            <w:tcBorders>
              <w:top w:val="single" w:sz="6" w:space="0" w:color="000000"/>
              <w:left w:val="single" w:sz="6" w:space="0" w:color="000000"/>
              <w:bottom w:val="single" w:sz="6" w:space="0" w:color="000000"/>
              <w:right w:val="single" w:sz="6" w:space="0" w:color="000000"/>
            </w:tcBorders>
          </w:tcPr>
          <w:p w14:paraId="727B1375" w14:textId="77777777" w:rsidR="006E50FF" w:rsidRPr="006E50FF" w:rsidRDefault="006E50FF" w:rsidP="006E50FF">
            <w:pPr>
              <w:ind w:left="91" w:right="90"/>
              <w:rPr>
                <w:sz w:val="16"/>
                <w:szCs w:val="16"/>
              </w:rPr>
            </w:pPr>
            <w:r w:rsidRPr="006E50FF">
              <w:rPr>
                <w:sz w:val="16"/>
                <w:szCs w:val="16"/>
              </w:rPr>
              <w:t>The required number and type of plumbing fixtures for outdoor public swimming pools shall be in accordance with the following:</w:t>
            </w:r>
          </w:p>
        </w:tc>
      </w:tr>
      <w:tr w:rsidR="006E50FF" w:rsidRPr="006E50FF" w14:paraId="661D15B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A65E11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178CDD9" w14:textId="77777777" w:rsidR="006E50FF" w:rsidRPr="006E50FF" w:rsidRDefault="006E50FF" w:rsidP="006E50FF">
            <w:pPr>
              <w:ind w:left="96" w:right="58"/>
              <w:rPr>
                <w:iCs/>
                <w:sz w:val="16"/>
                <w:szCs w:val="16"/>
              </w:rPr>
            </w:pPr>
            <w:r w:rsidRPr="006E50FF">
              <w:rPr>
                <w:iCs/>
                <w:sz w:val="16"/>
                <w:szCs w:val="16"/>
              </w:rPr>
              <w:t>Item (1.)</w:t>
            </w:r>
          </w:p>
        </w:tc>
        <w:tc>
          <w:tcPr>
            <w:tcW w:w="7043" w:type="dxa"/>
            <w:gridSpan w:val="2"/>
            <w:tcBorders>
              <w:top w:val="single" w:sz="6" w:space="0" w:color="000000"/>
              <w:left w:val="single" w:sz="6" w:space="0" w:color="000000"/>
              <w:bottom w:val="single" w:sz="6" w:space="0" w:color="000000"/>
              <w:right w:val="single" w:sz="6" w:space="0" w:color="000000"/>
            </w:tcBorders>
          </w:tcPr>
          <w:p w14:paraId="727DFB42" w14:textId="77777777" w:rsidR="006E50FF" w:rsidRPr="006E50FF" w:rsidRDefault="006E50FF" w:rsidP="006E50FF">
            <w:pPr>
              <w:ind w:left="91" w:right="90"/>
              <w:rPr>
                <w:sz w:val="16"/>
                <w:szCs w:val="16"/>
              </w:rPr>
            </w:pPr>
            <w:r w:rsidRPr="006E50FF">
              <w:rPr>
                <w:sz w:val="16"/>
                <w:szCs w:val="16"/>
              </w:rPr>
              <w:t>Facilities that have less than 7500 gross square feet (697 m2) of water area available for bather access shall have not less than one water closet for males, one urinal for males, one lavatory for males, one shower for males, two water closets for females, one lavatory for females and one shower for females.</w:t>
            </w:r>
          </w:p>
        </w:tc>
      </w:tr>
      <w:tr w:rsidR="006E50FF" w:rsidRPr="006E50FF" w14:paraId="6231640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4D7591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4808225"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610D9C48" w14:textId="77777777" w:rsidR="006E50FF" w:rsidRPr="006E50FF" w:rsidRDefault="006E50FF" w:rsidP="006E50FF">
            <w:pPr>
              <w:ind w:left="91" w:right="90"/>
              <w:rPr>
                <w:sz w:val="16"/>
                <w:szCs w:val="16"/>
              </w:rPr>
            </w:pPr>
            <w:r w:rsidRPr="006E50FF">
              <w:rPr>
                <w:sz w:val="16"/>
                <w:szCs w:val="16"/>
              </w:rPr>
              <w:t>Facilities that have 7500 gross square feet (697 m2) or more of water area available for bather access shall have not less than 0.7 water closet for males, one urinal for males, 0.85 lavatory for males, one shower for males, two water closets for females, one lavatory for females and one shower for females for every 7500 square feet (697 m2) or portion thereof. Where the result of the fixture calculation is a portion of a whole number, the result shall be rounded up to the nearest whole number.</w:t>
            </w:r>
          </w:p>
        </w:tc>
      </w:tr>
      <w:tr w:rsidR="006E50FF" w:rsidRPr="006E50FF" w14:paraId="72E6D66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BD638C8"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44D0FE6" w14:textId="77777777" w:rsidR="006E50FF" w:rsidRPr="006E50FF" w:rsidRDefault="006E50FF" w:rsidP="006E50FF">
            <w:pPr>
              <w:ind w:left="96" w:right="58"/>
              <w:rPr>
                <w:iCs/>
                <w:sz w:val="16"/>
                <w:szCs w:val="16"/>
              </w:rPr>
            </w:pPr>
            <w:r w:rsidRPr="006E50FF">
              <w:rPr>
                <w:iCs/>
                <w:sz w:val="16"/>
                <w:szCs w:val="16"/>
              </w:rPr>
              <w:t>Footnote (e.)</w:t>
            </w:r>
          </w:p>
        </w:tc>
        <w:tc>
          <w:tcPr>
            <w:tcW w:w="7043" w:type="dxa"/>
            <w:gridSpan w:val="2"/>
            <w:tcBorders>
              <w:top w:val="single" w:sz="6" w:space="0" w:color="000000"/>
              <w:left w:val="single" w:sz="6" w:space="0" w:color="000000"/>
              <w:bottom w:val="single" w:sz="6" w:space="0" w:color="000000"/>
              <w:right w:val="single" w:sz="6" w:space="0" w:color="000000"/>
            </w:tcBorders>
          </w:tcPr>
          <w:p w14:paraId="1B67A9B9" w14:textId="77777777" w:rsidR="006E50FF" w:rsidRPr="006E50FF" w:rsidRDefault="006E50FF" w:rsidP="006E50FF">
            <w:pPr>
              <w:ind w:left="91" w:right="90"/>
              <w:rPr>
                <w:sz w:val="16"/>
                <w:szCs w:val="16"/>
              </w:rPr>
            </w:pPr>
            <w:r w:rsidRPr="006E50FF">
              <w:rPr>
                <w:sz w:val="16"/>
                <w:szCs w:val="16"/>
              </w:rPr>
              <w:t>For business and mercantile classifications with an occupant load of 25 or fewer, service sinks shall not be required except for Day Care Centers and Food (consumable) establishments such as restaurants, bar/lounge etc.</w:t>
            </w:r>
          </w:p>
        </w:tc>
      </w:tr>
      <w:tr w:rsidR="006E50FF" w:rsidRPr="006E50FF" w14:paraId="525E51B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CBC101A"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5C27176" w14:textId="77777777" w:rsidR="006E50FF" w:rsidRPr="006E50FF" w:rsidRDefault="006E50FF" w:rsidP="006E50FF">
            <w:pPr>
              <w:ind w:left="96" w:right="58"/>
              <w:rPr>
                <w:iCs/>
                <w:sz w:val="16"/>
                <w:szCs w:val="16"/>
              </w:rPr>
            </w:pPr>
            <w:r w:rsidRPr="006E50FF">
              <w:rPr>
                <w:iCs/>
                <w:sz w:val="16"/>
                <w:szCs w:val="16"/>
              </w:rPr>
              <w:t>Section 403.1.1.</w:t>
            </w:r>
          </w:p>
        </w:tc>
        <w:tc>
          <w:tcPr>
            <w:tcW w:w="7043" w:type="dxa"/>
            <w:gridSpan w:val="2"/>
            <w:tcBorders>
              <w:top w:val="single" w:sz="6" w:space="0" w:color="000000"/>
              <w:left w:val="single" w:sz="6" w:space="0" w:color="000000"/>
              <w:bottom w:val="single" w:sz="6" w:space="0" w:color="000000"/>
              <w:right w:val="single" w:sz="6" w:space="0" w:color="000000"/>
            </w:tcBorders>
          </w:tcPr>
          <w:p w14:paraId="3F87A8AA" w14:textId="77777777" w:rsidR="006E50FF" w:rsidRPr="006E50FF" w:rsidRDefault="006E50FF" w:rsidP="006E50FF">
            <w:pPr>
              <w:ind w:left="91" w:right="90"/>
              <w:rPr>
                <w:sz w:val="16"/>
                <w:szCs w:val="16"/>
              </w:rPr>
            </w:pPr>
          </w:p>
        </w:tc>
      </w:tr>
      <w:tr w:rsidR="006E50FF" w:rsidRPr="006E50FF" w14:paraId="02E898E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7715F5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362D370"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215632D3" w14:textId="77777777" w:rsidR="006E50FF" w:rsidRPr="006E50FF" w:rsidRDefault="006E50FF" w:rsidP="006E50FF">
            <w:pPr>
              <w:ind w:left="91" w:right="90"/>
              <w:rPr>
                <w:sz w:val="16"/>
                <w:szCs w:val="16"/>
              </w:rPr>
            </w:pPr>
          </w:p>
        </w:tc>
      </w:tr>
      <w:tr w:rsidR="006E50FF" w:rsidRPr="006E50FF" w14:paraId="2B6872B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03E9E00"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D4035CC"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535CD51C" w14:textId="77777777" w:rsidR="006E50FF" w:rsidRPr="006E50FF" w:rsidRDefault="006E50FF" w:rsidP="006E50FF">
            <w:pPr>
              <w:ind w:left="91" w:right="90"/>
              <w:rPr>
                <w:sz w:val="16"/>
                <w:szCs w:val="16"/>
              </w:rPr>
            </w:pPr>
            <w:r w:rsidRPr="006E50FF">
              <w:rPr>
                <w:sz w:val="16"/>
                <w:szCs w:val="16"/>
              </w:rPr>
              <w:t>Where multiple-user facilities are designed to serve all genders, the minimum fixture count shall be calculated 100 percent, based on total occupant load. In such multiple-user facilities, each fixture type shall be in accordance with ICC A117.1 and each urinal that is provided shall be located in a room, created by walls from floor to ceiling, with a solid door.</w:t>
            </w:r>
          </w:p>
        </w:tc>
      </w:tr>
      <w:tr w:rsidR="006E50FF" w:rsidRPr="006E50FF" w14:paraId="7611733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10553EE"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471CAEC" w14:textId="77777777" w:rsidR="006E50FF" w:rsidRPr="006E50FF" w:rsidRDefault="006E50FF" w:rsidP="006E50FF">
            <w:pPr>
              <w:ind w:left="96" w:right="58"/>
              <w:rPr>
                <w:iCs/>
                <w:sz w:val="16"/>
                <w:szCs w:val="16"/>
              </w:rPr>
            </w:pPr>
            <w:r w:rsidRPr="006E50FF">
              <w:rPr>
                <w:iCs/>
                <w:sz w:val="16"/>
                <w:szCs w:val="16"/>
              </w:rPr>
              <w:t>Item (4)</w:t>
            </w:r>
          </w:p>
        </w:tc>
        <w:tc>
          <w:tcPr>
            <w:tcW w:w="7043" w:type="dxa"/>
            <w:gridSpan w:val="2"/>
            <w:tcBorders>
              <w:top w:val="single" w:sz="6" w:space="0" w:color="000000"/>
              <w:left w:val="single" w:sz="6" w:space="0" w:color="000000"/>
              <w:bottom w:val="single" w:sz="6" w:space="0" w:color="000000"/>
              <w:right w:val="single" w:sz="6" w:space="0" w:color="000000"/>
            </w:tcBorders>
          </w:tcPr>
          <w:p w14:paraId="3C828412" w14:textId="77777777" w:rsidR="006E50FF" w:rsidRPr="006E50FF" w:rsidRDefault="006E50FF" w:rsidP="006E50FF">
            <w:pPr>
              <w:ind w:left="91" w:right="90"/>
              <w:rPr>
                <w:sz w:val="16"/>
                <w:szCs w:val="16"/>
              </w:rPr>
            </w:pPr>
            <w:r w:rsidRPr="006E50FF">
              <w:rPr>
                <w:sz w:val="16"/>
                <w:szCs w:val="16"/>
              </w:rPr>
              <w:t>Child day care occupancies shall not be required to have bathtubs or showers.</w:t>
            </w:r>
          </w:p>
        </w:tc>
      </w:tr>
      <w:tr w:rsidR="006E50FF" w:rsidRPr="006E50FF" w14:paraId="31DDE7B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67CF1AD"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250296D" w14:textId="77777777" w:rsidR="006E50FF" w:rsidRPr="006E50FF" w:rsidRDefault="006E50FF" w:rsidP="006E50FF">
            <w:pPr>
              <w:ind w:left="96" w:right="58"/>
              <w:rPr>
                <w:iCs/>
                <w:sz w:val="16"/>
                <w:szCs w:val="16"/>
              </w:rPr>
            </w:pPr>
            <w:r w:rsidRPr="006E50FF">
              <w:rPr>
                <w:iCs/>
                <w:sz w:val="16"/>
                <w:szCs w:val="16"/>
              </w:rPr>
              <w:t>Section 403.2, Separate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6852218C" w14:textId="77777777" w:rsidR="006E50FF" w:rsidRPr="006E50FF" w:rsidRDefault="006E50FF" w:rsidP="006E50FF">
            <w:pPr>
              <w:ind w:left="91" w:right="90"/>
              <w:rPr>
                <w:sz w:val="16"/>
                <w:szCs w:val="16"/>
              </w:rPr>
            </w:pPr>
          </w:p>
        </w:tc>
      </w:tr>
      <w:tr w:rsidR="006E50FF" w:rsidRPr="006E50FF" w14:paraId="0A62DD5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0FABA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939F545"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1F8347B6" w14:textId="77777777" w:rsidR="006E50FF" w:rsidRPr="006E50FF" w:rsidRDefault="006E50FF" w:rsidP="006E50FF">
            <w:pPr>
              <w:ind w:left="91" w:right="90"/>
              <w:rPr>
                <w:sz w:val="16"/>
                <w:szCs w:val="16"/>
              </w:rPr>
            </w:pPr>
          </w:p>
        </w:tc>
      </w:tr>
      <w:tr w:rsidR="006E50FF" w:rsidRPr="006E50FF" w14:paraId="0265969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DD16237"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4B1A023" w14:textId="77777777" w:rsidR="006E50FF" w:rsidRPr="006E50FF" w:rsidRDefault="006E50FF" w:rsidP="006E50FF">
            <w:pPr>
              <w:ind w:left="96" w:right="58"/>
              <w:rPr>
                <w:iCs/>
                <w:sz w:val="16"/>
                <w:szCs w:val="16"/>
              </w:rPr>
            </w:pPr>
            <w:r w:rsidRPr="006E50FF">
              <w:rPr>
                <w:iCs/>
                <w:sz w:val="16"/>
                <w:szCs w:val="16"/>
              </w:rPr>
              <w:t>Item (6.)</w:t>
            </w:r>
          </w:p>
        </w:tc>
        <w:tc>
          <w:tcPr>
            <w:tcW w:w="7043" w:type="dxa"/>
            <w:gridSpan w:val="2"/>
            <w:tcBorders>
              <w:top w:val="single" w:sz="6" w:space="0" w:color="000000"/>
              <w:left w:val="single" w:sz="6" w:space="0" w:color="000000"/>
              <w:bottom w:val="single" w:sz="6" w:space="0" w:color="000000"/>
              <w:right w:val="single" w:sz="6" w:space="0" w:color="000000"/>
            </w:tcBorders>
          </w:tcPr>
          <w:p w14:paraId="1D59357C" w14:textId="77777777" w:rsidR="006E50FF" w:rsidRPr="006E50FF" w:rsidRDefault="006E50FF" w:rsidP="006E50FF">
            <w:pPr>
              <w:ind w:left="91" w:right="90"/>
              <w:rPr>
                <w:sz w:val="16"/>
                <w:szCs w:val="16"/>
              </w:rPr>
            </w:pPr>
            <w:r w:rsidRPr="006E50FF">
              <w:rPr>
                <w:sz w:val="16"/>
                <w:szCs w:val="16"/>
              </w:rPr>
              <w:t>Separate facilities shall not be required where rooms, created by walls from floor to ceiling, with a solid door, having both water closets and lavatory fixtures are designed for use by both sexes and privacy for water closets is provided in accordance with Section 405.3.4. Urinals shall be located in a room, created by walls from floor to ceiling, with a solid door.</w:t>
            </w:r>
          </w:p>
        </w:tc>
      </w:tr>
      <w:tr w:rsidR="006E50FF" w:rsidRPr="006E50FF" w14:paraId="7813599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E4DD4D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AEB6E10" w14:textId="77777777" w:rsidR="006E50FF" w:rsidRPr="006E50FF" w:rsidRDefault="006E50FF" w:rsidP="006E50FF">
            <w:pPr>
              <w:ind w:left="96" w:right="58"/>
              <w:rPr>
                <w:iCs/>
                <w:sz w:val="16"/>
                <w:szCs w:val="16"/>
              </w:rPr>
            </w:pPr>
            <w:r w:rsidRPr="006E50FF">
              <w:rPr>
                <w:iCs/>
                <w:sz w:val="16"/>
                <w:szCs w:val="16"/>
              </w:rPr>
              <w:t>Item (7.)</w:t>
            </w:r>
          </w:p>
        </w:tc>
        <w:tc>
          <w:tcPr>
            <w:tcW w:w="7043" w:type="dxa"/>
            <w:gridSpan w:val="2"/>
            <w:tcBorders>
              <w:top w:val="single" w:sz="6" w:space="0" w:color="000000"/>
              <w:left w:val="single" w:sz="6" w:space="0" w:color="000000"/>
              <w:bottom w:val="single" w:sz="6" w:space="0" w:color="000000"/>
              <w:right w:val="single" w:sz="6" w:space="0" w:color="000000"/>
            </w:tcBorders>
          </w:tcPr>
          <w:p w14:paraId="14EA3581" w14:textId="77777777" w:rsidR="006E50FF" w:rsidRPr="006E50FF" w:rsidRDefault="006E50FF" w:rsidP="006E50FF">
            <w:pPr>
              <w:ind w:left="91" w:right="90"/>
              <w:rPr>
                <w:sz w:val="16"/>
                <w:szCs w:val="16"/>
              </w:rPr>
            </w:pPr>
            <w:r w:rsidRPr="006E50FF">
              <w:rPr>
                <w:sz w:val="16"/>
                <w:szCs w:val="16"/>
              </w:rPr>
              <w:t>Separate facilities shall not be required for existing tenant spaces under 1800 sq. ft. where the occupancy classification is either B or M.</w:t>
            </w:r>
          </w:p>
        </w:tc>
      </w:tr>
      <w:tr w:rsidR="006E50FF" w:rsidRPr="006E50FF" w14:paraId="759228A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9612437"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EB71F88" w14:textId="77777777" w:rsidR="006E50FF" w:rsidRPr="006E50FF" w:rsidRDefault="006E50FF" w:rsidP="006E50FF">
            <w:pPr>
              <w:ind w:left="96" w:right="58"/>
              <w:rPr>
                <w:iCs/>
                <w:sz w:val="16"/>
                <w:szCs w:val="16"/>
              </w:rPr>
            </w:pPr>
            <w:r w:rsidRPr="006E50FF">
              <w:rPr>
                <w:iCs/>
                <w:sz w:val="16"/>
                <w:szCs w:val="16"/>
              </w:rPr>
              <w:t>Section 403.3 Employee and public toilet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12417E2C" w14:textId="77777777" w:rsidR="006E50FF" w:rsidRPr="006E50FF" w:rsidRDefault="006E50FF" w:rsidP="006E50FF">
            <w:pPr>
              <w:ind w:left="91" w:right="90"/>
              <w:rPr>
                <w:sz w:val="16"/>
                <w:szCs w:val="16"/>
              </w:rPr>
            </w:pPr>
          </w:p>
        </w:tc>
      </w:tr>
      <w:tr w:rsidR="006E50FF" w:rsidRPr="006E50FF" w14:paraId="621FED6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32FC57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AB69AA0"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2A56E1C4" w14:textId="77777777" w:rsidR="006E50FF" w:rsidRPr="006E50FF" w:rsidRDefault="006E50FF" w:rsidP="006E50FF">
            <w:pPr>
              <w:ind w:left="91" w:right="90"/>
              <w:rPr>
                <w:sz w:val="16"/>
                <w:szCs w:val="16"/>
              </w:rPr>
            </w:pPr>
          </w:p>
        </w:tc>
      </w:tr>
      <w:tr w:rsidR="006E50FF" w:rsidRPr="006E50FF" w14:paraId="6D0F9AF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DE44489" w14:textId="77777777" w:rsidR="006E50FF" w:rsidRPr="006E50FF" w:rsidRDefault="006E50FF" w:rsidP="006E50FF">
            <w:pPr>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39264916"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0CCE9AA6" w14:textId="77777777" w:rsidR="006E50FF" w:rsidRPr="006E50FF" w:rsidRDefault="006E50FF" w:rsidP="006E50FF">
            <w:pPr>
              <w:ind w:left="91" w:right="90"/>
              <w:rPr>
                <w:sz w:val="16"/>
                <w:szCs w:val="16"/>
              </w:rPr>
            </w:pPr>
            <w:r w:rsidRPr="006E50FF">
              <w:rPr>
                <w:sz w:val="16"/>
                <w:szCs w:val="16"/>
              </w:rPr>
              <w:t>Structures and tenant spaces intended for quick transactions, including takeout, pickup and drop-off, having a public access area less than or equal to 300 square feet (28 m2) and shall be prohibited from containing public tables or chairs on the premises.</w:t>
            </w:r>
          </w:p>
        </w:tc>
      </w:tr>
      <w:tr w:rsidR="006E50FF" w:rsidRPr="006E50FF" w14:paraId="7D41F5E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AB996B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CD84E0B" w14:textId="77777777" w:rsidR="006E50FF" w:rsidRPr="006E50FF" w:rsidRDefault="006E50FF" w:rsidP="006E50FF">
            <w:pPr>
              <w:ind w:left="96" w:right="58"/>
              <w:rPr>
                <w:iCs/>
                <w:sz w:val="16"/>
                <w:szCs w:val="16"/>
              </w:rPr>
            </w:pPr>
            <w:r w:rsidRPr="006E50FF">
              <w:rPr>
                <w:iCs/>
                <w:sz w:val="16"/>
                <w:szCs w:val="16"/>
              </w:rPr>
              <w:t>Section 403.3.3, Location of Toilet Facilities in Occupancies other than Malls and</w:t>
            </w:r>
          </w:p>
          <w:p w14:paraId="6136A1C2" w14:textId="77777777" w:rsidR="006E50FF" w:rsidRPr="006E50FF" w:rsidRDefault="006E50FF" w:rsidP="006E50FF">
            <w:pPr>
              <w:ind w:left="96" w:right="58"/>
              <w:rPr>
                <w:iCs/>
                <w:sz w:val="16"/>
                <w:szCs w:val="16"/>
              </w:rPr>
            </w:pPr>
            <w:r w:rsidRPr="006E50FF">
              <w:rPr>
                <w:iCs/>
                <w:sz w:val="16"/>
                <w:szCs w:val="16"/>
              </w:rPr>
              <w:t>Educational Buildings.</w:t>
            </w:r>
          </w:p>
        </w:tc>
        <w:tc>
          <w:tcPr>
            <w:tcW w:w="7043" w:type="dxa"/>
            <w:gridSpan w:val="2"/>
            <w:tcBorders>
              <w:top w:val="single" w:sz="6" w:space="0" w:color="000000"/>
              <w:left w:val="single" w:sz="6" w:space="0" w:color="000000"/>
              <w:bottom w:val="single" w:sz="6" w:space="0" w:color="000000"/>
              <w:right w:val="single" w:sz="6" w:space="0" w:color="000000"/>
            </w:tcBorders>
          </w:tcPr>
          <w:p w14:paraId="07E87E4D" w14:textId="77777777" w:rsidR="006E50FF" w:rsidRPr="006E50FF" w:rsidRDefault="006E50FF" w:rsidP="006E50FF">
            <w:pPr>
              <w:ind w:left="91" w:right="90"/>
              <w:rPr>
                <w:sz w:val="16"/>
                <w:szCs w:val="16"/>
              </w:rPr>
            </w:pPr>
            <w:r w:rsidRPr="006E50FF">
              <w:rPr>
                <w:sz w:val="16"/>
                <w:szCs w:val="16"/>
              </w:rPr>
              <w:t>In occupancies other than covered and open mall buildings, and educational buildings, the required public and employee toilet facilities shall be located not more than one story above or below the space required to be provided with toilet facilities, and the path of travel to such facilities shall not exceed a distance of 500 feet (152 m).</w:t>
            </w:r>
          </w:p>
        </w:tc>
      </w:tr>
      <w:tr w:rsidR="006E50FF" w:rsidRPr="006E50FF" w14:paraId="210A88B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682DBDB"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5394B08"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42005004" w14:textId="77777777" w:rsidR="006E50FF" w:rsidRPr="006E50FF" w:rsidRDefault="006E50FF" w:rsidP="006E50FF">
            <w:pPr>
              <w:ind w:left="91" w:right="90"/>
              <w:rPr>
                <w:sz w:val="16"/>
                <w:szCs w:val="16"/>
              </w:rPr>
            </w:pPr>
          </w:p>
        </w:tc>
      </w:tr>
      <w:tr w:rsidR="006E50FF" w:rsidRPr="006E50FF" w14:paraId="48D93E7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C2A9C9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9C6C9E3" w14:textId="77777777" w:rsidR="006E50FF" w:rsidRPr="006E50FF" w:rsidRDefault="006E50FF" w:rsidP="006E50FF">
            <w:pPr>
              <w:ind w:left="96" w:right="58"/>
              <w:rPr>
                <w:iCs/>
                <w:sz w:val="16"/>
                <w:szCs w:val="16"/>
              </w:rPr>
            </w:pPr>
            <w:r w:rsidRPr="006E50FF">
              <w:rPr>
                <w:iCs/>
                <w:sz w:val="16"/>
                <w:szCs w:val="16"/>
              </w:rPr>
              <w:t>Item (3.)</w:t>
            </w:r>
          </w:p>
        </w:tc>
        <w:tc>
          <w:tcPr>
            <w:tcW w:w="7043" w:type="dxa"/>
            <w:gridSpan w:val="2"/>
            <w:tcBorders>
              <w:top w:val="single" w:sz="6" w:space="0" w:color="000000"/>
              <w:left w:val="single" w:sz="6" w:space="0" w:color="000000"/>
              <w:bottom w:val="single" w:sz="6" w:space="0" w:color="000000"/>
              <w:right w:val="single" w:sz="6" w:space="0" w:color="000000"/>
            </w:tcBorders>
          </w:tcPr>
          <w:p w14:paraId="5A3BF2AA" w14:textId="77777777" w:rsidR="006E50FF" w:rsidRPr="006E50FF" w:rsidRDefault="006E50FF" w:rsidP="006E50FF">
            <w:pPr>
              <w:ind w:left="91" w:right="90"/>
              <w:rPr>
                <w:sz w:val="16"/>
                <w:szCs w:val="16"/>
              </w:rPr>
            </w:pPr>
            <w:r w:rsidRPr="006E50FF">
              <w:rPr>
                <w:sz w:val="16"/>
                <w:szCs w:val="16"/>
              </w:rPr>
              <w:t>In mini-storage facilities where the access is for outdoor use only a restroom is not required.</w:t>
            </w:r>
          </w:p>
        </w:tc>
      </w:tr>
      <w:tr w:rsidR="006E50FF" w:rsidRPr="006E50FF" w14:paraId="28A2400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3F66B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853D5B2" w14:textId="77777777" w:rsidR="006E50FF" w:rsidRPr="006E50FF" w:rsidRDefault="006E50FF" w:rsidP="006E50FF">
            <w:pPr>
              <w:ind w:left="96" w:right="58"/>
              <w:rPr>
                <w:iCs/>
                <w:sz w:val="16"/>
                <w:szCs w:val="16"/>
              </w:rPr>
            </w:pPr>
            <w:r w:rsidRPr="006E50FF">
              <w:rPr>
                <w:iCs/>
                <w:sz w:val="16"/>
                <w:szCs w:val="16"/>
              </w:rPr>
              <w:t>Item (4.)</w:t>
            </w:r>
          </w:p>
        </w:tc>
        <w:tc>
          <w:tcPr>
            <w:tcW w:w="7043" w:type="dxa"/>
            <w:gridSpan w:val="2"/>
            <w:tcBorders>
              <w:top w:val="single" w:sz="6" w:space="0" w:color="000000"/>
              <w:left w:val="single" w:sz="6" w:space="0" w:color="000000"/>
              <w:bottom w:val="single" w:sz="6" w:space="0" w:color="000000"/>
              <w:right w:val="single" w:sz="6" w:space="0" w:color="000000"/>
            </w:tcBorders>
          </w:tcPr>
          <w:p w14:paraId="1339BA06" w14:textId="77777777" w:rsidR="006E50FF" w:rsidRPr="006E50FF" w:rsidRDefault="006E50FF" w:rsidP="006E50FF">
            <w:pPr>
              <w:ind w:left="91" w:right="90"/>
              <w:rPr>
                <w:sz w:val="16"/>
                <w:szCs w:val="16"/>
              </w:rPr>
            </w:pPr>
            <w:r w:rsidRPr="006E50FF">
              <w:rPr>
                <w:sz w:val="16"/>
                <w:szCs w:val="16"/>
              </w:rPr>
              <w:t>A single user toilet facility shall be installed in climate controlled mini-storage facilities and mini-storage facilities for outdoor use only which contain an onsite office.</w:t>
            </w:r>
          </w:p>
        </w:tc>
      </w:tr>
      <w:tr w:rsidR="006E50FF" w:rsidRPr="006E50FF" w14:paraId="20323F2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37F7A86"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C8C5E09" w14:textId="77777777" w:rsidR="006E50FF" w:rsidRPr="006E50FF" w:rsidRDefault="006E50FF" w:rsidP="006E50FF">
            <w:pPr>
              <w:ind w:left="96" w:right="58"/>
              <w:rPr>
                <w:iCs/>
                <w:sz w:val="16"/>
                <w:szCs w:val="16"/>
              </w:rPr>
            </w:pPr>
            <w:r w:rsidRPr="006E50FF">
              <w:rPr>
                <w:iCs/>
                <w:sz w:val="16"/>
                <w:szCs w:val="16"/>
              </w:rPr>
              <w:t>Section 403.3.7, Location of Toilet Facilities in Educational Buildings.</w:t>
            </w:r>
          </w:p>
        </w:tc>
        <w:tc>
          <w:tcPr>
            <w:tcW w:w="7043" w:type="dxa"/>
            <w:gridSpan w:val="2"/>
            <w:tcBorders>
              <w:top w:val="single" w:sz="6" w:space="0" w:color="000000"/>
              <w:left w:val="single" w:sz="6" w:space="0" w:color="000000"/>
              <w:bottom w:val="single" w:sz="6" w:space="0" w:color="000000"/>
              <w:right w:val="single" w:sz="6" w:space="0" w:color="000000"/>
            </w:tcBorders>
          </w:tcPr>
          <w:p w14:paraId="30008D1C" w14:textId="77777777" w:rsidR="006E50FF" w:rsidRPr="006E50FF" w:rsidRDefault="006E50FF" w:rsidP="006E50FF">
            <w:pPr>
              <w:ind w:left="91" w:right="90"/>
              <w:rPr>
                <w:sz w:val="16"/>
                <w:szCs w:val="16"/>
              </w:rPr>
            </w:pPr>
            <w:r w:rsidRPr="006E50FF">
              <w:rPr>
                <w:sz w:val="16"/>
                <w:szCs w:val="16"/>
              </w:rPr>
              <w:t>For primary schools, and other special types of institutions with classrooms, for children through 12 years of age, separate boys' and girls' toilet room doors shall not be further than 200 feet from any classroom doors. For secondary schools, and other special types of institutions with classrooms, for persons of secondary school age, separate boys' and girls' toilet room doors shall not be further than 400 feet from any classroom door. In multi- storied buildings, there shall be boys' and girls' toilet rooms on each floor, having the number of plumbing fixtures as specified in Table 403.1 of this code for the classroom population of that floor. When new educational buildings are added to an existing campus, the restroom facilities and drinking fountains located in the existing building(s) may be used to serve the occupants of the new educational building(s) only when all of the following provisions are met:</w:t>
            </w:r>
          </w:p>
        </w:tc>
      </w:tr>
      <w:tr w:rsidR="006E50FF" w:rsidRPr="006E50FF" w14:paraId="08013C5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2AE1FD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D08AFC2"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14B7CD8" w14:textId="77777777" w:rsidR="006E50FF" w:rsidRPr="006E50FF" w:rsidRDefault="006E50FF" w:rsidP="006E50FF">
            <w:pPr>
              <w:ind w:left="91" w:right="90"/>
              <w:rPr>
                <w:sz w:val="16"/>
                <w:szCs w:val="16"/>
              </w:rPr>
            </w:pPr>
            <w:r w:rsidRPr="006E50FF">
              <w:rPr>
                <w:sz w:val="16"/>
                <w:szCs w:val="16"/>
              </w:rPr>
              <w:t>1. covered walkways consisting of a roof designed to protect the students and faculty from precipitation having a minimum width of 6 feet and located above a slip-resistant concrete or other acceptable hard surfaces leading to and from the restrooms shall be provided whenever children or faculty have to walk outside to access the toilet room;</w:t>
            </w:r>
          </w:p>
        </w:tc>
      </w:tr>
      <w:tr w:rsidR="006E50FF" w:rsidRPr="006E50FF" w14:paraId="069FAF1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275AA1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70AA97D"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F1513A7" w14:textId="77777777" w:rsidR="006E50FF" w:rsidRPr="006E50FF" w:rsidRDefault="006E50FF" w:rsidP="006E50FF">
            <w:pPr>
              <w:ind w:left="91" w:right="90"/>
              <w:rPr>
                <w:sz w:val="16"/>
                <w:szCs w:val="16"/>
              </w:rPr>
            </w:pPr>
            <w:r w:rsidRPr="006E50FF">
              <w:rPr>
                <w:sz w:val="16"/>
                <w:szCs w:val="16"/>
              </w:rPr>
              <w:t>2. the path of travel from the classroom door to the toilet room doors (boys’ or girls’) does not exceed the applicable distance specified in this Section; and</w:t>
            </w:r>
          </w:p>
        </w:tc>
      </w:tr>
      <w:tr w:rsidR="006E50FF" w:rsidRPr="006E50FF" w14:paraId="42793BB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70C820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5E65396"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0218F0A" w14:textId="77777777" w:rsidR="006E50FF" w:rsidRPr="006E50FF" w:rsidRDefault="006E50FF" w:rsidP="006E50FF">
            <w:pPr>
              <w:ind w:left="91" w:right="90"/>
              <w:rPr>
                <w:sz w:val="16"/>
                <w:szCs w:val="16"/>
              </w:rPr>
            </w:pPr>
            <w:r w:rsidRPr="006E50FF">
              <w:rPr>
                <w:sz w:val="16"/>
                <w:szCs w:val="16"/>
              </w:rPr>
              <w:t>3. the number of occupants of the new building does not cause an increase in the school population that would trigger the need for more fixtures per Table 403.1 (Minimum Number of Required Plumbing Fixtures).</w:t>
            </w:r>
          </w:p>
        </w:tc>
      </w:tr>
      <w:tr w:rsidR="006E50FF" w:rsidRPr="006E50FF" w14:paraId="559428F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FF3AC9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2314560" w14:textId="77777777" w:rsidR="006E50FF" w:rsidRPr="006E50FF" w:rsidRDefault="006E50FF" w:rsidP="006E50FF">
            <w:pPr>
              <w:ind w:left="96" w:right="58"/>
              <w:rPr>
                <w:iCs/>
                <w:sz w:val="16"/>
                <w:szCs w:val="16"/>
              </w:rPr>
            </w:pPr>
            <w:r w:rsidRPr="006E50FF">
              <w:rPr>
                <w:iCs/>
                <w:sz w:val="16"/>
                <w:szCs w:val="16"/>
              </w:rPr>
              <w:t>Section 403.6, Other Fixture Requirements for Licensed Pre-schools, Day Care Centers, and</w:t>
            </w:r>
          </w:p>
          <w:p w14:paraId="373F148B" w14:textId="77777777" w:rsidR="006E50FF" w:rsidRPr="006E50FF" w:rsidRDefault="006E50FF" w:rsidP="006E50FF">
            <w:pPr>
              <w:ind w:left="96" w:right="58"/>
              <w:rPr>
                <w:iCs/>
                <w:sz w:val="16"/>
                <w:szCs w:val="16"/>
              </w:rPr>
            </w:pPr>
            <w:r w:rsidRPr="006E50FF">
              <w:rPr>
                <w:iCs/>
                <w:sz w:val="16"/>
                <w:szCs w:val="16"/>
              </w:rPr>
              <w:t>Residential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0A03F9D5" w14:textId="77777777" w:rsidR="006E50FF" w:rsidRPr="006E50FF" w:rsidRDefault="006E50FF" w:rsidP="006E50FF">
            <w:pPr>
              <w:ind w:left="91" w:right="90"/>
              <w:rPr>
                <w:sz w:val="16"/>
                <w:szCs w:val="16"/>
              </w:rPr>
            </w:pPr>
            <w:r w:rsidRPr="006E50FF">
              <w:rPr>
                <w:sz w:val="16"/>
                <w:szCs w:val="16"/>
              </w:rPr>
              <w:t>Additional plumbing fixtures shall be provided in day care centers and residential facilities as required by this Section.</w:t>
            </w:r>
          </w:p>
        </w:tc>
      </w:tr>
      <w:tr w:rsidR="006E50FF" w:rsidRPr="006E50FF" w14:paraId="5042DF8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FF525C3"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AB677FD" w14:textId="77777777" w:rsidR="006E50FF" w:rsidRPr="006E50FF" w:rsidRDefault="006E50FF" w:rsidP="006E50FF">
            <w:pPr>
              <w:ind w:left="96" w:right="58"/>
              <w:rPr>
                <w:iCs/>
                <w:sz w:val="16"/>
                <w:szCs w:val="16"/>
              </w:rPr>
            </w:pPr>
            <w:r w:rsidRPr="006E50FF">
              <w:rPr>
                <w:iCs/>
                <w:sz w:val="16"/>
                <w:szCs w:val="16"/>
              </w:rPr>
              <w:t>Section 403.6.1, Food Preparation.</w:t>
            </w:r>
          </w:p>
        </w:tc>
        <w:tc>
          <w:tcPr>
            <w:tcW w:w="7043" w:type="dxa"/>
            <w:gridSpan w:val="2"/>
            <w:tcBorders>
              <w:top w:val="single" w:sz="6" w:space="0" w:color="000000"/>
              <w:left w:val="single" w:sz="6" w:space="0" w:color="000000"/>
              <w:bottom w:val="single" w:sz="6" w:space="0" w:color="000000"/>
              <w:right w:val="single" w:sz="6" w:space="0" w:color="000000"/>
            </w:tcBorders>
          </w:tcPr>
          <w:p w14:paraId="7526100E" w14:textId="77777777" w:rsidR="006E50FF" w:rsidRPr="006E50FF" w:rsidRDefault="006E50FF" w:rsidP="006E50FF">
            <w:pPr>
              <w:ind w:left="91" w:right="90"/>
              <w:rPr>
                <w:sz w:val="16"/>
                <w:szCs w:val="16"/>
              </w:rPr>
            </w:pPr>
            <w:r w:rsidRPr="006E50FF">
              <w:rPr>
                <w:sz w:val="16"/>
                <w:szCs w:val="16"/>
              </w:rPr>
              <w:t xml:space="preserve">The food preparation area in pre-schools, day cares, and residential facilities shall meet the following requirements. The food preparation, storage and handling where six or less individuals are cared for shall provide a two- compartment sink and an approved domestic type dishwasher. Where the number of individuals cared for is between 7 and 15, either a three-compartment sink, or an approved domestic or commercial type dishwashing machine and a two-compartment sink with hot and cold running water shall be provided. Where 16 or more individuals are cared for, a three-compartment sink must be provided. If a dishwasher is also utilized in these instances (16 or more individuals), it must be a commercial type and it shall be in addition to the required three- compartment sink. One laundry tray, service sink, or curbed </w:t>
            </w:r>
            <w:r w:rsidRPr="006E50FF">
              <w:rPr>
                <w:sz w:val="16"/>
                <w:szCs w:val="16"/>
              </w:rPr>
              <w:lastRenderedPageBreak/>
              <w:t>cleaning facility with floor drain shall also be provided on the premises for cleaning of mops and mop water disposal.</w:t>
            </w:r>
          </w:p>
        </w:tc>
      </w:tr>
      <w:tr w:rsidR="006E50FF" w:rsidRPr="006E50FF" w14:paraId="76B07C5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086DE71" w14:textId="77777777" w:rsidR="006E50FF" w:rsidRPr="006E50FF" w:rsidRDefault="006E50FF" w:rsidP="006E50FF">
            <w:pPr>
              <w:jc w:val="center"/>
              <w:rPr>
                <w:spacing w:val="-2"/>
                <w:sz w:val="16"/>
                <w:szCs w:val="16"/>
              </w:rPr>
            </w:pPr>
            <w:r w:rsidRPr="006E50FF">
              <w:rPr>
                <w:spacing w:val="-2"/>
                <w:sz w:val="16"/>
                <w:szCs w:val="16"/>
              </w:rPr>
              <w:lastRenderedPageBreak/>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110740F" w14:textId="77777777" w:rsidR="006E50FF" w:rsidRPr="006E50FF" w:rsidRDefault="006E50FF" w:rsidP="006E50FF">
            <w:pPr>
              <w:ind w:left="96" w:right="58"/>
              <w:rPr>
                <w:iCs/>
                <w:sz w:val="16"/>
                <w:szCs w:val="16"/>
              </w:rPr>
            </w:pPr>
            <w:r w:rsidRPr="006E50FF">
              <w:rPr>
                <w:iCs/>
                <w:sz w:val="16"/>
                <w:szCs w:val="16"/>
              </w:rPr>
              <w:t>Section 403.6.2, Caring for Children between 0 and 4 Years of Age.</w:t>
            </w:r>
          </w:p>
        </w:tc>
        <w:tc>
          <w:tcPr>
            <w:tcW w:w="7043" w:type="dxa"/>
            <w:gridSpan w:val="2"/>
            <w:tcBorders>
              <w:top w:val="single" w:sz="6" w:space="0" w:color="000000"/>
              <w:left w:val="single" w:sz="6" w:space="0" w:color="000000"/>
              <w:bottom w:val="single" w:sz="6" w:space="0" w:color="000000"/>
              <w:right w:val="single" w:sz="6" w:space="0" w:color="000000"/>
            </w:tcBorders>
          </w:tcPr>
          <w:p w14:paraId="2F414994" w14:textId="77777777" w:rsidR="006E50FF" w:rsidRPr="006E50FF" w:rsidRDefault="006E50FF" w:rsidP="006E50FF">
            <w:pPr>
              <w:ind w:left="91" w:right="90"/>
              <w:rPr>
                <w:sz w:val="16"/>
                <w:szCs w:val="16"/>
              </w:rPr>
            </w:pPr>
            <w:r w:rsidRPr="006E50FF">
              <w:rPr>
                <w:sz w:val="16"/>
                <w:szCs w:val="16"/>
              </w:rPr>
              <w:t>In child day care facilities, a hand washing sink shall be in or adjacent to each diaper changing area. Training potties shall not be counted as toilets in determining the minimum fixture requirements of Table 403.1. Fixtures shall be size appropriate for the age of the children being cared for (toilets 11 inches maximum height and lavatories 22 inches maximum height), or if standard size fixtures are used, safe, cleanable step aids shall be provided.</w:t>
            </w:r>
          </w:p>
        </w:tc>
      </w:tr>
      <w:tr w:rsidR="006E50FF" w:rsidRPr="006E50FF" w14:paraId="47DC30E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9F240B"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3369F60" w14:textId="77777777" w:rsidR="006E50FF" w:rsidRPr="006E50FF" w:rsidRDefault="006E50FF" w:rsidP="006E50FF">
            <w:pPr>
              <w:ind w:left="96" w:right="58"/>
              <w:rPr>
                <w:iCs/>
                <w:sz w:val="16"/>
                <w:szCs w:val="16"/>
              </w:rPr>
            </w:pPr>
            <w:r w:rsidRPr="006E50FF">
              <w:rPr>
                <w:iCs/>
                <w:sz w:val="16"/>
                <w:szCs w:val="16"/>
              </w:rPr>
              <w:t>Section 403.10.3.1, Minimum Number.</w:t>
            </w:r>
          </w:p>
        </w:tc>
        <w:tc>
          <w:tcPr>
            <w:tcW w:w="7043" w:type="dxa"/>
            <w:gridSpan w:val="2"/>
            <w:tcBorders>
              <w:top w:val="single" w:sz="6" w:space="0" w:color="000000"/>
              <w:left w:val="single" w:sz="6" w:space="0" w:color="000000"/>
              <w:bottom w:val="single" w:sz="6" w:space="0" w:color="000000"/>
              <w:right w:val="single" w:sz="6" w:space="0" w:color="000000"/>
            </w:tcBorders>
          </w:tcPr>
          <w:p w14:paraId="718CF692" w14:textId="77777777" w:rsidR="006E50FF" w:rsidRPr="006E50FF" w:rsidRDefault="006E50FF" w:rsidP="006E50FF">
            <w:pPr>
              <w:ind w:left="91" w:right="90"/>
              <w:rPr>
                <w:sz w:val="16"/>
                <w:szCs w:val="16"/>
              </w:rPr>
            </w:pPr>
            <w:r w:rsidRPr="006E50FF">
              <w:rPr>
                <w:sz w:val="16"/>
                <w:szCs w:val="16"/>
              </w:rPr>
              <w:t>Plumbing fixtures shall be provided in the minimum number as shown in Table 403.1, based on the actual use of the building or space. Uses not shown in Table 403.1 shall be considered individually by the code official. The number of occupants shall be determined by the International Building Code. Public schools shall refer to Section 410 for water bottle filling stations.</w:t>
            </w:r>
          </w:p>
        </w:tc>
      </w:tr>
      <w:tr w:rsidR="006E50FF" w:rsidRPr="006E50FF" w14:paraId="4D5532E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54DF7E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B2BF96F" w14:textId="77777777" w:rsidR="006E50FF" w:rsidRPr="006E50FF" w:rsidRDefault="006E50FF" w:rsidP="006E50FF">
            <w:pPr>
              <w:ind w:left="96" w:right="58"/>
              <w:rPr>
                <w:iCs/>
                <w:sz w:val="16"/>
                <w:szCs w:val="16"/>
              </w:rPr>
            </w:pPr>
            <w:r w:rsidRPr="006E50FF">
              <w:rPr>
                <w:iCs/>
                <w:sz w:val="16"/>
                <w:szCs w:val="16"/>
              </w:rPr>
              <w:t>Section 410, Drinking Fountains.</w:t>
            </w:r>
          </w:p>
        </w:tc>
        <w:tc>
          <w:tcPr>
            <w:tcW w:w="7043" w:type="dxa"/>
            <w:gridSpan w:val="2"/>
            <w:tcBorders>
              <w:top w:val="single" w:sz="6" w:space="0" w:color="000000"/>
              <w:left w:val="single" w:sz="6" w:space="0" w:color="000000"/>
              <w:bottom w:val="single" w:sz="6" w:space="0" w:color="000000"/>
              <w:right w:val="single" w:sz="6" w:space="0" w:color="000000"/>
            </w:tcBorders>
          </w:tcPr>
          <w:p w14:paraId="610D1115" w14:textId="77777777" w:rsidR="006E50FF" w:rsidRPr="006E50FF" w:rsidRDefault="006E50FF" w:rsidP="006E50FF">
            <w:pPr>
              <w:ind w:left="91" w:right="90"/>
              <w:rPr>
                <w:sz w:val="16"/>
                <w:szCs w:val="16"/>
              </w:rPr>
            </w:pPr>
          </w:p>
        </w:tc>
      </w:tr>
      <w:tr w:rsidR="006E50FF" w:rsidRPr="006E50FF" w14:paraId="05C8C58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88EFE2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0B8A1B2" w14:textId="77777777" w:rsidR="006E50FF" w:rsidRPr="006E50FF" w:rsidRDefault="006E50FF" w:rsidP="006E50FF">
            <w:pPr>
              <w:ind w:left="96" w:right="58"/>
              <w:rPr>
                <w:iCs/>
                <w:sz w:val="16"/>
                <w:szCs w:val="16"/>
              </w:rPr>
            </w:pPr>
            <w:r w:rsidRPr="006E50FF">
              <w:rPr>
                <w:iCs/>
                <w:sz w:val="16"/>
                <w:szCs w:val="16"/>
              </w:rPr>
              <w:t>Section 410.2, Small</w:t>
            </w:r>
          </w:p>
          <w:p w14:paraId="461FCB62" w14:textId="77777777" w:rsidR="006E50FF" w:rsidRPr="006E50FF" w:rsidRDefault="006E50FF" w:rsidP="006E50FF">
            <w:pPr>
              <w:ind w:left="96" w:right="58"/>
              <w:rPr>
                <w:iCs/>
                <w:sz w:val="16"/>
                <w:szCs w:val="16"/>
              </w:rPr>
            </w:pPr>
            <w:r w:rsidRPr="006E50FF">
              <w:rPr>
                <w:iCs/>
                <w:sz w:val="16"/>
                <w:szCs w:val="16"/>
              </w:rPr>
              <w:t>occupancies.</w:t>
            </w:r>
          </w:p>
        </w:tc>
        <w:tc>
          <w:tcPr>
            <w:tcW w:w="7043" w:type="dxa"/>
            <w:gridSpan w:val="2"/>
            <w:tcBorders>
              <w:top w:val="single" w:sz="6" w:space="0" w:color="000000"/>
              <w:left w:val="single" w:sz="6" w:space="0" w:color="000000"/>
              <w:bottom w:val="single" w:sz="6" w:space="0" w:color="000000"/>
              <w:right w:val="single" w:sz="6" w:space="0" w:color="000000"/>
            </w:tcBorders>
          </w:tcPr>
          <w:p w14:paraId="4CCA3E67" w14:textId="77777777" w:rsidR="006E50FF" w:rsidRPr="006E50FF" w:rsidRDefault="006E50FF" w:rsidP="006E50FF">
            <w:pPr>
              <w:ind w:left="91" w:right="90"/>
              <w:rPr>
                <w:sz w:val="16"/>
                <w:szCs w:val="16"/>
              </w:rPr>
            </w:pPr>
            <w:r w:rsidRPr="006E50FF">
              <w:rPr>
                <w:sz w:val="16"/>
                <w:szCs w:val="16"/>
              </w:rPr>
              <w:t>Drinking fountains shall not be required for an occupant load of 25 or fewer.</w:t>
            </w:r>
          </w:p>
        </w:tc>
      </w:tr>
      <w:tr w:rsidR="006E50FF" w:rsidRPr="006E50FF" w14:paraId="003BCA9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24E3977"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DFF3BE9" w14:textId="77777777" w:rsidR="006E50FF" w:rsidRPr="006E50FF" w:rsidRDefault="006E50FF" w:rsidP="006E50FF">
            <w:pPr>
              <w:ind w:left="96" w:right="58"/>
              <w:rPr>
                <w:iCs/>
                <w:sz w:val="16"/>
                <w:szCs w:val="16"/>
              </w:rPr>
            </w:pPr>
            <w:r w:rsidRPr="006E50FF">
              <w:rPr>
                <w:iCs/>
                <w:sz w:val="16"/>
                <w:szCs w:val="16"/>
              </w:rPr>
              <w:t>Section 410.3.3, Public Schools.</w:t>
            </w:r>
          </w:p>
        </w:tc>
        <w:tc>
          <w:tcPr>
            <w:tcW w:w="7043" w:type="dxa"/>
            <w:gridSpan w:val="2"/>
            <w:tcBorders>
              <w:top w:val="single" w:sz="6" w:space="0" w:color="000000"/>
              <w:left w:val="single" w:sz="6" w:space="0" w:color="000000"/>
              <w:bottom w:val="single" w:sz="6" w:space="0" w:color="000000"/>
              <w:right w:val="single" w:sz="6" w:space="0" w:color="000000"/>
            </w:tcBorders>
          </w:tcPr>
          <w:p w14:paraId="13AA1D89" w14:textId="77777777" w:rsidR="006E50FF" w:rsidRPr="006E50FF" w:rsidRDefault="006E50FF" w:rsidP="006E50FF">
            <w:pPr>
              <w:ind w:left="91" w:right="90"/>
              <w:rPr>
                <w:sz w:val="16"/>
                <w:szCs w:val="16"/>
              </w:rPr>
            </w:pPr>
            <w:r w:rsidRPr="006E50FF">
              <w:rPr>
                <w:sz w:val="16"/>
                <w:szCs w:val="16"/>
              </w:rPr>
              <w:t>Any new school building and any existing school building that undergoes a major plumbing renovation shall include the following:</w:t>
            </w:r>
          </w:p>
        </w:tc>
      </w:tr>
      <w:tr w:rsidR="006E50FF" w:rsidRPr="006E50FF" w14:paraId="220390B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0D8CB9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8064E0B" w14:textId="77777777" w:rsidR="006E50FF" w:rsidRPr="006E50FF" w:rsidRDefault="006E50FF" w:rsidP="006E50FF">
            <w:pPr>
              <w:ind w:left="96" w:right="58"/>
              <w:rPr>
                <w:iCs/>
                <w:sz w:val="16"/>
                <w:szCs w:val="16"/>
              </w:rPr>
            </w:pPr>
            <w:r w:rsidRPr="006E50FF">
              <w:rPr>
                <w:iCs/>
                <w:sz w:val="16"/>
                <w:szCs w:val="16"/>
              </w:rPr>
              <w:t>Item (1.)</w:t>
            </w:r>
          </w:p>
        </w:tc>
        <w:tc>
          <w:tcPr>
            <w:tcW w:w="7043" w:type="dxa"/>
            <w:gridSpan w:val="2"/>
            <w:tcBorders>
              <w:top w:val="single" w:sz="6" w:space="0" w:color="000000"/>
              <w:left w:val="single" w:sz="6" w:space="0" w:color="000000"/>
              <w:bottom w:val="single" w:sz="6" w:space="0" w:color="000000"/>
              <w:right w:val="single" w:sz="6" w:space="0" w:color="000000"/>
            </w:tcBorders>
          </w:tcPr>
          <w:p w14:paraId="54ECF86F" w14:textId="77777777" w:rsidR="006E50FF" w:rsidRPr="006E50FF" w:rsidRDefault="006E50FF" w:rsidP="006E50FF">
            <w:pPr>
              <w:ind w:left="91" w:right="90"/>
              <w:rPr>
                <w:sz w:val="16"/>
                <w:szCs w:val="16"/>
              </w:rPr>
            </w:pPr>
            <w:r w:rsidRPr="006E50FF">
              <w:rPr>
                <w:sz w:val="16"/>
                <w:szCs w:val="16"/>
              </w:rPr>
              <w:t>At least one water bottle filling station per two hundred people projected to occupy the school building.</w:t>
            </w:r>
          </w:p>
        </w:tc>
      </w:tr>
      <w:tr w:rsidR="006E50FF" w:rsidRPr="006E50FF" w14:paraId="2F3957E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DD3A6E0"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BB5DCE1"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4AE7872B" w14:textId="77777777" w:rsidR="006E50FF" w:rsidRPr="006E50FF" w:rsidRDefault="006E50FF" w:rsidP="006E50FF">
            <w:pPr>
              <w:ind w:left="91" w:right="90"/>
              <w:rPr>
                <w:sz w:val="16"/>
                <w:szCs w:val="16"/>
              </w:rPr>
            </w:pPr>
            <w:r w:rsidRPr="006E50FF">
              <w:rPr>
                <w:sz w:val="16"/>
                <w:szCs w:val="16"/>
              </w:rPr>
              <w:t>At least one water bottle filling station on each floor of the school building.</w:t>
            </w:r>
          </w:p>
        </w:tc>
      </w:tr>
      <w:tr w:rsidR="006E50FF" w:rsidRPr="006E50FF" w14:paraId="579D5B0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5ED5C1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DF26972" w14:textId="77777777" w:rsidR="006E50FF" w:rsidRPr="006E50FF" w:rsidRDefault="006E50FF" w:rsidP="006E50FF">
            <w:pPr>
              <w:ind w:left="96" w:right="58"/>
              <w:rPr>
                <w:iCs/>
                <w:sz w:val="16"/>
                <w:szCs w:val="16"/>
              </w:rPr>
            </w:pPr>
            <w:r w:rsidRPr="006E50FF">
              <w:rPr>
                <w:iCs/>
                <w:sz w:val="16"/>
                <w:szCs w:val="16"/>
              </w:rPr>
              <w:t>Item (3)</w:t>
            </w:r>
          </w:p>
        </w:tc>
        <w:tc>
          <w:tcPr>
            <w:tcW w:w="7043" w:type="dxa"/>
            <w:gridSpan w:val="2"/>
            <w:tcBorders>
              <w:top w:val="single" w:sz="6" w:space="0" w:color="000000"/>
              <w:left w:val="single" w:sz="6" w:space="0" w:color="000000"/>
              <w:bottom w:val="single" w:sz="6" w:space="0" w:color="000000"/>
              <w:right w:val="single" w:sz="6" w:space="0" w:color="000000"/>
            </w:tcBorders>
          </w:tcPr>
          <w:p w14:paraId="17C40FC3" w14:textId="77777777" w:rsidR="006E50FF" w:rsidRPr="006E50FF" w:rsidRDefault="006E50FF" w:rsidP="006E50FF">
            <w:pPr>
              <w:ind w:left="91" w:right="90"/>
              <w:rPr>
                <w:sz w:val="16"/>
                <w:szCs w:val="16"/>
              </w:rPr>
            </w:pPr>
            <w:r w:rsidRPr="006E50FF">
              <w:rPr>
                <w:sz w:val="16"/>
                <w:szCs w:val="16"/>
              </w:rPr>
              <w:t>At least one water bottle filling station located near all cafeterias, gymnasiums, outdoor recreation spaces, and other high-traffic areas</w:t>
            </w:r>
          </w:p>
        </w:tc>
      </w:tr>
      <w:tr w:rsidR="006E50FF" w:rsidRPr="006E50FF" w14:paraId="29F8C2D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ABA9F7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849CB3"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1E7C84A0" w14:textId="77777777" w:rsidR="006E50FF" w:rsidRPr="006E50FF" w:rsidRDefault="006E50FF" w:rsidP="006E50FF">
            <w:pPr>
              <w:ind w:left="91" w:right="90"/>
              <w:rPr>
                <w:sz w:val="16"/>
                <w:szCs w:val="16"/>
              </w:rPr>
            </w:pPr>
          </w:p>
        </w:tc>
      </w:tr>
      <w:tr w:rsidR="006E50FF" w:rsidRPr="006E50FF" w14:paraId="5C8ABB4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758A93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F5FC83E" w14:textId="77777777" w:rsidR="006E50FF" w:rsidRPr="006E50FF" w:rsidRDefault="006E50FF" w:rsidP="006E50FF">
            <w:pPr>
              <w:ind w:left="96" w:right="58"/>
              <w:rPr>
                <w:iCs/>
                <w:sz w:val="16"/>
                <w:szCs w:val="16"/>
              </w:rPr>
            </w:pPr>
            <w:r w:rsidRPr="006E50FF">
              <w:rPr>
                <w:iCs/>
                <w:sz w:val="16"/>
                <w:szCs w:val="16"/>
              </w:rPr>
              <w:t>Item (1)</w:t>
            </w:r>
          </w:p>
        </w:tc>
        <w:tc>
          <w:tcPr>
            <w:tcW w:w="7043" w:type="dxa"/>
            <w:gridSpan w:val="2"/>
            <w:tcBorders>
              <w:top w:val="single" w:sz="6" w:space="0" w:color="000000"/>
              <w:left w:val="single" w:sz="6" w:space="0" w:color="000000"/>
              <w:bottom w:val="single" w:sz="6" w:space="0" w:color="000000"/>
              <w:right w:val="single" w:sz="6" w:space="0" w:color="000000"/>
            </w:tcBorders>
          </w:tcPr>
          <w:p w14:paraId="0891CDA4" w14:textId="77777777" w:rsidR="006E50FF" w:rsidRPr="006E50FF" w:rsidRDefault="006E50FF" w:rsidP="006E50FF">
            <w:pPr>
              <w:ind w:left="91" w:right="90"/>
              <w:rPr>
                <w:sz w:val="16"/>
                <w:szCs w:val="16"/>
              </w:rPr>
            </w:pPr>
            <w:r w:rsidRPr="006E50FF">
              <w:rPr>
                <w:sz w:val="16"/>
                <w:szCs w:val="16"/>
              </w:rPr>
              <w:t>A city, parish, or other local public school board may install more filling stations as deemed appropriate.</w:t>
            </w:r>
          </w:p>
        </w:tc>
      </w:tr>
      <w:tr w:rsidR="006E50FF" w:rsidRPr="006E50FF" w14:paraId="316AE48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3EB30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D6734DC"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2B63DEE6" w14:textId="77777777" w:rsidR="006E50FF" w:rsidRPr="006E50FF" w:rsidRDefault="006E50FF" w:rsidP="006E50FF">
            <w:pPr>
              <w:ind w:left="91" w:right="90"/>
              <w:rPr>
                <w:sz w:val="16"/>
                <w:szCs w:val="16"/>
              </w:rPr>
            </w:pPr>
            <w:r w:rsidRPr="006E50FF">
              <w:rPr>
                <w:sz w:val="16"/>
                <w:szCs w:val="16"/>
              </w:rPr>
              <w:t>Plans for an existing school building may include retrofitting existing drinking fountains into water bottle filling stations.</w:t>
            </w:r>
          </w:p>
        </w:tc>
      </w:tr>
      <w:tr w:rsidR="006E50FF" w:rsidRPr="006E50FF" w14:paraId="1300CA0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CCD4FF3"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B811FBB" w14:textId="77777777" w:rsidR="006E50FF" w:rsidRPr="006E50FF" w:rsidRDefault="006E50FF" w:rsidP="006E50FF">
            <w:pPr>
              <w:ind w:left="96" w:right="58"/>
              <w:rPr>
                <w:iCs/>
                <w:sz w:val="16"/>
                <w:szCs w:val="16"/>
              </w:rPr>
            </w:pPr>
            <w:r w:rsidRPr="006E50FF">
              <w:rPr>
                <w:iCs/>
                <w:sz w:val="16"/>
                <w:szCs w:val="16"/>
              </w:rPr>
              <w:t>Section 410.4, Substitutions.</w:t>
            </w:r>
          </w:p>
        </w:tc>
        <w:tc>
          <w:tcPr>
            <w:tcW w:w="7043" w:type="dxa"/>
            <w:gridSpan w:val="2"/>
            <w:tcBorders>
              <w:top w:val="single" w:sz="6" w:space="0" w:color="000000"/>
              <w:left w:val="single" w:sz="6" w:space="0" w:color="000000"/>
              <w:bottom w:val="single" w:sz="6" w:space="0" w:color="000000"/>
              <w:right w:val="single" w:sz="6" w:space="0" w:color="000000"/>
            </w:tcBorders>
          </w:tcPr>
          <w:p w14:paraId="43AB058D" w14:textId="77777777" w:rsidR="006E50FF" w:rsidRPr="006E50FF" w:rsidRDefault="006E50FF" w:rsidP="006E50FF">
            <w:pPr>
              <w:ind w:left="91" w:right="90"/>
              <w:rPr>
                <w:sz w:val="16"/>
                <w:szCs w:val="16"/>
              </w:rPr>
            </w:pPr>
            <w:r w:rsidRPr="006E50FF">
              <w:rPr>
                <w:sz w:val="16"/>
                <w:szCs w:val="16"/>
              </w:rPr>
              <w:t>Where restaurants, daycare centers, bars, lounges, taverns occupancies provide drinking water in a container free of charge, drinking fountains shall not be required in those occupancies. In other occupancies where three or more drinking fountains are required, water dispensers shall be permitted to be substituted for not more than 50 percent of the required number of drinking fountains.</w:t>
            </w:r>
          </w:p>
        </w:tc>
      </w:tr>
      <w:tr w:rsidR="006E50FF" w:rsidRPr="006E50FF" w14:paraId="4D1EA0C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053B6F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69F6A63" w14:textId="77777777" w:rsidR="006E50FF" w:rsidRPr="006E50FF" w:rsidRDefault="006E50FF" w:rsidP="006E50FF">
            <w:pPr>
              <w:ind w:left="96" w:right="58"/>
              <w:rPr>
                <w:iCs/>
                <w:sz w:val="16"/>
                <w:szCs w:val="16"/>
              </w:rPr>
            </w:pPr>
            <w:r w:rsidRPr="006E50FF">
              <w:rPr>
                <w:iCs/>
                <w:sz w:val="16"/>
                <w:szCs w:val="16"/>
              </w:rPr>
              <w:t>Section 410.6, Minimum Required Separation from Contamination.</w:t>
            </w:r>
          </w:p>
        </w:tc>
        <w:tc>
          <w:tcPr>
            <w:tcW w:w="7043" w:type="dxa"/>
            <w:gridSpan w:val="2"/>
            <w:tcBorders>
              <w:top w:val="single" w:sz="6" w:space="0" w:color="000000"/>
              <w:left w:val="single" w:sz="6" w:space="0" w:color="000000"/>
              <w:bottom w:val="single" w:sz="6" w:space="0" w:color="000000"/>
              <w:right w:val="single" w:sz="6" w:space="0" w:color="000000"/>
            </w:tcBorders>
          </w:tcPr>
          <w:p w14:paraId="6CC1426F" w14:textId="77777777" w:rsidR="006E50FF" w:rsidRPr="006E50FF" w:rsidRDefault="006E50FF" w:rsidP="006E50FF">
            <w:pPr>
              <w:ind w:left="91" w:right="90"/>
              <w:rPr>
                <w:sz w:val="16"/>
                <w:szCs w:val="16"/>
              </w:rPr>
            </w:pPr>
            <w:r w:rsidRPr="006E50FF">
              <w:rPr>
                <w:sz w:val="16"/>
                <w:szCs w:val="16"/>
              </w:rPr>
              <w:t>Drinking fountain fixtures shall provide a minimum requirement of 18 inches of separation from its water outlet (spigot) to any source of contamination. Combination sink/drinking fountain units shall provide a minimum of 18 inches between the drinking fountain water outlet (spigot) and the nearest outside rim of the sink bowl [or other source(s) of contamination].</w:t>
            </w:r>
          </w:p>
        </w:tc>
      </w:tr>
      <w:tr w:rsidR="006E50FF" w:rsidRPr="006E50FF" w14:paraId="5D7C5E0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B0B915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5D3B1A2"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55529DCB" w14:textId="77777777" w:rsidR="006E50FF" w:rsidRPr="006E50FF" w:rsidRDefault="006E50FF" w:rsidP="006E50FF">
            <w:pPr>
              <w:ind w:left="91" w:right="90"/>
              <w:rPr>
                <w:sz w:val="16"/>
                <w:szCs w:val="16"/>
              </w:rPr>
            </w:pPr>
          </w:p>
        </w:tc>
      </w:tr>
      <w:tr w:rsidR="006E50FF" w:rsidRPr="006E50FF" w14:paraId="799C1F2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72FC787"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F063420"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C0A7E4D" w14:textId="77777777" w:rsidR="006E50FF" w:rsidRPr="006E50FF" w:rsidRDefault="006E50FF" w:rsidP="006E50FF">
            <w:pPr>
              <w:ind w:left="91" w:right="90"/>
              <w:rPr>
                <w:sz w:val="16"/>
                <w:szCs w:val="16"/>
              </w:rPr>
            </w:pPr>
            <w:r w:rsidRPr="006E50FF">
              <w:rPr>
                <w:sz w:val="16"/>
                <w:szCs w:val="16"/>
              </w:rPr>
              <w:t>1. This 18 inch minimum separation may only be reduced by the use of a vertical shield made of a smooth, easily cleaned surface that is attached flush with the top surface of the unit and extends to a distance at least 18 inches in height above the drinking fountain water outlet (spigot) level.</w:t>
            </w:r>
          </w:p>
        </w:tc>
      </w:tr>
      <w:tr w:rsidR="006E50FF" w:rsidRPr="006E50FF" w14:paraId="32708AF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564B49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37134B7"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9000FF3" w14:textId="77777777" w:rsidR="006E50FF" w:rsidRPr="006E50FF" w:rsidRDefault="006E50FF" w:rsidP="006E50FF">
            <w:pPr>
              <w:ind w:left="91" w:right="90"/>
              <w:rPr>
                <w:sz w:val="16"/>
                <w:szCs w:val="16"/>
              </w:rPr>
            </w:pPr>
            <w:r w:rsidRPr="006E50FF">
              <w:rPr>
                <w:sz w:val="16"/>
                <w:szCs w:val="16"/>
              </w:rPr>
              <w:t>2. Prohibited Fixture. Combination sink/drinking fountain units which share the same sink bowl are prohibited except in individual prison cells.”</w:t>
            </w:r>
          </w:p>
        </w:tc>
      </w:tr>
      <w:tr w:rsidR="006E50FF" w:rsidRPr="006E50FF" w14:paraId="2AB75BD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290B7B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4E5D7D4"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095B7C2" w14:textId="77777777" w:rsidR="006E50FF" w:rsidRPr="006E50FF" w:rsidRDefault="006E50FF" w:rsidP="006E50FF">
            <w:pPr>
              <w:ind w:left="91" w:right="90"/>
              <w:rPr>
                <w:sz w:val="16"/>
                <w:szCs w:val="16"/>
              </w:rPr>
            </w:pPr>
            <w:r w:rsidRPr="006E50FF">
              <w:rPr>
                <w:sz w:val="16"/>
                <w:szCs w:val="16"/>
              </w:rPr>
              <w:t>2. A floor drain shall be required in the recess room for sterilizers in a medical facility.</w:t>
            </w:r>
          </w:p>
        </w:tc>
      </w:tr>
      <w:tr w:rsidR="006E50FF" w:rsidRPr="006E50FF" w14:paraId="7F20875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74B93E2"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9752F34" w14:textId="77777777" w:rsidR="006E50FF" w:rsidRPr="006E50FF" w:rsidRDefault="006E50FF" w:rsidP="006E50FF">
            <w:pPr>
              <w:ind w:left="96" w:right="58"/>
              <w:rPr>
                <w:iCs/>
                <w:sz w:val="16"/>
                <w:szCs w:val="16"/>
              </w:rPr>
            </w:pPr>
            <w:r w:rsidRPr="006E50FF">
              <w:rPr>
                <w:iCs/>
                <w:sz w:val="16"/>
                <w:szCs w:val="16"/>
              </w:rPr>
              <w:t>Section 413, Floor and Trench Drains.</w:t>
            </w:r>
          </w:p>
        </w:tc>
        <w:tc>
          <w:tcPr>
            <w:tcW w:w="7043" w:type="dxa"/>
            <w:gridSpan w:val="2"/>
            <w:tcBorders>
              <w:top w:val="single" w:sz="6" w:space="0" w:color="000000"/>
              <w:left w:val="single" w:sz="6" w:space="0" w:color="000000"/>
              <w:bottom w:val="single" w:sz="6" w:space="0" w:color="000000"/>
              <w:right w:val="single" w:sz="6" w:space="0" w:color="000000"/>
            </w:tcBorders>
          </w:tcPr>
          <w:p w14:paraId="6FA09928" w14:textId="77777777" w:rsidR="006E50FF" w:rsidRPr="006E50FF" w:rsidRDefault="006E50FF" w:rsidP="006E50FF">
            <w:pPr>
              <w:ind w:left="91" w:right="90"/>
              <w:rPr>
                <w:sz w:val="16"/>
                <w:szCs w:val="16"/>
              </w:rPr>
            </w:pPr>
          </w:p>
        </w:tc>
      </w:tr>
      <w:tr w:rsidR="006E50FF" w:rsidRPr="006E50FF" w14:paraId="076FA96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DF61A76"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561D758" w14:textId="77777777" w:rsidR="006E50FF" w:rsidRPr="006E50FF" w:rsidRDefault="006E50FF" w:rsidP="006E50FF">
            <w:pPr>
              <w:ind w:left="96" w:right="58"/>
              <w:rPr>
                <w:iCs/>
                <w:sz w:val="16"/>
                <w:szCs w:val="16"/>
              </w:rPr>
            </w:pPr>
            <w:r w:rsidRPr="006E50FF">
              <w:rPr>
                <w:iCs/>
                <w:sz w:val="16"/>
                <w:szCs w:val="16"/>
              </w:rPr>
              <w:t>Section 413.5,</w:t>
            </w:r>
          </w:p>
          <w:p w14:paraId="158F0078" w14:textId="77777777" w:rsidR="006E50FF" w:rsidRPr="006E50FF" w:rsidRDefault="006E50FF" w:rsidP="006E50FF">
            <w:pPr>
              <w:ind w:left="96" w:right="58"/>
              <w:rPr>
                <w:iCs/>
                <w:sz w:val="16"/>
                <w:szCs w:val="16"/>
              </w:rPr>
            </w:pPr>
            <w:r w:rsidRPr="006E50FF">
              <w:rPr>
                <w:iCs/>
                <w:sz w:val="16"/>
                <w:szCs w:val="16"/>
              </w:rPr>
              <w:t>Miscellaneous Areas</w:t>
            </w:r>
          </w:p>
        </w:tc>
        <w:tc>
          <w:tcPr>
            <w:tcW w:w="7043" w:type="dxa"/>
            <w:gridSpan w:val="2"/>
            <w:tcBorders>
              <w:top w:val="single" w:sz="6" w:space="0" w:color="000000"/>
              <w:left w:val="single" w:sz="6" w:space="0" w:color="000000"/>
              <w:bottom w:val="single" w:sz="6" w:space="0" w:color="000000"/>
              <w:right w:val="single" w:sz="6" w:space="0" w:color="000000"/>
            </w:tcBorders>
          </w:tcPr>
          <w:p w14:paraId="2A11C999" w14:textId="77777777" w:rsidR="006E50FF" w:rsidRPr="006E50FF" w:rsidRDefault="006E50FF" w:rsidP="006E50FF">
            <w:pPr>
              <w:ind w:left="91" w:right="90"/>
              <w:rPr>
                <w:sz w:val="16"/>
                <w:szCs w:val="16"/>
              </w:rPr>
            </w:pPr>
          </w:p>
        </w:tc>
      </w:tr>
      <w:tr w:rsidR="006E50FF" w:rsidRPr="006E50FF" w14:paraId="79F0C58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1C3B94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CA89EB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BDE4B04" w14:textId="77777777" w:rsidR="006E50FF" w:rsidRPr="006E50FF" w:rsidRDefault="006E50FF" w:rsidP="006E50FF">
            <w:pPr>
              <w:ind w:left="91" w:right="90"/>
              <w:rPr>
                <w:sz w:val="16"/>
                <w:szCs w:val="16"/>
              </w:rPr>
            </w:pPr>
            <w:r w:rsidRPr="006E50FF">
              <w:rPr>
                <w:sz w:val="16"/>
                <w:szCs w:val="16"/>
              </w:rPr>
              <w:t>1. A floor drain shall be required in public toilet rooms, excluding hotel/motel guest rooms or patient rooms of a hospital or nursing home.</w:t>
            </w:r>
          </w:p>
        </w:tc>
      </w:tr>
      <w:tr w:rsidR="006E50FF" w:rsidRPr="006E50FF" w14:paraId="1230AAC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4D777A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91736B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A9BB30D" w14:textId="77777777" w:rsidR="006E50FF" w:rsidRPr="006E50FF" w:rsidRDefault="006E50FF" w:rsidP="006E50FF">
            <w:pPr>
              <w:ind w:left="91" w:right="90"/>
              <w:rPr>
                <w:sz w:val="16"/>
                <w:szCs w:val="16"/>
              </w:rPr>
            </w:pPr>
            <w:r w:rsidRPr="006E50FF">
              <w:rPr>
                <w:sz w:val="16"/>
                <w:szCs w:val="16"/>
              </w:rPr>
              <w:t>2. A floor drain shall be required in the recess room for sterilizers in a medical facility.</w:t>
            </w:r>
          </w:p>
        </w:tc>
      </w:tr>
      <w:tr w:rsidR="006E50FF" w:rsidRPr="006E50FF" w14:paraId="43892E7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155356"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D2AF46A"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3EF6F2E" w14:textId="77777777" w:rsidR="006E50FF" w:rsidRPr="006E50FF" w:rsidRDefault="006E50FF" w:rsidP="006E50FF">
            <w:pPr>
              <w:ind w:left="91" w:right="90"/>
              <w:rPr>
                <w:sz w:val="16"/>
                <w:szCs w:val="16"/>
              </w:rPr>
            </w:pPr>
            <w:r w:rsidRPr="006E50FF">
              <w:rPr>
                <w:sz w:val="16"/>
                <w:szCs w:val="16"/>
              </w:rPr>
              <w:t>3. Floor drains are not permitted in general food storage areas, unless in accordance with Section 802.1.1 or 802.1.2 of this code.</w:t>
            </w:r>
          </w:p>
        </w:tc>
      </w:tr>
      <w:tr w:rsidR="006E50FF" w:rsidRPr="006E50FF" w14:paraId="1B3C75F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0C8AE0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DC9F740" w14:textId="77777777" w:rsidR="006E50FF" w:rsidRPr="006E50FF" w:rsidRDefault="006E50FF" w:rsidP="006E50FF">
            <w:pPr>
              <w:ind w:left="96" w:right="58"/>
              <w:rPr>
                <w:iCs/>
                <w:sz w:val="16"/>
                <w:szCs w:val="16"/>
              </w:rPr>
            </w:pPr>
            <w:r w:rsidRPr="006E50FF">
              <w:rPr>
                <w:iCs/>
                <w:sz w:val="16"/>
                <w:szCs w:val="16"/>
              </w:rPr>
              <w:t>Section 421.3, Shower Waste Outlet.</w:t>
            </w:r>
          </w:p>
        </w:tc>
        <w:tc>
          <w:tcPr>
            <w:tcW w:w="7043" w:type="dxa"/>
            <w:gridSpan w:val="2"/>
            <w:tcBorders>
              <w:top w:val="single" w:sz="6" w:space="0" w:color="000000"/>
              <w:left w:val="single" w:sz="6" w:space="0" w:color="000000"/>
              <w:bottom w:val="single" w:sz="6" w:space="0" w:color="000000"/>
              <w:right w:val="single" w:sz="6" w:space="0" w:color="000000"/>
            </w:tcBorders>
          </w:tcPr>
          <w:p w14:paraId="381F1384" w14:textId="77777777" w:rsidR="006E50FF" w:rsidRPr="006E50FF" w:rsidRDefault="006E50FF" w:rsidP="006E50FF">
            <w:pPr>
              <w:ind w:left="91" w:right="90"/>
              <w:rPr>
                <w:sz w:val="16"/>
                <w:szCs w:val="16"/>
              </w:rPr>
            </w:pPr>
            <w:r w:rsidRPr="006E50FF">
              <w:rPr>
                <w:sz w:val="16"/>
                <w:szCs w:val="16"/>
              </w:rPr>
              <w:t>Waste outlets serving showers shall be not less than 2 inches (50.8 mm) in diameter and, for other than waster outlets in bathtubs, shall have removable strainers not less than 3 inches (76 mm) in diameter with strainer openings not less than 1/4 inch (6.4 mm) in least dimension. Where each shower space is not provided with an individual waste outlet, the waste outlet shall be located and the floor pitched so that waste from one shower does not flow over the floor area serving another shower. Waste outlets shall be fastened to the waste pipe in an approved manner.</w:t>
            </w:r>
          </w:p>
        </w:tc>
      </w:tr>
      <w:tr w:rsidR="006E50FF" w:rsidRPr="006E50FF" w14:paraId="7A02CBE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985B5E7"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9A05BD3" w14:textId="77777777" w:rsidR="006E50FF" w:rsidRPr="006E50FF" w:rsidRDefault="006E50FF" w:rsidP="006E50FF">
            <w:pPr>
              <w:ind w:left="96" w:right="58"/>
              <w:rPr>
                <w:iCs/>
                <w:sz w:val="16"/>
                <w:szCs w:val="16"/>
              </w:rPr>
            </w:pPr>
            <w:r w:rsidRPr="006E50FF">
              <w:rPr>
                <w:iCs/>
                <w:sz w:val="16"/>
                <w:szCs w:val="16"/>
              </w:rPr>
              <w:t>Section 422.4, Handwash Sinks.</w:t>
            </w:r>
          </w:p>
        </w:tc>
        <w:tc>
          <w:tcPr>
            <w:tcW w:w="7043" w:type="dxa"/>
            <w:gridSpan w:val="2"/>
            <w:tcBorders>
              <w:top w:val="single" w:sz="6" w:space="0" w:color="000000"/>
              <w:left w:val="single" w:sz="6" w:space="0" w:color="000000"/>
              <w:bottom w:val="single" w:sz="6" w:space="0" w:color="000000"/>
              <w:right w:val="single" w:sz="6" w:space="0" w:color="000000"/>
            </w:tcBorders>
          </w:tcPr>
          <w:p w14:paraId="37EF7FB3" w14:textId="77777777" w:rsidR="006E50FF" w:rsidRPr="006E50FF" w:rsidRDefault="006E50FF" w:rsidP="006E50FF">
            <w:pPr>
              <w:ind w:left="91" w:right="90"/>
              <w:rPr>
                <w:sz w:val="16"/>
                <w:szCs w:val="16"/>
              </w:rPr>
            </w:pPr>
          </w:p>
        </w:tc>
      </w:tr>
      <w:tr w:rsidR="006E50FF" w:rsidRPr="006E50FF" w14:paraId="27FC284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854F02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D8EBC0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7D1000F" w14:textId="77777777" w:rsidR="006E50FF" w:rsidRPr="006E50FF" w:rsidRDefault="006E50FF" w:rsidP="006E50FF">
            <w:pPr>
              <w:ind w:left="91" w:right="90"/>
              <w:rPr>
                <w:sz w:val="16"/>
                <w:szCs w:val="16"/>
              </w:rPr>
            </w:pPr>
            <w:r w:rsidRPr="006E50FF">
              <w:rPr>
                <w:sz w:val="16"/>
                <w:szCs w:val="16"/>
              </w:rPr>
              <w:t>1. Dedicated handwash sinks shall be located to permit convenient use by all employees in food processing, food preparation, and other food handling areas.</w:t>
            </w:r>
          </w:p>
        </w:tc>
      </w:tr>
      <w:tr w:rsidR="006E50FF" w:rsidRPr="006E50FF" w14:paraId="22864C1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FA1E3C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0ABA3FA"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3BE9C7D" w14:textId="77777777" w:rsidR="006E50FF" w:rsidRPr="006E50FF" w:rsidRDefault="006E50FF" w:rsidP="006E50FF">
            <w:pPr>
              <w:ind w:left="91" w:right="90"/>
              <w:rPr>
                <w:sz w:val="16"/>
                <w:szCs w:val="16"/>
              </w:rPr>
            </w:pPr>
            <w:r w:rsidRPr="006E50FF">
              <w:rPr>
                <w:sz w:val="16"/>
                <w:szCs w:val="16"/>
              </w:rPr>
              <w:t>2. Each commercial body art (tattoo) facility shall provide a hand washing sink to be used solely for hand washing in body art procedure area for the exclusive use of the operator. A separate instrument sink shall also be provided for the sole purpose of cleaning instruments and equipment prior to sterilization.</w:t>
            </w:r>
          </w:p>
        </w:tc>
      </w:tr>
      <w:tr w:rsidR="006E50FF" w:rsidRPr="006E50FF" w14:paraId="5D4A508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522D32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0C0244"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BBFEF41" w14:textId="77777777" w:rsidR="006E50FF" w:rsidRPr="006E50FF" w:rsidRDefault="006E50FF" w:rsidP="006E50FF">
            <w:pPr>
              <w:ind w:left="91" w:right="90"/>
              <w:rPr>
                <w:sz w:val="16"/>
                <w:szCs w:val="16"/>
              </w:rPr>
            </w:pPr>
            <w:r w:rsidRPr="006E50FF">
              <w:rPr>
                <w:sz w:val="16"/>
                <w:szCs w:val="16"/>
              </w:rPr>
              <w:t>3. A hand washing sink may not be used for purposes other than hand washing.</w:t>
            </w:r>
          </w:p>
        </w:tc>
      </w:tr>
      <w:tr w:rsidR="006E50FF" w:rsidRPr="006E50FF" w14:paraId="2E06CDB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7002290"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B3AA7C9"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44389B6" w14:textId="77777777" w:rsidR="006E50FF" w:rsidRPr="006E50FF" w:rsidRDefault="006E50FF" w:rsidP="006E50FF">
            <w:pPr>
              <w:ind w:left="91" w:right="90"/>
              <w:rPr>
                <w:sz w:val="16"/>
                <w:szCs w:val="16"/>
              </w:rPr>
            </w:pPr>
            <w:r w:rsidRPr="006E50FF">
              <w:rPr>
                <w:sz w:val="16"/>
                <w:szCs w:val="16"/>
              </w:rPr>
              <w:t>4. Sinks used for food preparation or for washing and sanitizing of equipment and utensils shall not be used for hand washing.</w:t>
            </w:r>
          </w:p>
        </w:tc>
      </w:tr>
      <w:tr w:rsidR="006E50FF" w:rsidRPr="006E50FF" w14:paraId="046F015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0F44C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2CDF822" w14:textId="77777777" w:rsidR="006E50FF" w:rsidRPr="006E50FF" w:rsidRDefault="006E50FF" w:rsidP="006E50FF">
            <w:pPr>
              <w:ind w:left="96" w:right="58"/>
              <w:rPr>
                <w:iCs/>
                <w:sz w:val="16"/>
                <w:szCs w:val="16"/>
              </w:rPr>
            </w:pPr>
            <w:r w:rsidRPr="006E50FF">
              <w:rPr>
                <w:iCs/>
                <w:sz w:val="16"/>
                <w:szCs w:val="16"/>
              </w:rPr>
              <w:t>Section 422.5, Manual Warewashing, Sink Requirements.</w:t>
            </w:r>
          </w:p>
        </w:tc>
        <w:tc>
          <w:tcPr>
            <w:tcW w:w="7043" w:type="dxa"/>
            <w:gridSpan w:val="2"/>
            <w:tcBorders>
              <w:top w:val="single" w:sz="6" w:space="0" w:color="000000"/>
              <w:left w:val="single" w:sz="6" w:space="0" w:color="000000"/>
              <w:bottom w:val="single" w:sz="6" w:space="0" w:color="000000"/>
              <w:right w:val="single" w:sz="6" w:space="0" w:color="000000"/>
            </w:tcBorders>
          </w:tcPr>
          <w:p w14:paraId="52B4FD87" w14:textId="77777777" w:rsidR="006E50FF" w:rsidRPr="006E50FF" w:rsidRDefault="006E50FF" w:rsidP="006E50FF">
            <w:pPr>
              <w:ind w:left="91" w:right="90"/>
              <w:rPr>
                <w:sz w:val="16"/>
                <w:szCs w:val="16"/>
              </w:rPr>
            </w:pPr>
            <w:r w:rsidRPr="006E50FF">
              <w:rPr>
                <w:sz w:val="16"/>
                <w:szCs w:val="16"/>
              </w:rPr>
              <w:t>A sink with at least three compartments constructed of smooth, impervious non-corrosive material such as stainless steel or high density food grade polymer plastic shall be provided in slaughter rooms, packing rooms, retail food establishments, and other food handling areas for manual washing, rinsing and sanitizing equipment and utensils except where there are no utensils or equipment to wash, rinse and sanitize; i.e., such as in a facility with only prepackaged foods.</w:t>
            </w:r>
          </w:p>
        </w:tc>
      </w:tr>
      <w:tr w:rsidR="006E50FF" w:rsidRPr="006E50FF" w14:paraId="753E352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192D2D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8AEC44A" w14:textId="77777777" w:rsidR="006E50FF" w:rsidRPr="006E50FF" w:rsidRDefault="006E50FF" w:rsidP="006E50FF">
            <w:pPr>
              <w:ind w:left="96" w:right="58"/>
              <w:rPr>
                <w:iCs/>
                <w:sz w:val="16"/>
                <w:szCs w:val="16"/>
              </w:rPr>
            </w:pPr>
            <w:r w:rsidRPr="006E50FF">
              <w:rPr>
                <w:iCs/>
                <w:sz w:val="16"/>
                <w:szCs w:val="16"/>
              </w:rPr>
              <w:t>Section 422.6, Handwashing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13AD2A58" w14:textId="77777777" w:rsidR="006E50FF" w:rsidRPr="006E50FF" w:rsidRDefault="006E50FF" w:rsidP="006E50FF">
            <w:pPr>
              <w:ind w:left="91" w:right="90"/>
              <w:rPr>
                <w:sz w:val="16"/>
                <w:szCs w:val="16"/>
              </w:rPr>
            </w:pPr>
            <w:r w:rsidRPr="006E50FF">
              <w:rPr>
                <w:sz w:val="16"/>
                <w:szCs w:val="16"/>
              </w:rPr>
              <w:t>Medical facilities, including doctor’s office and clinics, shall be provided with hand washing facilities within each patient examination and treatment room. The hand wash facility shall be provided with hot and cold water delivered via a mixing faucet.</w:t>
            </w:r>
          </w:p>
        </w:tc>
      </w:tr>
      <w:tr w:rsidR="006E50FF" w:rsidRPr="006E50FF" w14:paraId="60554A2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E8AFCED"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515FA6B"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1734D17C" w14:textId="77777777" w:rsidR="006E50FF" w:rsidRPr="006E50FF" w:rsidRDefault="006E50FF" w:rsidP="006E50FF">
            <w:pPr>
              <w:ind w:left="91" w:right="90"/>
              <w:rPr>
                <w:sz w:val="16"/>
                <w:szCs w:val="16"/>
              </w:rPr>
            </w:pPr>
            <w:r w:rsidRPr="006E50FF">
              <w:rPr>
                <w:sz w:val="16"/>
                <w:szCs w:val="16"/>
              </w:rPr>
              <w:t xml:space="preserve">1. In healthcare setting such as doctor's offices and clinics where there is no reasonably anticipated exposure to blood or other potentially infectious materials (OPIM), where hands are not expected to be visibly soiled and clinical situations described in items 1C-J (IA) (74,93,166,169,283,294,312,398) are followed, use of an alcohol-based hand rub for routinely decontaminating hands shall be allowed in lieu of </w:t>
            </w:r>
            <w:r w:rsidRPr="006E50FF">
              <w:rPr>
                <w:sz w:val="16"/>
                <w:szCs w:val="16"/>
              </w:rPr>
              <w:lastRenderedPageBreak/>
              <w:t>handwashing facilities. The design professional shall provide documentation to the building official specifying the anticipated exposure.</w:t>
            </w:r>
          </w:p>
        </w:tc>
      </w:tr>
      <w:tr w:rsidR="006E50FF" w:rsidRPr="006E50FF" w14:paraId="3A141EFB" w14:textId="77777777" w:rsidTr="0088638B">
        <w:trPr>
          <w:trHeight w:val="187"/>
        </w:trPr>
        <w:tc>
          <w:tcPr>
            <w:tcW w:w="1072" w:type="dxa"/>
          </w:tcPr>
          <w:p w14:paraId="4309A3C9" w14:textId="77777777" w:rsidR="006E50FF" w:rsidRPr="006E50FF" w:rsidRDefault="006E50FF" w:rsidP="006E50FF">
            <w:pPr>
              <w:widowControl w:val="0"/>
              <w:autoSpaceDE w:val="0"/>
              <w:autoSpaceDN w:val="0"/>
              <w:jc w:val="center"/>
              <w:rPr>
                <w:sz w:val="16"/>
                <w:szCs w:val="16"/>
              </w:rPr>
            </w:pPr>
            <w:r w:rsidRPr="006E50FF">
              <w:rPr>
                <w:spacing w:val="-2"/>
                <w:sz w:val="16"/>
                <w:szCs w:val="16"/>
              </w:rPr>
              <w:lastRenderedPageBreak/>
              <w:t>Amend</w:t>
            </w:r>
          </w:p>
        </w:tc>
        <w:tc>
          <w:tcPr>
            <w:tcW w:w="9458" w:type="dxa"/>
            <w:gridSpan w:val="4"/>
          </w:tcPr>
          <w:p w14:paraId="63DD4104" w14:textId="77777777" w:rsidR="006E50FF" w:rsidRPr="006E50FF" w:rsidRDefault="006E50FF" w:rsidP="006E50FF">
            <w:pPr>
              <w:widowControl w:val="0"/>
              <w:autoSpaceDE w:val="0"/>
              <w:autoSpaceDN w:val="0"/>
              <w:ind w:left="96" w:right="90"/>
              <w:rPr>
                <w:sz w:val="16"/>
                <w:szCs w:val="16"/>
              </w:rPr>
            </w:pPr>
            <w:r w:rsidRPr="006E50FF">
              <w:rPr>
                <w:sz w:val="16"/>
                <w:szCs w:val="16"/>
              </w:rPr>
              <w:t>Chapter</w:t>
            </w:r>
            <w:r w:rsidRPr="006E50FF">
              <w:rPr>
                <w:spacing w:val="-6"/>
                <w:sz w:val="16"/>
                <w:szCs w:val="16"/>
              </w:rPr>
              <w:t xml:space="preserve"> </w:t>
            </w:r>
            <w:r w:rsidRPr="006E50FF">
              <w:rPr>
                <w:sz w:val="16"/>
                <w:szCs w:val="16"/>
              </w:rPr>
              <w:t>5,</w:t>
            </w:r>
            <w:r w:rsidRPr="006E50FF">
              <w:rPr>
                <w:spacing w:val="-5"/>
                <w:sz w:val="16"/>
                <w:szCs w:val="16"/>
              </w:rPr>
              <w:t xml:space="preserve"> </w:t>
            </w:r>
            <w:r w:rsidRPr="006E50FF">
              <w:rPr>
                <w:sz w:val="16"/>
                <w:szCs w:val="16"/>
              </w:rPr>
              <w:t>Water</w:t>
            </w:r>
            <w:r w:rsidRPr="006E50FF">
              <w:rPr>
                <w:spacing w:val="-5"/>
                <w:sz w:val="16"/>
                <w:szCs w:val="16"/>
              </w:rPr>
              <w:t xml:space="preserve"> </w:t>
            </w:r>
            <w:r w:rsidRPr="006E50FF">
              <w:rPr>
                <w:spacing w:val="-2"/>
                <w:sz w:val="16"/>
                <w:szCs w:val="16"/>
              </w:rPr>
              <w:t>Heaters</w:t>
            </w:r>
          </w:p>
        </w:tc>
      </w:tr>
      <w:tr w:rsidR="006E50FF" w:rsidRPr="006E50FF" w14:paraId="6748AD40" w14:textId="77777777" w:rsidTr="0088638B">
        <w:trPr>
          <w:trHeight w:val="187"/>
        </w:trPr>
        <w:tc>
          <w:tcPr>
            <w:tcW w:w="1072" w:type="dxa"/>
          </w:tcPr>
          <w:p w14:paraId="30F54592"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C7AC955"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8"/>
                <w:sz w:val="16"/>
                <w:szCs w:val="16"/>
              </w:rPr>
              <w:t xml:space="preserve"> </w:t>
            </w:r>
            <w:r w:rsidRPr="006E50FF">
              <w:rPr>
                <w:spacing w:val="-2"/>
                <w:sz w:val="16"/>
                <w:szCs w:val="16"/>
              </w:rPr>
              <w:t>504.6</w:t>
            </w:r>
          </w:p>
        </w:tc>
        <w:tc>
          <w:tcPr>
            <w:tcW w:w="7043" w:type="dxa"/>
            <w:gridSpan w:val="2"/>
          </w:tcPr>
          <w:p w14:paraId="1D8A8CCF" w14:textId="77777777" w:rsidR="006E50FF" w:rsidRPr="006E50FF" w:rsidRDefault="006E50FF" w:rsidP="006E50FF">
            <w:pPr>
              <w:widowControl w:val="0"/>
              <w:autoSpaceDE w:val="0"/>
              <w:autoSpaceDN w:val="0"/>
              <w:ind w:left="91" w:right="90"/>
              <w:rPr>
                <w:sz w:val="16"/>
                <w:szCs w:val="16"/>
              </w:rPr>
            </w:pPr>
            <w:r w:rsidRPr="006E50FF">
              <w:rPr>
                <w:sz w:val="16"/>
                <w:szCs w:val="16"/>
              </w:rPr>
              <w:t>5.</w:t>
            </w:r>
            <w:r w:rsidRPr="006E50FF">
              <w:rPr>
                <w:spacing w:val="-2"/>
                <w:sz w:val="16"/>
                <w:szCs w:val="16"/>
              </w:rPr>
              <w:t xml:space="preserve"> </w:t>
            </w:r>
            <w:r w:rsidRPr="006E50FF">
              <w:rPr>
                <w:sz w:val="16"/>
                <w:szCs w:val="16"/>
              </w:rPr>
              <w:t>Discharge</w:t>
            </w:r>
            <w:r w:rsidRPr="006E50FF">
              <w:rPr>
                <w:spacing w:val="-5"/>
                <w:sz w:val="16"/>
                <w:szCs w:val="16"/>
              </w:rPr>
              <w:t xml:space="preserve"> </w:t>
            </w:r>
            <w:r w:rsidRPr="006E50FF">
              <w:rPr>
                <w:sz w:val="16"/>
                <w:szCs w:val="16"/>
              </w:rPr>
              <w:t>to</w:t>
            </w:r>
            <w:r w:rsidRPr="006E50FF">
              <w:rPr>
                <w:spacing w:val="-4"/>
                <w:sz w:val="16"/>
                <w:szCs w:val="16"/>
              </w:rPr>
              <w:t xml:space="preserve"> </w:t>
            </w:r>
            <w:r w:rsidRPr="006E50FF">
              <w:rPr>
                <w:sz w:val="16"/>
                <w:szCs w:val="16"/>
              </w:rPr>
              <w:t>the</w:t>
            </w:r>
            <w:r w:rsidRPr="006E50FF">
              <w:rPr>
                <w:spacing w:val="-5"/>
                <w:sz w:val="16"/>
                <w:szCs w:val="16"/>
              </w:rPr>
              <w:t xml:space="preserve"> </w:t>
            </w:r>
            <w:r w:rsidRPr="006E50FF">
              <w:rPr>
                <w:sz w:val="16"/>
                <w:szCs w:val="16"/>
              </w:rPr>
              <w:t>floor,</w:t>
            </w:r>
            <w:r w:rsidRPr="006E50FF">
              <w:rPr>
                <w:spacing w:val="-2"/>
                <w:sz w:val="16"/>
                <w:szCs w:val="16"/>
              </w:rPr>
              <w:t xml:space="preserve"> </w:t>
            </w:r>
            <w:r w:rsidRPr="006E50FF">
              <w:rPr>
                <w:sz w:val="16"/>
                <w:szCs w:val="16"/>
              </w:rPr>
              <w:t>to</w:t>
            </w:r>
            <w:r w:rsidRPr="006E50FF">
              <w:rPr>
                <w:spacing w:val="-4"/>
                <w:sz w:val="16"/>
                <w:szCs w:val="16"/>
              </w:rPr>
              <w:t xml:space="preserve"> </w:t>
            </w:r>
            <w:r w:rsidRPr="006E50FF">
              <w:rPr>
                <w:sz w:val="16"/>
                <w:szCs w:val="16"/>
              </w:rPr>
              <w:t>a</w:t>
            </w:r>
            <w:r w:rsidRPr="006E50FF">
              <w:rPr>
                <w:spacing w:val="-2"/>
                <w:sz w:val="16"/>
                <w:szCs w:val="16"/>
              </w:rPr>
              <w:t xml:space="preserve"> </w:t>
            </w:r>
            <w:r w:rsidRPr="006E50FF">
              <w:rPr>
                <w:sz w:val="16"/>
                <w:szCs w:val="16"/>
              </w:rPr>
              <w:t>waste</w:t>
            </w:r>
            <w:r w:rsidRPr="006E50FF">
              <w:rPr>
                <w:spacing w:val="-4"/>
                <w:sz w:val="16"/>
                <w:szCs w:val="16"/>
              </w:rPr>
              <w:t xml:space="preserve"> </w:t>
            </w:r>
            <w:r w:rsidRPr="006E50FF">
              <w:rPr>
                <w:sz w:val="16"/>
                <w:szCs w:val="16"/>
              </w:rPr>
              <w:t>receptor,</w:t>
            </w:r>
            <w:r w:rsidRPr="006E50FF">
              <w:rPr>
                <w:spacing w:val="-2"/>
                <w:sz w:val="16"/>
                <w:szCs w:val="16"/>
              </w:rPr>
              <w:t xml:space="preserve"> </w:t>
            </w:r>
            <w:r w:rsidRPr="006E50FF">
              <w:rPr>
                <w:sz w:val="16"/>
                <w:szCs w:val="16"/>
              </w:rPr>
              <w:t>mop</w:t>
            </w:r>
            <w:r w:rsidRPr="006E50FF">
              <w:rPr>
                <w:spacing w:val="-2"/>
                <w:sz w:val="16"/>
                <w:szCs w:val="16"/>
              </w:rPr>
              <w:t xml:space="preserve"> </w:t>
            </w:r>
            <w:r w:rsidRPr="006E50FF">
              <w:rPr>
                <w:sz w:val="16"/>
                <w:szCs w:val="16"/>
              </w:rPr>
              <w:t>sinks</w:t>
            </w:r>
            <w:r w:rsidRPr="006E50FF">
              <w:rPr>
                <w:spacing w:val="-3"/>
                <w:sz w:val="16"/>
                <w:szCs w:val="16"/>
              </w:rPr>
              <w:t xml:space="preserve"> </w:t>
            </w:r>
            <w:r w:rsidRPr="006E50FF">
              <w:rPr>
                <w:sz w:val="16"/>
                <w:szCs w:val="16"/>
              </w:rPr>
              <w:t>or</w:t>
            </w:r>
            <w:r w:rsidRPr="006E50FF">
              <w:rPr>
                <w:spacing w:val="-4"/>
                <w:sz w:val="16"/>
                <w:szCs w:val="16"/>
              </w:rPr>
              <w:t xml:space="preserve"> </w:t>
            </w:r>
            <w:r w:rsidRPr="006E50FF">
              <w:rPr>
                <w:sz w:val="16"/>
                <w:szCs w:val="16"/>
              </w:rPr>
              <w:t>to</w:t>
            </w:r>
            <w:r w:rsidRPr="006E50FF">
              <w:rPr>
                <w:spacing w:val="-6"/>
                <w:sz w:val="16"/>
                <w:szCs w:val="16"/>
              </w:rPr>
              <w:t xml:space="preserve"> </w:t>
            </w:r>
            <w:r w:rsidRPr="006E50FF">
              <w:rPr>
                <w:sz w:val="16"/>
                <w:szCs w:val="16"/>
              </w:rPr>
              <w:t>the</w:t>
            </w:r>
            <w:r w:rsidRPr="006E50FF">
              <w:rPr>
                <w:spacing w:val="-4"/>
                <w:sz w:val="16"/>
                <w:szCs w:val="16"/>
              </w:rPr>
              <w:t xml:space="preserve"> </w:t>
            </w:r>
            <w:r w:rsidRPr="006E50FF">
              <w:rPr>
                <w:spacing w:val="-2"/>
                <w:sz w:val="16"/>
                <w:szCs w:val="16"/>
              </w:rPr>
              <w:t>outdoors</w:t>
            </w:r>
          </w:p>
        </w:tc>
      </w:tr>
      <w:tr w:rsidR="006E50FF" w:rsidRPr="006E50FF" w14:paraId="489B3BF7" w14:textId="77777777" w:rsidTr="0088638B">
        <w:trPr>
          <w:trHeight w:val="187"/>
        </w:trPr>
        <w:tc>
          <w:tcPr>
            <w:tcW w:w="1072" w:type="dxa"/>
          </w:tcPr>
          <w:p w14:paraId="6A2B5819"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1BDFADD9"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10"/>
                <w:sz w:val="16"/>
                <w:szCs w:val="16"/>
              </w:rPr>
              <w:t xml:space="preserve"> </w:t>
            </w:r>
            <w:r w:rsidRPr="006E50FF">
              <w:rPr>
                <w:sz w:val="16"/>
                <w:szCs w:val="16"/>
              </w:rPr>
              <w:t>504.7.1,</w:t>
            </w:r>
            <w:r w:rsidRPr="006E50FF">
              <w:rPr>
                <w:spacing w:val="-10"/>
                <w:sz w:val="16"/>
                <w:szCs w:val="16"/>
              </w:rPr>
              <w:t xml:space="preserve"> </w:t>
            </w:r>
            <w:r w:rsidRPr="006E50FF">
              <w:rPr>
                <w:sz w:val="16"/>
                <w:szCs w:val="16"/>
              </w:rPr>
              <w:t>Pan</w:t>
            </w:r>
            <w:r w:rsidRPr="006E50FF">
              <w:rPr>
                <w:spacing w:val="-10"/>
                <w:sz w:val="16"/>
                <w:szCs w:val="16"/>
              </w:rPr>
              <w:t xml:space="preserve"> </w:t>
            </w:r>
            <w:r w:rsidRPr="006E50FF">
              <w:rPr>
                <w:sz w:val="16"/>
                <w:szCs w:val="16"/>
              </w:rPr>
              <w:t>Size</w:t>
            </w:r>
            <w:r w:rsidRPr="006E50FF">
              <w:rPr>
                <w:spacing w:val="40"/>
                <w:sz w:val="16"/>
                <w:szCs w:val="16"/>
              </w:rPr>
              <w:t xml:space="preserve"> </w:t>
            </w:r>
            <w:r w:rsidRPr="006E50FF">
              <w:rPr>
                <w:sz w:val="16"/>
                <w:szCs w:val="16"/>
              </w:rPr>
              <w:t>and Drain.</w:t>
            </w:r>
          </w:p>
        </w:tc>
        <w:tc>
          <w:tcPr>
            <w:tcW w:w="7043" w:type="dxa"/>
            <w:gridSpan w:val="2"/>
          </w:tcPr>
          <w:p w14:paraId="6F1D0D7C" w14:textId="77777777" w:rsidR="006E50FF" w:rsidRPr="006E50FF" w:rsidRDefault="006E50FF" w:rsidP="006E50FF">
            <w:pPr>
              <w:widowControl w:val="0"/>
              <w:autoSpaceDE w:val="0"/>
              <w:autoSpaceDN w:val="0"/>
              <w:ind w:left="91" w:right="90"/>
              <w:rPr>
                <w:sz w:val="16"/>
                <w:szCs w:val="16"/>
              </w:rPr>
            </w:pPr>
            <w:r w:rsidRPr="006E50FF">
              <w:rPr>
                <w:sz w:val="16"/>
                <w:szCs w:val="16"/>
              </w:rPr>
              <w:t>The drain pan shall be a minimum of 2-inches (2”) (50.8 mm) in depth and shall be of sufficient size and shape to</w:t>
            </w:r>
            <w:r w:rsidRPr="006E50FF">
              <w:rPr>
                <w:spacing w:val="40"/>
                <w:sz w:val="16"/>
                <w:szCs w:val="16"/>
              </w:rPr>
              <w:t xml:space="preserve"> </w:t>
            </w:r>
            <w:r w:rsidRPr="006E50FF">
              <w:rPr>
                <w:sz w:val="16"/>
                <w:szCs w:val="16"/>
              </w:rPr>
              <w:t>receive all dripping or condensate from the tank or water heater. The pan shall be drained by</w:t>
            </w:r>
            <w:r w:rsidRPr="006E50FF">
              <w:rPr>
                <w:spacing w:val="-1"/>
                <w:sz w:val="16"/>
                <w:szCs w:val="16"/>
              </w:rPr>
              <w:t xml:space="preserve"> </w:t>
            </w:r>
            <w:r w:rsidRPr="006E50FF">
              <w:rPr>
                <w:sz w:val="16"/>
                <w:szCs w:val="16"/>
              </w:rPr>
              <w:t>an indirect waste pipe</w:t>
            </w:r>
            <w:r w:rsidRPr="006E50FF">
              <w:rPr>
                <w:spacing w:val="40"/>
                <w:sz w:val="16"/>
                <w:szCs w:val="16"/>
              </w:rPr>
              <w:t xml:space="preserve"> </w:t>
            </w:r>
            <w:r w:rsidRPr="006E50FF">
              <w:rPr>
                <w:sz w:val="16"/>
                <w:szCs w:val="16"/>
              </w:rPr>
              <w:t>having</w:t>
            </w:r>
            <w:r w:rsidRPr="006E50FF">
              <w:rPr>
                <w:spacing w:val="-2"/>
                <w:sz w:val="16"/>
                <w:szCs w:val="16"/>
              </w:rPr>
              <w:t xml:space="preserve"> </w:t>
            </w:r>
            <w:r w:rsidRPr="006E50FF">
              <w:rPr>
                <w:sz w:val="16"/>
                <w:szCs w:val="16"/>
              </w:rPr>
              <w:t>a</w:t>
            </w:r>
            <w:r w:rsidRPr="006E50FF">
              <w:rPr>
                <w:spacing w:val="-3"/>
                <w:sz w:val="16"/>
                <w:szCs w:val="16"/>
              </w:rPr>
              <w:t xml:space="preserve"> </w:t>
            </w:r>
            <w:r w:rsidRPr="006E50FF">
              <w:rPr>
                <w:sz w:val="16"/>
                <w:szCs w:val="16"/>
              </w:rPr>
              <w:t>diameter</w:t>
            </w:r>
            <w:r w:rsidRPr="006E50FF">
              <w:rPr>
                <w:spacing w:val="-2"/>
                <w:sz w:val="16"/>
                <w:szCs w:val="16"/>
              </w:rPr>
              <w:t xml:space="preserve"> </w:t>
            </w:r>
            <w:r w:rsidRPr="006E50FF">
              <w:rPr>
                <w:sz w:val="16"/>
                <w:szCs w:val="16"/>
              </w:rPr>
              <w:t>of</w:t>
            </w:r>
            <w:r w:rsidRPr="006E50FF">
              <w:rPr>
                <w:spacing w:val="-2"/>
                <w:sz w:val="16"/>
                <w:szCs w:val="16"/>
              </w:rPr>
              <w:t xml:space="preserve"> </w:t>
            </w:r>
            <w:r w:rsidRPr="006E50FF">
              <w:rPr>
                <w:sz w:val="16"/>
                <w:szCs w:val="16"/>
              </w:rPr>
              <w:t>not</w:t>
            </w:r>
            <w:r w:rsidRPr="006E50FF">
              <w:rPr>
                <w:spacing w:val="-2"/>
                <w:sz w:val="16"/>
                <w:szCs w:val="16"/>
              </w:rPr>
              <w:t xml:space="preserve"> </w:t>
            </w:r>
            <w:r w:rsidRPr="006E50FF">
              <w:rPr>
                <w:sz w:val="16"/>
                <w:szCs w:val="16"/>
              </w:rPr>
              <w:t>less</w:t>
            </w:r>
            <w:r w:rsidRPr="006E50FF">
              <w:rPr>
                <w:spacing w:val="-1"/>
                <w:sz w:val="16"/>
                <w:szCs w:val="16"/>
              </w:rPr>
              <w:t xml:space="preserve"> </w:t>
            </w:r>
            <w:r w:rsidRPr="006E50FF">
              <w:rPr>
                <w:sz w:val="16"/>
                <w:szCs w:val="16"/>
              </w:rPr>
              <w:t>than</w:t>
            </w:r>
            <w:r w:rsidRPr="006E50FF">
              <w:rPr>
                <w:spacing w:val="-2"/>
                <w:sz w:val="16"/>
                <w:szCs w:val="16"/>
              </w:rPr>
              <w:t xml:space="preserve"> </w:t>
            </w:r>
            <w:r w:rsidRPr="006E50FF">
              <w:rPr>
                <w:sz w:val="16"/>
                <w:szCs w:val="16"/>
              </w:rPr>
              <w:t>1-inch (25.4</w:t>
            </w:r>
            <w:r w:rsidRPr="006E50FF">
              <w:rPr>
                <w:spacing w:val="-2"/>
                <w:sz w:val="16"/>
                <w:szCs w:val="16"/>
              </w:rPr>
              <w:t xml:space="preserve"> </w:t>
            </w:r>
            <w:r w:rsidRPr="006E50FF">
              <w:rPr>
                <w:sz w:val="16"/>
                <w:szCs w:val="16"/>
              </w:rPr>
              <w:t>mm). Piping</w:t>
            </w:r>
            <w:r w:rsidRPr="006E50FF">
              <w:rPr>
                <w:spacing w:val="-2"/>
                <w:sz w:val="16"/>
                <w:szCs w:val="16"/>
              </w:rPr>
              <w:t xml:space="preserve"> </w:t>
            </w:r>
            <w:r w:rsidRPr="006E50FF">
              <w:rPr>
                <w:sz w:val="16"/>
                <w:szCs w:val="16"/>
              </w:rPr>
              <w:t>for</w:t>
            </w:r>
            <w:r w:rsidRPr="006E50FF">
              <w:rPr>
                <w:spacing w:val="-2"/>
                <w:sz w:val="16"/>
                <w:szCs w:val="16"/>
              </w:rPr>
              <w:t xml:space="preserve"> </w:t>
            </w:r>
            <w:r w:rsidRPr="006E50FF">
              <w:rPr>
                <w:sz w:val="16"/>
                <w:szCs w:val="16"/>
              </w:rPr>
              <w:t>safety</w:t>
            </w:r>
            <w:r w:rsidRPr="006E50FF">
              <w:rPr>
                <w:spacing w:val="-4"/>
                <w:sz w:val="16"/>
                <w:szCs w:val="16"/>
              </w:rPr>
              <w:t xml:space="preserve"> </w:t>
            </w:r>
            <w:r w:rsidRPr="006E50FF">
              <w:rPr>
                <w:sz w:val="16"/>
                <w:szCs w:val="16"/>
              </w:rPr>
              <w:t>pan</w:t>
            </w:r>
            <w:r w:rsidRPr="006E50FF">
              <w:rPr>
                <w:spacing w:val="-2"/>
                <w:sz w:val="16"/>
                <w:szCs w:val="16"/>
              </w:rPr>
              <w:t xml:space="preserve"> </w:t>
            </w:r>
            <w:r w:rsidRPr="006E50FF">
              <w:rPr>
                <w:sz w:val="16"/>
                <w:szCs w:val="16"/>
              </w:rPr>
              <w:t>drains</w:t>
            </w:r>
            <w:r w:rsidRPr="006E50FF">
              <w:rPr>
                <w:spacing w:val="-1"/>
                <w:sz w:val="16"/>
                <w:szCs w:val="16"/>
              </w:rPr>
              <w:t xml:space="preserve"> </w:t>
            </w:r>
            <w:r w:rsidRPr="006E50FF">
              <w:rPr>
                <w:sz w:val="16"/>
                <w:szCs w:val="16"/>
              </w:rPr>
              <w:t>shall</w:t>
            </w:r>
            <w:r w:rsidRPr="006E50FF">
              <w:rPr>
                <w:spacing w:val="-2"/>
                <w:sz w:val="16"/>
                <w:szCs w:val="16"/>
              </w:rPr>
              <w:t xml:space="preserve"> </w:t>
            </w:r>
            <w:r w:rsidRPr="006E50FF">
              <w:rPr>
                <w:sz w:val="16"/>
                <w:szCs w:val="16"/>
              </w:rPr>
              <w:t>be</w:t>
            </w:r>
            <w:r w:rsidRPr="006E50FF">
              <w:rPr>
                <w:spacing w:val="-3"/>
                <w:sz w:val="16"/>
                <w:szCs w:val="16"/>
              </w:rPr>
              <w:t xml:space="preserve"> </w:t>
            </w:r>
            <w:r w:rsidRPr="006E50FF">
              <w:rPr>
                <w:sz w:val="16"/>
                <w:szCs w:val="16"/>
              </w:rPr>
              <w:t>of</w:t>
            </w:r>
            <w:r w:rsidRPr="006E50FF">
              <w:rPr>
                <w:spacing w:val="-2"/>
                <w:sz w:val="16"/>
                <w:szCs w:val="16"/>
              </w:rPr>
              <w:t xml:space="preserve"> </w:t>
            </w:r>
            <w:r w:rsidRPr="006E50FF">
              <w:rPr>
                <w:sz w:val="16"/>
                <w:szCs w:val="16"/>
              </w:rPr>
              <w:t>those</w:t>
            </w:r>
            <w:r w:rsidRPr="006E50FF">
              <w:rPr>
                <w:spacing w:val="-3"/>
                <w:sz w:val="16"/>
                <w:szCs w:val="16"/>
              </w:rPr>
              <w:t xml:space="preserve"> </w:t>
            </w:r>
            <w:r w:rsidRPr="006E50FF">
              <w:rPr>
                <w:sz w:val="16"/>
                <w:szCs w:val="16"/>
              </w:rPr>
              <w:t>materials</w:t>
            </w:r>
            <w:r w:rsidRPr="006E50FF">
              <w:rPr>
                <w:spacing w:val="-1"/>
                <w:sz w:val="16"/>
                <w:szCs w:val="16"/>
              </w:rPr>
              <w:t xml:space="preserve"> </w:t>
            </w:r>
            <w:r w:rsidRPr="006E50FF">
              <w:rPr>
                <w:sz w:val="16"/>
                <w:szCs w:val="16"/>
              </w:rPr>
              <w:t>listed in Table</w:t>
            </w:r>
            <w:r w:rsidRPr="006E50FF">
              <w:rPr>
                <w:spacing w:val="-9"/>
                <w:sz w:val="16"/>
                <w:szCs w:val="16"/>
              </w:rPr>
              <w:t xml:space="preserve"> </w:t>
            </w:r>
            <w:r w:rsidRPr="006E50FF">
              <w:rPr>
                <w:spacing w:val="-2"/>
                <w:sz w:val="16"/>
                <w:szCs w:val="16"/>
              </w:rPr>
              <w:t>605.4.</w:t>
            </w:r>
          </w:p>
        </w:tc>
      </w:tr>
      <w:tr w:rsidR="006E50FF" w:rsidRPr="006E50FF" w14:paraId="7D99FB1D" w14:textId="77777777" w:rsidTr="0088638B">
        <w:trPr>
          <w:trHeight w:val="187"/>
        </w:trPr>
        <w:tc>
          <w:tcPr>
            <w:tcW w:w="1072" w:type="dxa"/>
          </w:tcPr>
          <w:p w14:paraId="06585E8E"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07302FAD" w14:textId="77777777" w:rsidR="006E50FF" w:rsidRPr="006E50FF" w:rsidRDefault="006E50FF" w:rsidP="006E50FF">
            <w:pPr>
              <w:widowControl w:val="0"/>
              <w:autoSpaceDE w:val="0"/>
              <w:autoSpaceDN w:val="0"/>
              <w:ind w:left="96" w:right="58"/>
              <w:rPr>
                <w:sz w:val="16"/>
                <w:szCs w:val="16"/>
              </w:rPr>
            </w:pPr>
            <w:r w:rsidRPr="006E50FF">
              <w:rPr>
                <w:sz w:val="16"/>
                <w:szCs w:val="16"/>
              </w:rPr>
              <w:t>Chapter</w:t>
            </w:r>
            <w:r w:rsidRPr="006E50FF">
              <w:rPr>
                <w:spacing w:val="-7"/>
                <w:sz w:val="16"/>
                <w:szCs w:val="16"/>
              </w:rPr>
              <w:t xml:space="preserve"> </w:t>
            </w:r>
            <w:r w:rsidRPr="006E50FF">
              <w:rPr>
                <w:spacing w:val="-10"/>
                <w:sz w:val="16"/>
                <w:szCs w:val="16"/>
              </w:rPr>
              <w:t>6</w:t>
            </w:r>
          </w:p>
        </w:tc>
        <w:tc>
          <w:tcPr>
            <w:tcW w:w="7043" w:type="dxa"/>
            <w:gridSpan w:val="2"/>
          </w:tcPr>
          <w:p w14:paraId="5EA1BB44" w14:textId="77777777" w:rsidR="006E50FF" w:rsidRPr="006E50FF" w:rsidRDefault="006E50FF" w:rsidP="006E50FF">
            <w:pPr>
              <w:widowControl w:val="0"/>
              <w:autoSpaceDE w:val="0"/>
              <w:autoSpaceDN w:val="0"/>
              <w:ind w:left="91" w:right="90"/>
              <w:rPr>
                <w:sz w:val="16"/>
                <w:szCs w:val="16"/>
              </w:rPr>
            </w:pPr>
          </w:p>
        </w:tc>
      </w:tr>
      <w:tr w:rsidR="006E50FF" w:rsidRPr="006E50FF" w14:paraId="16C80AD2" w14:textId="77777777" w:rsidTr="0088638B">
        <w:trPr>
          <w:trHeight w:val="187"/>
        </w:trPr>
        <w:tc>
          <w:tcPr>
            <w:tcW w:w="1072" w:type="dxa"/>
          </w:tcPr>
          <w:p w14:paraId="17437874"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1270C9CB" w14:textId="77777777" w:rsidR="006E50FF" w:rsidRPr="006E50FF" w:rsidRDefault="006E50FF" w:rsidP="006E50FF">
            <w:pPr>
              <w:widowControl w:val="0"/>
              <w:autoSpaceDE w:val="0"/>
              <w:autoSpaceDN w:val="0"/>
              <w:ind w:left="96" w:right="58"/>
              <w:rPr>
                <w:sz w:val="16"/>
                <w:szCs w:val="16"/>
              </w:rPr>
            </w:pPr>
            <w:r w:rsidRPr="006E50FF">
              <w:rPr>
                <w:sz w:val="16"/>
                <w:szCs w:val="16"/>
              </w:rPr>
              <w:t>Chapter</w:t>
            </w:r>
            <w:r w:rsidRPr="006E50FF">
              <w:rPr>
                <w:spacing w:val="-6"/>
                <w:sz w:val="16"/>
                <w:szCs w:val="16"/>
              </w:rPr>
              <w:t xml:space="preserve"> </w:t>
            </w:r>
            <w:r w:rsidRPr="006E50FF">
              <w:rPr>
                <w:sz w:val="16"/>
                <w:szCs w:val="16"/>
              </w:rPr>
              <w:t>6,</w:t>
            </w:r>
            <w:r w:rsidRPr="006E50FF">
              <w:rPr>
                <w:spacing w:val="-5"/>
                <w:sz w:val="16"/>
                <w:szCs w:val="16"/>
              </w:rPr>
              <w:t xml:space="preserve"> </w:t>
            </w:r>
            <w:r w:rsidRPr="006E50FF">
              <w:rPr>
                <w:sz w:val="16"/>
                <w:szCs w:val="16"/>
              </w:rPr>
              <w:t>Water</w:t>
            </w:r>
            <w:r w:rsidRPr="006E50FF">
              <w:rPr>
                <w:spacing w:val="-5"/>
                <w:sz w:val="16"/>
                <w:szCs w:val="16"/>
              </w:rPr>
              <w:t xml:space="preserve"> </w:t>
            </w:r>
            <w:r w:rsidRPr="006E50FF">
              <w:rPr>
                <w:spacing w:val="-2"/>
                <w:sz w:val="16"/>
                <w:szCs w:val="16"/>
              </w:rPr>
              <w:t>Supply</w:t>
            </w:r>
            <w:r w:rsidRPr="006E50FF">
              <w:rPr>
                <w:sz w:val="16"/>
                <w:szCs w:val="16"/>
              </w:rPr>
              <w:t xml:space="preserve"> and</w:t>
            </w:r>
            <w:r w:rsidRPr="006E50FF">
              <w:rPr>
                <w:spacing w:val="-3"/>
                <w:sz w:val="16"/>
                <w:szCs w:val="16"/>
              </w:rPr>
              <w:t xml:space="preserve"> </w:t>
            </w:r>
            <w:r w:rsidRPr="006E50FF">
              <w:rPr>
                <w:spacing w:val="-2"/>
                <w:sz w:val="16"/>
                <w:szCs w:val="16"/>
              </w:rPr>
              <w:t>Distribution.</w:t>
            </w:r>
          </w:p>
        </w:tc>
        <w:tc>
          <w:tcPr>
            <w:tcW w:w="7043" w:type="dxa"/>
            <w:gridSpan w:val="2"/>
          </w:tcPr>
          <w:p w14:paraId="0BFA2772" w14:textId="77777777" w:rsidR="006E50FF" w:rsidRPr="006E50FF" w:rsidRDefault="006E50FF" w:rsidP="006E50FF">
            <w:pPr>
              <w:widowControl w:val="0"/>
              <w:autoSpaceDE w:val="0"/>
              <w:autoSpaceDN w:val="0"/>
              <w:ind w:left="91" w:right="90"/>
              <w:rPr>
                <w:sz w:val="16"/>
                <w:szCs w:val="16"/>
              </w:rPr>
            </w:pPr>
          </w:p>
        </w:tc>
      </w:tr>
      <w:tr w:rsidR="006E50FF" w:rsidRPr="006E50FF" w14:paraId="677496C0" w14:textId="77777777" w:rsidTr="0088638B">
        <w:trPr>
          <w:trHeight w:val="187"/>
        </w:trPr>
        <w:tc>
          <w:tcPr>
            <w:tcW w:w="1072" w:type="dxa"/>
          </w:tcPr>
          <w:p w14:paraId="1353DBEE"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1328F16F"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10"/>
                <w:sz w:val="16"/>
                <w:szCs w:val="16"/>
              </w:rPr>
              <w:t xml:space="preserve"> </w:t>
            </w:r>
            <w:r w:rsidRPr="006E50FF">
              <w:rPr>
                <w:sz w:val="16"/>
                <w:szCs w:val="16"/>
              </w:rPr>
              <w:t>602.3,</w:t>
            </w:r>
            <w:r w:rsidRPr="006E50FF">
              <w:rPr>
                <w:spacing w:val="-10"/>
                <w:sz w:val="16"/>
                <w:szCs w:val="16"/>
              </w:rPr>
              <w:t xml:space="preserve"> </w:t>
            </w:r>
            <w:r w:rsidRPr="006E50FF">
              <w:rPr>
                <w:sz w:val="16"/>
                <w:szCs w:val="16"/>
              </w:rPr>
              <w:t>Individual</w:t>
            </w:r>
            <w:r w:rsidRPr="006E50FF">
              <w:rPr>
                <w:spacing w:val="40"/>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p>
        </w:tc>
        <w:tc>
          <w:tcPr>
            <w:tcW w:w="7043" w:type="dxa"/>
            <w:gridSpan w:val="2"/>
          </w:tcPr>
          <w:p w14:paraId="24C2FD1A" w14:textId="77777777" w:rsidR="006E50FF" w:rsidRPr="006E50FF" w:rsidRDefault="006E50FF" w:rsidP="006E50FF">
            <w:pPr>
              <w:widowControl w:val="0"/>
              <w:autoSpaceDE w:val="0"/>
              <w:autoSpaceDN w:val="0"/>
              <w:ind w:left="91" w:right="90"/>
              <w:rPr>
                <w:sz w:val="16"/>
                <w:szCs w:val="16"/>
              </w:rPr>
            </w:pPr>
            <w:r w:rsidRPr="006E50FF">
              <w:rPr>
                <w:sz w:val="16"/>
                <w:szCs w:val="16"/>
              </w:rPr>
              <w:t>Where</w:t>
            </w:r>
            <w:r w:rsidRPr="006E50FF">
              <w:rPr>
                <w:spacing w:val="-4"/>
                <w:sz w:val="16"/>
                <w:szCs w:val="16"/>
              </w:rPr>
              <w:t xml:space="preserve"> </w:t>
            </w:r>
            <w:r w:rsidRPr="006E50FF">
              <w:rPr>
                <w:sz w:val="16"/>
                <w:szCs w:val="16"/>
              </w:rPr>
              <w:t>a</w:t>
            </w:r>
            <w:r w:rsidRPr="006E50FF">
              <w:rPr>
                <w:spacing w:val="-1"/>
                <w:sz w:val="16"/>
                <w:szCs w:val="16"/>
              </w:rPr>
              <w:t xml:space="preserve"> </w:t>
            </w:r>
            <w:r w:rsidRPr="006E50FF">
              <w:rPr>
                <w:sz w:val="16"/>
                <w:szCs w:val="16"/>
              </w:rPr>
              <w:t>potable</w:t>
            </w:r>
            <w:r w:rsidRPr="006E50FF">
              <w:rPr>
                <w:spacing w:val="-4"/>
                <w:sz w:val="16"/>
                <w:szCs w:val="16"/>
              </w:rPr>
              <w:t xml:space="preserve"> </w:t>
            </w:r>
            <w:r w:rsidRPr="006E50FF">
              <w:rPr>
                <w:sz w:val="16"/>
                <w:szCs w:val="16"/>
              </w:rPr>
              <w:t>public</w:t>
            </w:r>
            <w:r w:rsidRPr="006E50FF">
              <w:rPr>
                <w:spacing w:val="-1"/>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r w:rsidRPr="006E50FF">
              <w:rPr>
                <w:spacing w:val="-5"/>
                <w:sz w:val="16"/>
                <w:szCs w:val="16"/>
              </w:rPr>
              <w:t xml:space="preserve"> </w:t>
            </w:r>
            <w:r w:rsidRPr="006E50FF">
              <w:rPr>
                <w:sz w:val="16"/>
                <w:szCs w:val="16"/>
              </w:rPr>
              <w:t>is</w:t>
            </w:r>
            <w:r w:rsidRPr="006E50FF">
              <w:rPr>
                <w:spacing w:val="-2"/>
                <w:sz w:val="16"/>
                <w:szCs w:val="16"/>
              </w:rPr>
              <w:t xml:space="preserve"> </w:t>
            </w:r>
            <w:r w:rsidRPr="006E50FF">
              <w:rPr>
                <w:sz w:val="16"/>
                <w:szCs w:val="16"/>
              </w:rPr>
              <w:t>not</w:t>
            </w:r>
            <w:r w:rsidRPr="006E50FF">
              <w:rPr>
                <w:spacing w:val="-3"/>
                <w:sz w:val="16"/>
                <w:szCs w:val="16"/>
              </w:rPr>
              <w:t xml:space="preserve"> </w:t>
            </w:r>
            <w:r w:rsidRPr="006E50FF">
              <w:rPr>
                <w:sz w:val="16"/>
                <w:szCs w:val="16"/>
              </w:rPr>
              <w:t>available,</w:t>
            </w:r>
            <w:r w:rsidRPr="006E50FF">
              <w:rPr>
                <w:spacing w:val="-1"/>
                <w:sz w:val="16"/>
                <w:szCs w:val="16"/>
              </w:rPr>
              <w:t xml:space="preserve"> </w:t>
            </w:r>
            <w:r w:rsidRPr="006E50FF">
              <w:rPr>
                <w:sz w:val="16"/>
                <w:szCs w:val="16"/>
              </w:rPr>
              <w:t>a</w:t>
            </w:r>
            <w:r w:rsidRPr="006E50FF">
              <w:rPr>
                <w:spacing w:val="-4"/>
                <w:sz w:val="16"/>
                <w:szCs w:val="16"/>
              </w:rPr>
              <w:t xml:space="preserve"> </w:t>
            </w:r>
            <w:r w:rsidRPr="006E50FF">
              <w:rPr>
                <w:sz w:val="16"/>
                <w:szCs w:val="16"/>
              </w:rPr>
              <w:t>private</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r w:rsidRPr="006E50FF">
              <w:rPr>
                <w:spacing w:val="-3"/>
                <w:sz w:val="16"/>
                <w:szCs w:val="16"/>
              </w:rPr>
              <w:t xml:space="preserve"> </w:t>
            </w:r>
            <w:r w:rsidRPr="006E50FF">
              <w:rPr>
                <w:sz w:val="16"/>
                <w:szCs w:val="16"/>
              </w:rPr>
              <w:t>meeting</w:t>
            </w:r>
            <w:r w:rsidRPr="006E50FF">
              <w:rPr>
                <w:spacing w:val="-3"/>
                <w:sz w:val="16"/>
                <w:szCs w:val="16"/>
              </w:rPr>
              <w:t xml:space="preserve"> </w:t>
            </w:r>
            <w:r w:rsidRPr="006E50FF">
              <w:rPr>
                <w:sz w:val="16"/>
                <w:szCs w:val="16"/>
              </w:rPr>
              <w:t>the</w:t>
            </w:r>
            <w:r w:rsidRPr="006E50FF">
              <w:rPr>
                <w:spacing w:val="-4"/>
                <w:sz w:val="16"/>
                <w:szCs w:val="16"/>
              </w:rPr>
              <w:t xml:space="preserve"> </w:t>
            </w:r>
            <w:r w:rsidRPr="006E50FF">
              <w:rPr>
                <w:sz w:val="16"/>
                <w:szCs w:val="16"/>
              </w:rPr>
              <w:t>applicable</w:t>
            </w:r>
            <w:r w:rsidRPr="006E50FF">
              <w:rPr>
                <w:spacing w:val="-4"/>
                <w:sz w:val="16"/>
                <w:szCs w:val="16"/>
              </w:rPr>
              <w:t xml:space="preserve"> </w:t>
            </w:r>
            <w:r w:rsidRPr="006E50FF">
              <w:rPr>
                <w:sz w:val="16"/>
                <w:szCs w:val="16"/>
              </w:rPr>
              <w:t>requirements of</w:t>
            </w:r>
            <w:r w:rsidRPr="006E50FF">
              <w:rPr>
                <w:spacing w:val="40"/>
                <w:sz w:val="16"/>
                <w:szCs w:val="16"/>
              </w:rPr>
              <w:t xml:space="preserve"> </w:t>
            </w:r>
            <w:r w:rsidRPr="006E50FF">
              <w:rPr>
                <w:sz w:val="16"/>
                <w:szCs w:val="16"/>
              </w:rPr>
              <w:t>LAC 51:XII (Water Supplies) and LAC 56:I (Water Wells) shall be utilized.</w:t>
            </w:r>
          </w:p>
        </w:tc>
      </w:tr>
      <w:tr w:rsidR="006E50FF" w:rsidRPr="006E50FF" w14:paraId="7CE514D1" w14:textId="77777777" w:rsidTr="0088638B">
        <w:trPr>
          <w:trHeight w:val="187"/>
        </w:trPr>
        <w:tc>
          <w:tcPr>
            <w:tcW w:w="1072" w:type="dxa"/>
          </w:tcPr>
          <w:p w14:paraId="7EC82873" w14:textId="77777777" w:rsidR="006E50FF" w:rsidRPr="006E50FF" w:rsidRDefault="006E50FF" w:rsidP="006E50FF">
            <w:pPr>
              <w:widowControl w:val="0"/>
              <w:autoSpaceDE w:val="0"/>
              <w:autoSpaceDN w:val="0"/>
              <w:jc w:val="center"/>
              <w:rPr>
                <w:sz w:val="16"/>
                <w:szCs w:val="16"/>
              </w:rPr>
            </w:pPr>
            <w:r w:rsidRPr="006E50FF">
              <w:rPr>
                <w:spacing w:val="-2"/>
                <w:sz w:val="16"/>
                <w:szCs w:val="16"/>
              </w:rPr>
              <w:t>Repeal</w:t>
            </w:r>
          </w:p>
        </w:tc>
        <w:tc>
          <w:tcPr>
            <w:tcW w:w="2415" w:type="dxa"/>
            <w:gridSpan w:val="2"/>
          </w:tcPr>
          <w:p w14:paraId="5FC4C8C6" w14:textId="77777777" w:rsidR="006E50FF" w:rsidRPr="006E50FF" w:rsidRDefault="006E50FF" w:rsidP="006E50FF">
            <w:pPr>
              <w:widowControl w:val="0"/>
              <w:autoSpaceDE w:val="0"/>
              <w:autoSpaceDN w:val="0"/>
              <w:ind w:left="96" w:right="58"/>
              <w:rPr>
                <w:sz w:val="16"/>
                <w:szCs w:val="16"/>
              </w:rPr>
            </w:pPr>
          </w:p>
        </w:tc>
        <w:tc>
          <w:tcPr>
            <w:tcW w:w="7043" w:type="dxa"/>
            <w:gridSpan w:val="2"/>
          </w:tcPr>
          <w:p w14:paraId="1B573DA8" w14:textId="77777777" w:rsidR="006E50FF" w:rsidRPr="006E50FF" w:rsidRDefault="006E50FF" w:rsidP="006E50FF">
            <w:pPr>
              <w:widowControl w:val="0"/>
              <w:autoSpaceDE w:val="0"/>
              <w:autoSpaceDN w:val="0"/>
              <w:ind w:left="91" w:right="90"/>
              <w:rPr>
                <w:sz w:val="16"/>
                <w:szCs w:val="16"/>
              </w:rPr>
            </w:pPr>
            <w:r w:rsidRPr="006E50FF">
              <w:rPr>
                <w:sz w:val="16"/>
                <w:szCs w:val="16"/>
              </w:rPr>
              <w:t>1.</w:t>
            </w:r>
            <w:r w:rsidRPr="006E50FF">
              <w:rPr>
                <w:spacing w:val="29"/>
                <w:sz w:val="16"/>
                <w:szCs w:val="16"/>
              </w:rPr>
              <w:t xml:space="preserve"> </w:t>
            </w:r>
            <w:r w:rsidRPr="006E50FF">
              <w:rPr>
                <w:sz w:val="16"/>
                <w:szCs w:val="16"/>
              </w:rPr>
              <w:t>Delete</w:t>
            </w:r>
            <w:r w:rsidRPr="006E50FF">
              <w:rPr>
                <w:spacing w:val="-7"/>
                <w:sz w:val="16"/>
                <w:szCs w:val="16"/>
              </w:rPr>
              <w:t xml:space="preserve"> </w:t>
            </w:r>
            <w:r w:rsidRPr="006E50FF">
              <w:rPr>
                <w:sz w:val="16"/>
                <w:szCs w:val="16"/>
              </w:rPr>
              <w:t>and</w:t>
            </w:r>
            <w:r w:rsidRPr="006E50FF">
              <w:rPr>
                <w:spacing w:val="-3"/>
                <w:sz w:val="16"/>
                <w:szCs w:val="16"/>
              </w:rPr>
              <w:t xml:space="preserve"> </w:t>
            </w:r>
            <w:r w:rsidRPr="006E50FF">
              <w:rPr>
                <w:sz w:val="16"/>
                <w:szCs w:val="16"/>
              </w:rPr>
              <w:t>remove</w:t>
            </w:r>
            <w:r w:rsidRPr="006E50FF">
              <w:rPr>
                <w:spacing w:val="-7"/>
                <w:sz w:val="16"/>
                <w:szCs w:val="16"/>
              </w:rPr>
              <w:t xml:space="preserve"> </w:t>
            </w:r>
            <w:r w:rsidRPr="006E50FF">
              <w:rPr>
                <w:sz w:val="16"/>
                <w:szCs w:val="16"/>
              </w:rPr>
              <w:t>Sections</w:t>
            </w:r>
            <w:r w:rsidRPr="006E50FF">
              <w:rPr>
                <w:spacing w:val="-5"/>
                <w:sz w:val="16"/>
                <w:szCs w:val="16"/>
              </w:rPr>
              <w:t xml:space="preserve"> </w:t>
            </w:r>
            <w:r w:rsidRPr="006E50FF">
              <w:rPr>
                <w:sz w:val="16"/>
                <w:szCs w:val="16"/>
              </w:rPr>
              <w:t>602.3.1,</w:t>
            </w:r>
            <w:r w:rsidRPr="006E50FF">
              <w:rPr>
                <w:spacing w:val="-6"/>
                <w:sz w:val="16"/>
                <w:szCs w:val="16"/>
              </w:rPr>
              <w:t xml:space="preserve"> </w:t>
            </w:r>
            <w:r w:rsidRPr="006E50FF">
              <w:rPr>
                <w:sz w:val="16"/>
                <w:szCs w:val="16"/>
              </w:rPr>
              <w:t>602.3.2,</w:t>
            </w:r>
            <w:r w:rsidRPr="006E50FF">
              <w:rPr>
                <w:spacing w:val="-7"/>
                <w:sz w:val="16"/>
                <w:szCs w:val="16"/>
              </w:rPr>
              <w:t xml:space="preserve"> </w:t>
            </w:r>
            <w:r w:rsidRPr="006E50FF">
              <w:rPr>
                <w:sz w:val="16"/>
                <w:szCs w:val="16"/>
              </w:rPr>
              <w:t>602.3.3,</w:t>
            </w:r>
            <w:r w:rsidRPr="006E50FF">
              <w:rPr>
                <w:spacing w:val="-7"/>
                <w:sz w:val="16"/>
                <w:szCs w:val="16"/>
              </w:rPr>
              <w:t xml:space="preserve"> </w:t>
            </w:r>
            <w:r w:rsidRPr="006E50FF">
              <w:rPr>
                <w:sz w:val="16"/>
                <w:szCs w:val="16"/>
              </w:rPr>
              <w:t>602.3.4,</w:t>
            </w:r>
            <w:r w:rsidRPr="006E50FF">
              <w:rPr>
                <w:spacing w:val="-6"/>
                <w:sz w:val="16"/>
                <w:szCs w:val="16"/>
              </w:rPr>
              <w:t xml:space="preserve"> </w:t>
            </w:r>
            <w:r w:rsidRPr="006E50FF">
              <w:rPr>
                <w:sz w:val="16"/>
                <w:szCs w:val="16"/>
              </w:rPr>
              <w:t>602.3.5</w:t>
            </w:r>
            <w:r w:rsidRPr="006E50FF">
              <w:rPr>
                <w:spacing w:val="-6"/>
                <w:sz w:val="16"/>
                <w:szCs w:val="16"/>
              </w:rPr>
              <w:t xml:space="preserve"> </w:t>
            </w:r>
            <w:r w:rsidRPr="006E50FF">
              <w:rPr>
                <w:sz w:val="16"/>
                <w:szCs w:val="16"/>
              </w:rPr>
              <w:t>and</w:t>
            </w:r>
            <w:r w:rsidRPr="006E50FF">
              <w:rPr>
                <w:spacing w:val="-5"/>
                <w:sz w:val="16"/>
                <w:szCs w:val="16"/>
              </w:rPr>
              <w:t xml:space="preserve"> </w:t>
            </w:r>
            <w:r w:rsidRPr="006E50FF">
              <w:rPr>
                <w:spacing w:val="-2"/>
                <w:sz w:val="16"/>
                <w:szCs w:val="16"/>
              </w:rPr>
              <w:t>602.3.5.1.</w:t>
            </w:r>
          </w:p>
        </w:tc>
      </w:tr>
      <w:tr w:rsidR="006E50FF" w:rsidRPr="006E50FF" w14:paraId="4EA16B52" w14:textId="77777777" w:rsidTr="0088638B">
        <w:trPr>
          <w:trHeight w:val="187"/>
        </w:trPr>
        <w:tc>
          <w:tcPr>
            <w:tcW w:w="1072" w:type="dxa"/>
          </w:tcPr>
          <w:p w14:paraId="7B5C9E5E"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2B347383" w14:textId="77777777" w:rsidR="006E50FF" w:rsidRPr="006E50FF" w:rsidRDefault="006E50FF" w:rsidP="006E50FF">
            <w:pPr>
              <w:widowControl w:val="0"/>
              <w:autoSpaceDE w:val="0"/>
              <w:autoSpaceDN w:val="0"/>
              <w:ind w:left="96" w:right="58"/>
              <w:rPr>
                <w:sz w:val="16"/>
                <w:szCs w:val="16"/>
              </w:rPr>
            </w:pPr>
            <w:r w:rsidRPr="006E50FF">
              <w:rPr>
                <w:sz w:val="16"/>
                <w:szCs w:val="16"/>
              </w:rPr>
              <w:t>Section 603.3, Potable</w:t>
            </w:r>
            <w:r w:rsidRPr="006E50FF">
              <w:rPr>
                <w:spacing w:val="40"/>
                <w:sz w:val="16"/>
                <w:szCs w:val="16"/>
              </w:rPr>
              <w:t xml:space="preserve"> </w:t>
            </w:r>
            <w:r w:rsidRPr="006E50FF">
              <w:rPr>
                <w:sz w:val="16"/>
                <w:szCs w:val="16"/>
              </w:rPr>
              <w:t>Water (Pressure) Lines</w:t>
            </w:r>
            <w:r w:rsidRPr="006E50FF">
              <w:rPr>
                <w:spacing w:val="40"/>
                <w:sz w:val="16"/>
                <w:szCs w:val="16"/>
              </w:rPr>
              <w:t xml:space="preserve"> </w:t>
            </w:r>
            <w:r w:rsidRPr="006E50FF">
              <w:rPr>
                <w:sz w:val="16"/>
                <w:szCs w:val="16"/>
              </w:rPr>
              <w:t>Near Soil Absorption</w:t>
            </w:r>
            <w:r w:rsidRPr="006E50FF">
              <w:rPr>
                <w:spacing w:val="40"/>
                <w:sz w:val="16"/>
                <w:szCs w:val="16"/>
              </w:rPr>
              <w:t xml:space="preserve"> </w:t>
            </w:r>
            <w:r w:rsidRPr="006E50FF">
              <w:rPr>
                <w:sz w:val="16"/>
                <w:szCs w:val="16"/>
              </w:rPr>
              <w:t>Trenches, Sand Filter</w:t>
            </w:r>
            <w:r w:rsidRPr="006E50FF">
              <w:rPr>
                <w:spacing w:val="40"/>
                <w:sz w:val="16"/>
                <w:szCs w:val="16"/>
              </w:rPr>
              <w:t xml:space="preserve"> </w:t>
            </w:r>
            <w:r w:rsidRPr="006E50FF">
              <w:rPr>
                <w:sz w:val="16"/>
                <w:szCs w:val="16"/>
              </w:rPr>
              <w:t>Beds, Oxidation Ponds,</w:t>
            </w:r>
            <w:r w:rsidRPr="006E50FF">
              <w:rPr>
                <w:spacing w:val="40"/>
                <w:sz w:val="16"/>
                <w:szCs w:val="16"/>
              </w:rPr>
              <w:t xml:space="preserve"> </w:t>
            </w:r>
            <w:r w:rsidRPr="006E50FF">
              <w:rPr>
                <w:sz w:val="16"/>
                <w:szCs w:val="16"/>
              </w:rPr>
              <w:t>and any Effluent</w:t>
            </w:r>
            <w:r w:rsidRPr="006E50FF">
              <w:rPr>
                <w:spacing w:val="40"/>
                <w:sz w:val="16"/>
                <w:szCs w:val="16"/>
              </w:rPr>
              <w:t xml:space="preserve"> </w:t>
            </w:r>
            <w:r w:rsidRPr="006E50FF">
              <w:rPr>
                <w:sz w:val="16"/>
                <w:szCs w:val="16"/>
              </w:rPr>
              <w:t>Reduction Option</w:t>
            </w:r>
            <w:r w:rsidRPr="006E50FF">
              <w:rPr>
                <w:spacing w:val="40"/>
                <w:sz w:val="16"/>
                <w:szCs w:val="16"/>
              </w:rPr>
              <w:t xml:space="preserve"> </w:t>
            </w:r>
            <w:r w:rsidRPr="006E50FF">
              <w:rPr>
                <w:sz w:val="16"/>
                <w:szCs w:val="16"/>
              </w:rPr>
              <w:t>(Effluent Reduction</w:t>
            </w:r>
            <w:r w:rsidRPr="006E50FF">
              <w:rPr>
                <w:spacing w:val="40"/>
                <w:sz w:val="16"/>
                <w:szCs w:val="16"/>
              </w:rPr>
              <w:t xml:space="preserve"> </w:t>
            </w:r>
            <w:r w:rsidRPr="006E50FF">
              <w:rPr>
                <w:sz w:val="16"/>
                <w:szCs w:val="16"/>
              </w:rPr>
              <w:t>Fields, Rock Plant</w:t>
            </w:r>
            <w:r w:rsidRPr="006E50FF">
              <w:rPr>
                <w:spacing w:val="40"/>
                <w:sz w:val="16"/>
                <w:szCs w:val="16"/>
              </w:rPr>
              <w:t xml:space="preserve"> </w:t>
            </w:r>
            <w:r w:rsidRPr="006E50FF">
              <w:rPr>
                <w:sz w:val="16"/>
                <w:szCs w:val="16"/>
              </w:rPr>
              <w:t>Filters, Spray Irrigation</w:t>
            </w:r>
            <w:r w:rsidRPr="006E50FF">
              <w:rPr>
                <w:spacing w:val="40"/>
                <w:sz w:val="16"/>
                <w:szCs w:val="16"/>
              </w:rPr>
              <w:t xml:space="preserve"> </w:t>
            </w:r>
            <w:r w:rsidRPr="006E50FF">
              <w:rPr>
                <w:sz w:val="16"/>
                <w:szCs w:val="16"/>
              </w:rPr>
              <w:t>Systems,</w:t>
            </w:r>
            <w:r w:rsidRPr="006E50FF">
              <w:rPr>
                <w:spacing w:val="-10"/>
                <w:sz w:val="16"/>
                <w:szCs w:val="16"/>
              </w:rPr>
              <w:t xml:space="preserve"> </w:t>
            </w:r>
            <w:r w:rsidRPr="006E50FF">
              <w:rPr>
                <w:sz w:val="16"/>
                <w:szCs w:val="16"/>
              </w:rPr>
              <w:t>Overland</w:t>
            </w:r>
            <w:r w:rsidRPr="006E50FF">
              <w:rPr>
                <w:spacing w:val="-10"/>
                <w:sz w:val="16"/>
                <w:szCs w:val="16"/>
              </w:rPr>
              <w:t xml:space="preserve"> </w:t>
            </w:r>
            <w:r w:rsidRPr="006E50FF">
              <w:rPr>
                <w:sz w:val="16"/>
                <w:szCs w:val="16"/>
              </w:rPr>
              <w:t>Flow</w:t>
            </w:r>
            <w:r w:rsidRPr="006E50FF">
              <w:rPr>
                <w:spacing w:val="40"/>
                <w:sz w:val="16"/>
                <w:szCs w:val="16"/>
              </w:rPr>
              <w:t xml:space="preserve"> </w:t>
            </w:r>
            <w:r w:rsidRPr="006E50FF">
              <w:rPr>
                <w:sz w:val="16"/>
                <w:szCs w:val="16"/>
              </w:rPr>
              <w:t>Systems,</w:t>
            </w:r>
            <w:r w:rsidRPr="006E50FF">
              <w:rPr>
                <w:spacing w:val="-1"/>
                <w:sz w:val="16"/>
                <w:szCs w:val="16"/>
              </w:rPr>
              <w:t xml:space="preserve"> </w:t>
            </w:r>
            <w:r w:rsidRPr="006E50FF">
              <w:rPr>
                <w:sz w:val="16"/>
                <w:szCs w:val="16"/>
              </w:rPr>
              <w:t>Mound</w:t>
            </w:r>
            <w:r w:rsidRPr="006E50FF">
              <w:rPr>
                <w:spacing w:val="40"/>
                <w:sz w:val="16"/>
                <w:szCs w:val="16"/>
              </w:rPr>
              <w:t xml:space="preserve"> </w:t>
            </w:r>
            <w:r w:rsidRPr="006E50FF">
              <w:rPr>
                <w:sz w:val="16"/>
                <w:szCs w:val="16"/>
              </w:rPr>
              <w:t>Systems, or Subsurface</w:t>
            </w:r>
          </w:p>
          <w:p w14:paraId="164029B5" w14:textId="77777777" w:rsidR="006E50FF" w:rsidRPr="006E50FF" w:rsidRDefault="006E50FF" w:rsidP="006E50FF">
            <w:pPr>
              <w:widowControl w:val="0"/>
              <w:autoSpaceDE w:val="0"/>
              <w:autoSpaceDN w:val="0"/>
              <w:ind w:left="96" w:right="58"/>
              <w:rPr>
                <w:sz w:val="16"/>
                <w:szCs w:val="16"/>
              </w:rPr>
            </w:pPr>
            <w:r w:rsidRPr="006E50FF">
              <w:rPr>
                <w:sz w:val="16"/>
                <w:szCs w:val="16"/>
              </w:rPr>
              <w:t>Drip</w:t>
            </w:r>
            <w:r w:rsidRPr="006E50FF">
              <w:rPr>
                <w:spacing w:val="-3"/>
                <w:sz w:val="16"/>
                <w:szCs w:val="16"/>
              </w:rPr>
              <w:t xml:space="preserve"> </w:t>
            </w:r>
            <w:r w:rsidRPr="006E50FF">
              <w:rPr>
                <w:sz w:val="16"/>
                <w:szCs w:val="16"/>
              </w:rPr>
              <w:t>Disposal</w:t>
            </w:r>
            <w:r w:rsidRPr="006E50FF">
              <w:rPr>
                <w:spacing w:val="-4"/>
                <w:sz w:val="16"/>
                <w:szCs w:val="16"/>
              </w:rPr>
              <w:t xml:space="preserve"> </w:t>
            </w:r>
            <w:r w:rsidRPr="006E50FF">
              <w:rPr>
                <w:spacing w:val="-2"/>
                <w:sz w:val="16"/>
                <w:szCs w:val="16"/>
              </w:rPr>
              <w:t>Systems).</w:t>
            </w:r>
          </w:p>
        </w:tc>
        <w:tc>
          <w:tcPr>
            <w:tcW w:w="7043" w:type="dxa"/>
            <w:gridSpan w:val="2"/>
          </w:tcPr>
          <w:p w14:paraId="368CB250" w14:textId="77777777" w:rsidR="006E50FF" w:rsidRPr="006E50FF" w:rsidRDefault="006E50FF" w:rsidP="006E50FF">
            <w:pPr>
              <w:widowControl w:val="0"/>
              <w:autoSpaceDE w:val="0"/>
              <w:autoSpaceDN w:val="0"/>
              <w:ind w:left="91" w:right="90"/>
              <w:rPr>
                <w:sz w:val="16"/>
                <w:szCs w:val="16"/>
              </w:rPr>
            </w:pPr>
            <w:r w:rsidRPr="006E50FF">
              <w:rPr>
                <w:sz w:val="16"/>
                <w:szCs w:val="16"/>
              </w:rPr>
              <w:t>Underground potable water (pressure) lines shall not be located within 25 feet (7.6 m) of any soil absorption</w:t>
            </w:r>
            <w:r w:rsidRPr="006E50FF">
              <w:rPr>
                <w:spacing w:val="40"/>
                <w:sz w:val="16"/>
                <w:szCs w:val="16"/>
              </w:rPr>
              <w:t xml:space="preserve"> </w:t>
            </w:r>
            <w:r w:rsidRPr="006E50FF">
              <w:rPr>
                <w:sz w:val="16"/>
                <w:szCs w:val="16"/>
              </w:rPr>
              <w:t>trenches, sand filter beds, oxidation ponds, or any effluent reduction option including, but not limited to effluent</w:t>
            </w:r>
            <w:r w:rsidRPr="006E50FF">
              <w:rPr>
                <w:spacing w:val="40"/>
                <w:sz w:val="16"/>
                <w:szCs w:val="16"/>
              </w:rPr>
              <w:t xml:space="preserve"> </w:t>
            </w:r>
            <w:r w:rsidRPr="006E50FF">
              <w:rPr>
                <w:sz w:val="16"/>
                <w:szCs w:val="16"/>
              </w:rPr>
              <w:t>reduction</w:t>
            </w:r>
            <w:r w:rsidRPr="006E50FF">
              <w:rPr>
                <w:spacing w:val="-3"/>
                <w:sz w:val="16"/>
                <w:szCs w:val="16"/>
              </w:rPr>
              <w:t xml:space="preserve"> </w:t>
            </w:r>
            <w:r w:rsidRPr="006E50FF">
              <w:rPr>
                <w:sz w:val="16"/>
                <w:szCs w:val="16"/>
              </w:rPr>
              <w:t>fields,</w:t>
            </w:r>
            <w:r w:rsidRPr="006E50FF">
              <w:rPr>
                <w:spacing w:val="-1"/>
                <w:sz w:val="16"/>
                <w:szCs w:val="16"/>
              </w:rPr>
              <w:t xml:space="preserve"> </w:t>
            </w:r>
            <w:r w:rsidRPr="006E50FF">
              <w:rPr>
                <w:sz w:val="16"/>
                <w:szCs w:val="16"/>
              </w:rPr>
              <w:t>rock</w:t>
            </w:r>
            <w:r w:rsidRPr="006E50FF">
              <w:rPr>
                <w:spacing w:val="-3"/>
                <w:sz w:val="16"/>
                <w:szCs w:val="16"/>
              </w:rPr>
              <w:t xml:space="preserve"> </w:t>
            </w:r>
            <w:r w:rsidRPr="006E50FF">
              <w:rPr>
                <w:sz w:val="16"/>
                <w:szCs w:val="16"/>
              </w:rPr>
              <w:t>plant</w:t>
            </w:r>
            <w:r w:rsidRPr="006E50FF">
              <w:rPr>
                <w:spacing w:val="-1"/>
                <w:sz w:val="16"/>
                <w:szCs w:val="16"/>
              </w:rPr>
              <w:t xml:space="preserve"> </w:t>
            </w:r>
            <w:r w:rsidRPr="006E50FF">
              <w:rPr>
                <w:sz w:val="16"/>
                <w:szCs w:val="16"/>
              </w:rPr>
              <w:t>filters,</w:t>
            </w:r>
            <w:r w:rsidRPr="006E50FF">
              <w:rPr>
                <w:spacing w:val="-1"/>
                <w:sz w:val="16"/>
                <w:szCs w:val="16"/>
              </w:rPr>
              <w:t xml:space="preserve"> </w:t>
            </w:r>
            <w:r w:rsidRPr="006E50FF">
              <w:rPr>
                <w:sz w:val="16"/>
                <w:szCs w:val="16"/>
              </w:rPr>
              <w:t>spray</w:t>
            </w:r>
            <w:r w:rsidRPr="006E50FF">
              <w:rPr>
                <w:spacing w:val="-5"/>
                <w:sz w:val="16"/>
                <w:szCs w:val="16"/>
              </w:rPr>
              <w:t xml:space="preserve"> </w:t>
            </w:r>
            <w:r w:rsidRPr="006E50FF">
              <w:rPr>
                <w:sz w:val="16"/>
                <w:szCs w:val="16"/>
              </w:rPr>
              <w:t>irrigation</w:t>
            </w:r>
            <w:r w:rsidRPr="006E50FF">
              <w:rPr>
                <w:spacing w:val="-3"/>
                <w:sz w:val="16"/>
                <w:szCs w:val="16"/>
              </w:rPr>
              <w:t xml:space="preserve"> </w:t>
            </w:r>
            <w:r w:rsidRPr="006E50FF">
              <w:rPr>
                <w:sz w:val="16"/>
                <w:szCs w:val="16"/>
              </w:rPr>
              <w:t>systems</w:t>
            </w:r>
            <w:r w:rsidRPr="006E50FF">
              <w:rPr>
                <w:spacing w:val="-2"/>
                <w:sz w:val="16"/>
                <w:szCs w:val="16"/>
              </w:rPr>
              <w:t xml:space="preserve"> </w:t>
            </w:r>
            <w:r w:rsidRPr="006E50FF">
              <w:rPr>
                <w:sz w:val="16"/>
                <w:szCs w:val="16"/>
              </w:rPr>
              <w:t>(from</w:t>
            </w:r>
            <w:r w:rsidRPr="006E50FF">
              <w:rPr>
                <w:spacing w:val="-2"/>
                <w:sz w:val="16"/>
                <w:szCs w:val="16"/>
              </w:rPr>
              <w:t xml:space="preserve"> </w:t>
            </w:r>
            <w:r w:rsidRPr="006E50FF">
              <w:rPr>
                <w:sz w:val="16"/>
                <w:szCs w:val="16"/>
              </w:rPr>
              <w:t>the</w:t>
            </w:r>
            <w:r w:rsidRPr="006E50FF">
              <w:rPr>
                <w:spacing w:val="-4"/>
                <w:sz w:val="16"/>
                <w:szCs w:val="16"/>
              </w:rPr>
              <w:t xml:space="preserve"> </w:t>
            </w:r>
            <w:r w:rsidRPr="006E50FF">
              <w:rPr>
                <w:sz w:val="16"/>
                <w:szCs w:val="16"/>
              </w:rPr>
              <w:t>edge</w:t>
            </w:r>
            <w:r w:rsidRPr="006E50FF">
              <w:rPr>
                <w:spacing w:val="-4"/>
                <w:sz w:val="16"/>
                <w:szCs w:val="16"/>
              </w:rPr>
              <w:t xml:space="preserve"> </w:t>
            </w:r>
            <w:r w:rsidRPr="006E50FF">
              <w:rPr>
                <w:sz w:val="16"/>
                <w:szCs w:val="16"/>
              </w:rPr>
              <w:t>of</w:t>
            </w:r>
            <w:r w:rsidRPr="006E50FF">
              <w:rPr>
                <w:spacing w:val="-3"/>
                <w:sz w:val="16"/>
                <w:szCs w:val="16"/>
              </w:rPr>
              <w:t xml:space="preserve"> </w:t>
            </w:r>
            <w:r w:rsidRPr="006E50FF">
              <w:rPr>
                <w:sz w:val="16"/>
                <w:szCs w:val="16"/>
              </w:rPr>
              <w:t>the</w:t>
            </w:r>
            <w:r w:rsidRPr="006E50FF">
              <w:rPr>
                <w:spacing w:val="-4"/>
                <w:sz w:val="16"/>
                <w:szCs w:val="16"/>
              </w:rPr>
              <w:t xml:space="preserve"> </w:t>
            </w:r>
            <w:r w:rsidRPr="006E50FF">
              <w:rPr>
                <w:sz w:val="16"/>
                <w:szCs w:val="16"/>
              </w:rPr>
              <w:t>spray</w:t>
            </w:r>
            <w:r w:rsidRPr="006E50FF">
              <w:rPr>
                <w:spacing w:val="-5"/>
                <w:sz w:val="16"/>
                <w:szCs w:val="16"/>
              </w:rPr>
              <w:t xml:space="preserve"> </w:t>
            </w:r>
            <w:r w:rsidRPr="006E50FF">
              <w:rPr>
                <w:sz w:val="16"/>
                <w:szCs w:val="16"/>
              </w:rPr>
              <w:t>and</w:t>
            </w:r>
            <w:r w:rsidRPr="006E50FF">
              <w:rPr>
                <w:spacing w:val="-1"/>
                <w:sz w:val="16"/>
                <w:szCs w:val="16"/>
              </w:rPr>
              <w:t xml:space="preserve"> </w:t>
            </w:r>
            <w:r w:rsidRPr="006E50FF">
              <w:rPr>
                <w:sz w:val="16"/>
                <w:szCs w:val="16"/>
              </w:rPr>
              <w:t>its</w:t>
            </w:r>
            <w:r w:rsidRPr="006E50FF">
              <w:rPr>
                <w:spacing w:val="-4"/>
                <w:sz w:val="16"/>
                <w:szCs w:val="16"/>
              </w:rPr>
              <w:t xml:space="preserve"> </w:t>
            </w:r>
            <w:r w:rsidRPr="006E50FF">
              <w:rPr>
                <w:sz w:val="16"/>
                <w:szCs w:val="16"/>
              </w:rPr>
              <w:t>drainage),</w:t>
            </w:r>
            <w:r w:rsidRPr="006E50FF">
              <w:rPr>
                <w:spacing w:val="-1"/>
                <w:sz w:val="16"/>
                <w:szCs w:val="16"/>
              </w:rPr>
              <w:t xml:space="preserve"> </w:t>
            </w:r>
            <w:r w:rsidRPr="006E50FF">
              <w:rPr>
                <w:sz w:val="16"/>
                <w:szCs w:val="16"/>
              </w:rPr>
              <w:t>overland</w:t>
            </w:r>
            <w:r w:rsidRPr="006E50FF">
              <w:rPr>
                <w:spacing w:val="40"/>
                <w:sz w:val="16"/>
                <w:szCs w:val="16"/>
              </w:rPr>
              <w:t xml:space="preserve"> </w:t>
            </w:r>
            <w:r w:rsidRPr="006E50FF">
              <w:rPr>
                <w:sz w:val="16"/>
                <w:szCs w:val="16"/>
              </w:rPr>
              <w:t>flow systems (from the discharge point and field of flow), mound systems, or subsurface drip disposal systems</w:t>
            </w:r>
            <w:r w:rsidRPr="006E50FF">
              <w:rPr>
                <w:spacing w:val="40"/>
                <w:sz w:val="16"/>
                <w:szCs w:val="16"/>
              </w:rPr>
              <w:t xml:space="preserve"> </w:t>
            </w:r>
            <w:r w:rsidRPr="006E50FF">
              <w:rPr>
                <w:sz w:val="16"/>
                <w:szCs w:val="16"/>
              </w:rPr>
              <w:t>which have been installed for either the disposal of septic tank effluent or mechanical treatment plant effluent.</w:t>
            </w:r>
          </w:p>
        </w:tc>
      </w:tr>
      <w:tr w:rsidR="006E50FF" w:rsidRPr="006E50FF" w14:paraId="1480A9CF" w14:textId="77777777" w:rsidTr="0088638B">
        <w:trPr>
          <w:trHeight w:val="187"/>
        </w:trPr>
        <w:tc>
          <w:tcPr>
            <w:tcW w:w="1072" w:type="dxa"/>
          </w:tcPr>
          <w:p w14:paraId="219F14D6"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6EEF2CBB"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4"/>
                <w:sz w:val="16"/>
                <w:szCs w:val="16"/>
              </w:rPr>
              <w:t xml:space="preserve"> </w:t>
            </w:r>
            <w:r w:rsidRPr="006E50FF">
              <w:rPr>
                <w:sz w:val="16"/>
                <w:szCs w:val="16"/>
              </w:rPr>
              <w:t>603.4,</w:t>
            </w:r>
            <w:r w:rsidRPr="006E50FF">
              <w:rPr>
                <w:spacing w:val="-2"/>
                <w:sz w:val="16"/>
                <w:szCs w:val="16"/>
              </w:rPr>
              <w:t xml:space="preserve"> </w:t>
            </w:r>
            <w:r w:rsidRPr="006E50FF">
              <w:rPr>
                <w:sz w:val="16"/>
                <w:szCs w:val="16"/>
              </w:rPr>
              <w:t>Potable</w:t>
            </w:r>
            <w:r w:rsidRPr="006E50FF">
              <w:rPr>
                <w:spacing w:val="40"/>
                <w:sz w:val="16"/>
                <w:szCs w:val="16"/>
              </w:rPr>
              <w:t xml:space="preserve"> </w:t>
            </w:r>
            <w:r w:rsidRPr="006E50FF">
              <w:rPr>
                <w:sz w:val="16"/>
                <w:szCs w:val="16"/>
              </w:rPr>
              <w:t>Water</w:t>
            </w:r>
            <w:r w:rsidRPr="006E50FF">
              <w:rPr>
                <w:spacing w:val="-10"/>
                <w:sz w:val="16"/>
                <w:szCs w:val="16"/>
              </w:rPr>
              <w:t xml:space="preserve"> </w:t>
            </w:r>
            <w:r w:rsidRPr="006E50FF">
              <w:rPr>
                <w:sz w:val="16"/>
                <w:szCs w:val="16"/>
              </w:rPr>
              <w:t>(Pressure)</w:t>
            </w:r>
            <w:r w:rsidRPr="006E50FF">
              <w:rPr>
                <w:spacing w:val="-10"/>
                <w:sz w:val="16"/>
                <w:szCs w:val="16"/>
              </w:rPr>
              <w:t xml:space="preserve"> </w:t>
            </w:r>
            <w:r w:rsidRPr="006E50FF">
              <w:rPr>
                <w:sz w:val="16"/>
                <w:szCs w:val="16"/>
              </w:rPr>
              <w:t>Lines</w:t>
            </w:r>
            <w:r w:rsidRPr="006E50FF">
              <w:rPr>
                <w:spacing w:val="40"/>
                <w:sz w:val="16"/>
                <w:szCs w:val="16"/>
              </w:rPr>
              <w:t xml:space="preserve"> </w:t>
            </w:r>
            <w:r w:rsidRPr="006E50FF">
              <w:rPr>
                <w:sz w:val="16"/>
                <w:szCs w:val="16"/>
              </w:rPr>
              <w:t>Near Septic Tanks,</w:t>
            </w:r>
            <w:r w:rsidRPr="006E50FF">
              <w:rPr>
                <w:spacing w:val="40"/>
                <w:sz w:val="16"/>
                <w:szCs w:val="16"/>
              </w:rPr>
              <w:t xml:space="preserve"> </w:t>
            </w:r>
            <w:r w:rsidRPr="006E50FF">
              <w:rPr>
                <w:sz w:val="16"/>
                <w:szCs w:val="16"/>
              </w:rPr>
              <w:t>Mechanical</w:t>
            </w:r>
            <w:r w:rsidRPr="006E50FF">
              <w:rPr>
                <w:spacing w:val="-3"/>
                <w:sz w:val="16"/>
                <w:szCs w:val="16"/>
              </w:rPr>
              <w:t xml:space="preserve"> </w:t>
            </w:r>
            <w:r w:rsidRPr="006E50FF">
              <w:rPr>
                <w:sz w:val="16"/>
                <w:szCs w:val="16"/>
              </w:rPr>
              <w:t>Sewage</w:t>
            </w:r>
            <w:r w:rsidRPr="006E50FF">
              <w:rPr>
                <w:spacing w:val="40"/>
                <w:sz w:val="16"/>
                <w:szCs w:val="16"/>
              </w:rPr>
              <w:t xml:space="preserve"> </w:t>
            </w:r>
            <w:r w:rsidRPr="006E50FF">
              <w:rPr>
                <w:sz w:val="16"/>
                <w:szCs w:val="16"/>
              </w:rPr>
              <w:t>Treatment Plants, and</w:t>
            </w:r>
          </w:p>
          <w:p w14:paraId="6893FDB7" w14:textId="77777777" w:rsidR="006E50FF" w:rsidRPr="006E50FF" w:rsidRDefault="006E50FF" w:rsidP="006E50FF">
            <w:pPr>
              <w:widowControl w:val="0"/>
              <w:autoSpaceDE w:val="0"/>
              <w:autoSpaceDN w:val="0"/>
              <w:ind w:left="96" w:right="58"/>
              <w:rPr>
                <w:sz w:val="16"/>
                <w:szCs w:val="16"/>
              </w:rPr>
            </w:pPr>
            <w:r w:rsidRPr="006E50FF">
              <w:rPr>
                <w:sz w:val="16"/>
                <w:szCs w:val="16"/>
              </w:rPr>
              <w:t>Pump</w:t>
            </w:r>
            <w:r w:rsidRPr="006E50FF">
              <w:rPr>
                <w:spacing w:val="-4"/>
                <w:sz w:val="16"/>
                <w:szCs w:val="16"/>
              </w:rPr>
              <w:t xml:space="preserve"> </w:t>
            </w:r>
            <w:r w:rsidRPr="006E50FF">
              <w:rPr>
                <w:spacing w:val="-2"/>
                <w:sz w:val="16"/>
                <w:szCs w:val="16"/>
              </w:rPr>
              <w:t>Stations.</w:t>
            </w:r>
          </w:p>
        </w:tc>
        <w:tc>
          <w:tcPr>
            <w:tcW w:w="7043" w:type="dxa"/>
            <w:gridSpan w:val="2"/>
          </w:tcPr>
          <w:p w14:paraId="10793205" w14:textId="77777777" w:rsidR="006E50FF" w:rsidRPr="006E50FF" w:rsidRDefault="006E50FF" w:rsidP="006E50FF">
            <w:pPr>
              <w:widowControl w:val="0"/>
              <w:autoSpaceDE w:val="0"/>
              <w:autoSpaceDN w:val="0"/>
              <w:ind w:left="91" w:right="90"/>
              <w:rPr>
                <w:sz w:val="16"/>
                <w:szCs w:val="16"/>
              </w:rPr>
            </w:pPr>
            <w:r w:rsidRPr="006E50FF">
              <w:rPr>
                <w:sz w:val="16"/>
                <w:szCs w:val="16"/>
              </w:rPr>
              <w:t>Underground</w:t>
            </w:r>
            <w:r w:rsidRPr="006E50FF">
              <w:rPr>
                <w:spacing w:val="-3"/>
                <w:sz w:val="16"/>
                <w:szCs w:val="16"/>
              </w:rPr>
              <w:t xml:space="preserve"> </w:t>
            </w:r>
            <w:r w:rsidRPr="006E50FF">
              <w:rPr>
                <w:sz w:val="16"/>
                <w:szCs w:val="16"/>
              </w:rPr>
              <w:t>potable</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(pressure)</w:t>
            </w:r>
            <w:r w:rsidRPr="006E50FF">
              <w:rPr>
                <w:spacing w:val="-1"/>
                <w:sz w:val="16"/>
                <w:szCs w:val="16"/>
              </w:rPr>
              <w:t xml:space="preserve"> </w:t>
            </w:r>
            <w:r w:rsidRPr="006E50FF">
              <w:rPr>
                <w:sz w:val="16"/>
                <w:szCs w:val="16"/>
              </w:rPr>
              <w:t>lines</w:t>
            </w:r>
            <w:r w:rsidRPr="006E50FF">
              <w:rPr>
                <w:spacing w:val="-3"/>
                <w:sz w:val="16"/>
                <w:szCs w:val="16"/>
              </w:rPr>
              <w:t xml:space="preserve"> </w:t>
            </w:r>
            <w:r w:rsidRPr="006E50FF">
              <w:rPr>
                <w:sz w:val="16"/>
                <w:szCs w:val="16"/>
              </w:rPr>
              <w:t>shall</w:t>
            </w:r>
            <w:r w:rsidRPr="006E50FF">
              <w:rPr>
                <w:spacing w:val="-3"/>
                <w:sz w:val="16"/>
                <w:szCs w:val="16"/>
              </w:rPr>
              <w:t xml:space="preserve"> </w:t>
            </w:r>
            <w:r w:rsidRPr="006E50FF">
              <w:rPr>
                <w:sz w:val="16"/>
                <w:szCs w:val="16"/>
              </w:rPr>
              <w:t>not</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located</w:t>
            </w:r>
            <w:r w:rsidRPr="006E50FF">
              <w:rPr>
                <w:spacing w:val="-2"/>
                <w:sz w:val="16"/>
                <w:szCs w:val="16"/>
              </w:rPr>
              <w:t xml:space="preserve"> </w:t>
            </w:r>
            <w:r w:rsidRPr="006E50FF">
              <w:rPr>
                <w:sz w:val="16"/>
                <w:szCs w:val="16"/>
              </w:rPr>
              <w:t>within</w:t>
            </w:r>
            <w:r w:rsidRPr="006E50FF">
              <w:rPr>
                <w:spacing w:val="-3"/>
                <w:sz w:val="16"/>
                <w:szCs w:val="16"/>
              </w:rPr>
              <w:t xml:space="preserve"> </w:t>
            </w:r>
            <w:r w:rsidRPr="006E50FF">
              <w:rPr>
                <w:sz w:val="16"/>
                <w:szCs w:val="16"/>
              </w:rPr>
              <w:t>10</w:t>
            </w:r>
            <w:r w:rsidRPr="006E50FF">
              <w:rPr>
                <w:spacing w:val="-2"/>
                <w:sz w:val="16"/>
                <w:szCs w:val="16"/>
              </w:rPr>
              <w:t xml:space="preserve"> </w:t>
            </w:r>
            <w:r w:rsidRPr="006E50FF">
              <w:rPr>
                <w:sz w:val="16"/>
                <w:szCs w:val="16"/>
              </w:rPr>
              <w:t>feet</w:t>
            </w:r>
            <w:r w:rsidRPr="006E50FF">
              <w:rPr>
                <w:spacing w:val="-2"/>
                <w:sz w:val="16"/>
                <w:szCs w:val="16"/>
              </w:rPr>
              <w:t xml:space="preserve"> </w:t>
            </w:r>
            <w:r w:rsidRPr="006E50FF">
              <w:rPr>
                <w:sz w:val="16"/>
                <w:szCs w:val="16"/>
              </w:rPr>
              <w:t>(3.0</w:t>
            </w:r>
            <w:r w:rsidRPr="006E50FF">
              <w:rPr>
                <w:spacing w:val="-2"/>
                <w:sz w:val="16"/>
                <w:szCs w:val="16"/>
              </w:rPr>
              <w:t xml:space="preserve"> </w:t>
            </w:r>
            <w:r w:rsidRPr="006E50FF">
              <w:rPr>
                <w:sz w:val="16"/>
                <w:szCs w:val="16"/>
              </w:rPr>
              <w:t>m)</w:t>
            </w:r>
            <w:r w:rsidRPr="006E50FF">
              <w:rPr>
                <w:spacing w:val="-3"/>
                <w:sz w:val="16"/>
                <w:szCs w:val="16"/>
              </w:rPr>
              <w:t xml:space="preserve"> </w:t>
            </w:r>
            <w:r w:rsidRPr="006E50FF">
              <w:rPr>
                <w:sz w:val="16"/>
                <w:szCs w:val="16"/>
              </w:rPr>
              <w:t>of</w:t>
            </w:r>
            <w:r w:rsidRPr="006E50FF">
              <w:rPr>
                <w:spacing w:val="-3"/>
                <w:sz w:val="16"/>
                <w:szCs w:val="16"/>
              </w:rPr>
              <w:t xml:space="preserve"> </w:t>
            </w:r>
            <w:r w:rsidRPr="006E50FF">
              <w:rPr>
                <w:sz w:val="16"/>
                <w:szCs w:val="16"/>
              </w:rPr>
              <w:t>any</w:t>
            </w:r>
            <w:r w:rsidRPr="006E50FF">
              <w:rPr>
                <w:spacing w:val="-5"/>
                <w:sz w:val="16"/>
                <w:szCs w:val="16"/>
              </w:rPr>
              <w:t xml:space="preserve"> </w:t>
            </w:r>
            <w:r w:rsidRPr="006E50FF">
              <w:rPr>
                <w:sz w:val="16"/>
                <w:szCs w:val="16"/>
              </w:rPr>
              <w:t>septic tank,</w:t>
            </w:r>
            <w:r w:rsidRPr="006E50FF">
              <w:rPr>
                <w:spacing w:val="40"/>
                <w:sz w:val="16"/>
                <w:szCs w:val="16"/>
              </w:rPr>
              <w:t xml:space="preserve"> </w:t>
            </w:r>
            <w:r w:rsidRPr="006E50FF">
              <w:rPr>
                <w:sz w:val="16"/>
                <w:szCs w:val="16"/>
              </w:rPr>
              <w:t>mechanical sewage treatment plant, or sewage pump station.</w:t>
            </w:r>
          </w:p>
        </w:tc>
      </w:tr>
      <w:tr w:rsidR="006E50FF" w:rsidRPr="006E50FF" w14:paraId="466A648D" w14:textId="77777777" w:rsidTr="0088638B">
        <w:trPr>
          <w:trHeight w:val="187"/>
        </w:trPr>
        <w:tc>
          <w:tcPr>
            <w:tcW w:w="1072" w:type="dxa"/>
          </w:tcPr>
          <w:p w14:paraId="26FF2253"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24D47F81" w14:textId="77777777" w:rsidR="006E50FF" w:rsidRPr="006E50FF" w:rsidRDefault="006E50FF" w:rsidP="006E50FF">
            <w:pPr>
              <w:widowControl w:val="0"/>
              <w:autoSpaceDE w:val="0"/>
              <w:autoSpaceDN w:val="0"/>
              <w:ind w:left="96" w:right="58"/>
              <w:rPr>
                <w:sz w:val="16"/>
                <w:szCs w:val="16"/>
              </w:rPr>
            </w:pPr>
            <w:r w:rsidRPr="006E50FF">
              <w:rPr>
                <w:sz w:val="16"/>
                <w:szCs w:val="16"/>
              </w:rPr>
              <w:t>Section 603.5, Potable</w:t>
            </w:r>
            <w:r w:rsidRPr="006E50FF">
              <w:rPr>
                <w:spacing w:val="40"/>
                <w:sz w:val="16"/>
                <w:szCs w:val="16"/>
              </w:rPr>
              <w:t xml:space="preserve"> </w:t>
            </w:r>
            <w:r w:rsidRPr="006E50FF">
              <w:rPr>
                <w:sz w:val="16"/>
                <w:szCs w:val="16"/>
              </w:rPr>
              <w:t>Water (Pressure) Lines</w:t>
            </w:r>
            <w:r w:rsidRPr="006E50FF">
              <w:rPr>
                <w:spacing w:val="40"/>
                <w:sz w:val="16"/>
                <w:szCs w:val="16"/>
              </w:rPr>
              <w:t xml:space="preserve"> </w:t>
            </w:r>
            <w:r w:rsidRPr="006E50FF">
              <w:rPr>
                <w:sz w:val="16"/>
                <w:szCs w:val="16"/>
              </w:rPr>
              <w:t>Near Seepage Pit, Cesspool,</w:t>
            </w:r>
            <w:r w:rsidRPr="006E50FF">
              <w:rPr>
                <w:spacing w:val="-10"/>
                <w:sz w:val="16"/>
                <w:szCs w:val="16"/>
              </w:rPr>
              <w:t xml:space="preserve"> </w:t>
            </w:r>
            <w:r w:rsidRPr="006E50FF">
              <w:rPr>
                <w:sz w:val="16"/>
                <w:szCs w:val="16"/>
              </w:rPr>
              <w:t>or</w:t>
            </w:r>
            <w:r w:rsidRPr="006E50FF">
              <w:rPr>
                <w:spacing w:val="-10"/>
                <w:sz w:val="16"/>
                <w:szCs w:val="16"/>
              </w:rPr>
              <w:t xml:space="preserve"> </w:t>
            </w:r>
            <w:r w:rsidRPr="006E50FF">
              <w:rPr>
                <w:sz w:val="16"/>
                <w:szCs w:val="16"/>
              </w:rPr>
              <w:t>Sanitary</w:t>
            </w:r>
            <w:r w:rsidRPr="006E50FF">
              <w:rPr>
                <w:spacing w:val="-10"/>
                <w:sz w:val="16"/>
                <w:szCs w:val="16"/>
              </w:rPr>
              <w:t xml:space="preserve"> </w:t>
            </w:r>
            <w:r w:rsidRPr="006E50FF">
              <w:rPr>
                <w:sz w:val="16"/>
                <w:szCs w:val="16"/>
              </w:rPr>
              <w:t>Pit</w:t>
            </w:r>
            <w:r w:rsidRPr="006E50FF">
              <w:rPr>
                <w:spacing w:val="40"/>
                <w:sz w:val="16"/>
                <w:szCs w:val="16"/>
              </w:rPr>
              <w:t xml:space="preserve"> </w:t>
            </w:r>
            <w:r w:rsidRPr="006E50FF">
              <w:rPr>
                <w:spacing w:val="-2"/>
                <w:sz w:val="16"/>
                <w:szCs w:val="16"/>
              </w:rPr>
              <w:t>Privy.</w:t>
            </w:r>
          </w:p>
        </w:tc>
        <w:tc>
          <w:tcPr>
            <w:tcW w:w="7043" w:type="dxa"/>
            <w:gridSpan w:val="2"/>
          </w:tcPr>
          <w:p w14:paraId="072C37EE" w14:textId="77777777" w:rsidR="006E50FF" w:rsidRPr="006E50FF" w:rsidRDefault="006E50FF" w:rsidP="006E50FF">
            <w:pPr>
              <w:widowControl w:val="0"/>
              <w:autoSpaceDE w:val="0"/>
              <w:autoSpaceDN w:val="0"/>
              <w:ind w:left="91" w:right="90"/>
              <w:rPr>
                <w:sz w:val="16"/>
                <w:szCs w:val="16"/>
              </w:rPr>
            </w:pPr>
            <w:r w:rsidRPr="006E50FF">
              <w:rPr>
                <w:sz w:val="16"/>
                <w:szCs w:val="16"/>
              </w:rPr>
              <w:t>Underground</w:t>
            </w:r>
            <w:r w:rsidRPr="006E50FF">
              <w:rPr>
                <w:spacing w:val="-3"/>
                <w:sz w:val="16"/>
                <w:szCs w:val="16"/>
              </w:rPr>
              <w:t xml:space="preserve"> </w:t>
            </w:r>
            <w:r w:rsidRPr="006E50FF">
              <w:rPr>
                <w:sz w:val="16"/>
                <w:szCs w:val="16"/>
              </w:rPr>
              <w:t>potable</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(pressure)</w:t>
            </w:r>
            <w:r w:rsidRPr="006E50FF">
              <w:rPr>
                <w:spacing w:val="-1"/>
                <w:sz w:val="16"/>
                <w:szCs w:val="16"/>
              </w:rPr>
              <w:t xml:space="preserve"> </w:t>
            </w:r>
            <w:r w:rsidRPr="006E50FF">
              <w:rPr>
                <w:sz w:val="16"/>
                <w:szCs w:val="16"/>
              </w:rPr>
              <w:t>lines</w:t>
            </w:r>
            <w:r w:rsidRPr="006E50FF">
              <w:rPr>
                <w:spacing w:val="-3"/>
                <w:sz w:val="16"/>
                <w:szCs w:val="16"/>
              </w:rPr>
              <w:t xml:space="preserve"> </w:t>
            </w:r>
            <w:r w:rsidRPr="006E50FF">
              <w:rPr>
                <w:sz w:val="16"/>
                <w:szCs w:val="16"/>
              </w:rPr>
              <w:t>shall</w:t>
            </w:r>
            <w:r w:rsidRPr="006E50FF">
              <w:rPr>
                <w:spacing w:val="-3"/>
                <w:sz w:val="16"/>
                <w:szCs w:val="16"/>
              </w:rPr>
              <w:t xml:space="preserve"> </w:t>
            </w:r>
            <w:r w:rsidRPr="006E50FF">
              <w:rPr>
                <w:sz w:val="16"/>
                <w:szCs w:val="16"/>
              </w:rPr>
              <w:t>not</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located</w:t>
            </w:r>
            <w:r w:rsidRPr="006E50FF">
              <w:rPr>
                <w:spacing w:val="-2"/>
                <w:sz w:val="16"/>
                <w:szCs w:val="16"/>
              </w:rPr>
              <w:t xml:space="preserve"> </w:t>
            </w:r>
            <w:r w:rsidRPr="006E50FF">
              <w:rPr>
                <w:sz w:val="16"/>
                <w:szCs w:val="16"/>
              </w:rPr>
              <w:t>within</w:t>
            </w:r>
            <w:r w:rsidRPr="006E50FF">
              <w:rPr>
                <w:spacing w:val="-3"/>
                <w:sz w:val="16"/>
                <w:szCs w:val="16"/>
              </w:rPr>
              <w:t xml:space="preserve"> </w:t>
            </w:r>
            <w:r w:rsidRPr="006E50FF">
              <w:rPr>
                <w:sz w:val="16"/>
                <w:szCs w:val="16"/>
              </w:rPr>
              <w:t>50</w:t>
            </w:r>
            <w:r w:rsidRPr="006E50FF">
              <w:rPr>
                <w:spacing w:val="-2"/>
                <w:sz w:val="16"/>
                <w:szCs w:val="16"/>
              </w:rPr>
              <w:t xml:space="preserve"> </w:t>
            </w:r>
            <w:r w:rsidRPr="006E50FF">
              <w:rPr>
                <w:sz w:val="16"/>
                <w:szCs w:val="16"/>
              </w:rPr>
              <w:t>feet</w:t>
            </w:r>
            <w:r w:rsidRPr="006E50FF">
              <w:rPr>
                <w:spacing w:val="-2"/>
                <w:sz w:val="16"/>
                <w:szCs w:val="16"/>
              </w:rPr>
              <w:t xml:space="preserve"> </w:t>
            </w:r>
            <w:r w:rsidRPr="006E50FF">
              <w:rPr>
                <w:sz w:val="16"/>
                <w:szCs w:val="16"/>
              </w:rPr>
              <w:t>(15.2m) of</w:t>
            </w:r>
            <w:r w:rsidRPr="006E50FF">
              <w:rPr>
                <w:spacing w:val="-3"/>
                <w:sz w:val="16"/>
                <w:szCs w:val="16"/>
              </w:rPr>
              <w:t xml:space="preserve"> </w:t>
            </w:r>
            <w:r w:rsidRPr="006E50FF">
              <w:rPr>
                <w:sz w:val="16"/>
                <w:szCs w:val="16"/>
              </w:rPr>
              <w:t>any</w:t>
            </w:r>
            <w:r w:rsidRPr="006E50FF">
              <w:rPr>
                <w:spacing w:val="-5"/>
                <w:sz w:val="16"/>
                <w:szCs w:val="16"/>
              </w:rPr>
              <w:t xml:space="preserve"> </w:t>
            </w:r>
            <w:r w:rsidRPr="006E50FF">
              <w:rPr>
                <w:sz w:val="16"/>
                <w:szCs w:val="16"/>
              </w:rPr>
              <w:t>seepage</w:t>
            </w:r>
            <w:r w:rsidRPr="006E50FF">
              <w:rPr>
                <w:spacing w:val="-4"/>
                <w:sz w:val="16"/>
                <w:szCs w:val="16"/>
              </w:rPr>
              <w:t xml:space="preserve"> </w:t>
            </w:r>
            <w:r w:rsidRPr="006E50FF">
              <w:rPr>
                <w:sz w:val="16"/>
                <w:szCs w:val="16"/>
              </w:rPr>
              <w:t>pit,</w:t>
            </w:r>
            <w:r w:rsidRPr="006E50FF">
              <w:rPr>
                <w:spacing w:val="-2"/>
                <w:sz w:val="16"/>
                <w:szCs w:val="16"/>
              </w:rPr>
              <w:t xml:space="preserve"> </w:t>
            </w:r>
            <w:r w:rsidRPr="006E50FF">
              <w:rPr>
                <w:sz w:val="16"/>
                <w:szCs w:val="16"/>
              </w:rPr>
              <w:t>cesspool,</w:t>
            </w:r>
            <w:r w:rsidRPr="006E50FF">
              <w:rPr>
                <w:spacing w:val="40"/>
                <w:sz w:val="16"/>
                <w:szCs w:val="16"/>
              </w:rPr>
              <w:t xml:space="preserve"> </w:t>
            </w:r>
            <w:r w:rsidRPr="006E50FF">
              <w:rPr>
                <w:sz w:val="16"/>
                <w:szCs w:val="16"/>
              </w:rPr>
              <w:t>or sanitary pit privy.</w:t>
            </w:r>
          </w:p>
        </w:tc>
      </w:tr>
      <w:tr w:rsidR="006E50FF" w:rsidRPr="006E50FF" w14:paraId="602DED8F" w14:textId="77777777" w:rsidTr="0088638B">
        <w:trPr>
          <w:trHeight w:val="187"/>
        </w:trPr>
        <w:tc>
          <w:tcPr>
            <w:tcW w:w="1072" w:type="dxa"/>
          </w:tcPr>
          <w:p w14:paraId="7AA04CD0"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72AFAE5D" w14:textId="77777777" w:rsidR="006E50FF" w:rsidRPr="006E50FF" w:rsidRDefault="006E50FF" w:rsidP="006E50FF">
            <w:pPr>
              <w:widowControl w:val="0"/>
              <w:autoSpaceDE w:val="0"/>
              <w:autoSpaceDN w:val="0"/>
              <w:ind w:left="96" w:right="58"/>
              <w:rPr>
                <w:sz w:val="16"/>
                <w:szCs w:val="16"/>
              </w:rPr>
            </w:pPr>
            <w:r w:rsidRPr="006E50FF">
              <w:rPr>
                <w:sz w:val="16"/>
                <w:szCs w:val="16"/>
              </w:rPr>
              <w:t>603.6,</w:t>
            </w:r>
            <w:r w:rsidRPr="006E50FF">
              <w:rPr>
                <w:spacing w:val="-11"/>
                <w:sz w:val="16"/>
                <w:szCs w:val="16"/>
              </w:rPr>
              <w:t xml:space="preserve"> </w:t>
            </w:r>
            <w:r w:rsidRPr="006E50FF">
              <w:rPr>
                <w:sz w:val="16"/>
                <w:szCs w:val="16"/>
              </w:rPr>
              <w:t>Reclaimed</w:t>
            </w:r>
            <w:r w:rsidRPr="006E50FF">
              <w:rPr>
                <w:spacing w:val="-5"/>
                <w:sz w:val="16"/>
                <w:szCs w:val="16"/>
              </w:rPr>
              <w:t xml:space="preserve"> </w:t>
            </w:r>
            <w:r w:rsidRPr="006E50FF">
              <w:rPr>
                <w:spacing w:val="-4"/>
                <w:sz w:val="16"/>
                <w:szCs w:val="16"/>
              </w:rPr>
              <w:t>Water</w:t>
            </w:r>
          </w:p>
          <w:p w14:paraId="58C107B7" w14:textId="77777777" w:rsidR="006E50FF" w:rsidRPr="006E50FF" w:rsidRDefault="006E50FF" w:rsidP="006E50FF">
            <w:pPr>
              <w:widowControl w:val="0"/>
              <w:autoSpaceDE w:val="0"/>
              <w:autoSpaceDN w:val="0"/>
              <w:ind w:left="96" w:right="58"/>
              <w:rPr>
                <w:sz w:val="16"/>
                <w:szCs w:val="16"/>
              </w:rPr>
            </w:pPr>
            <w:r w:rsidRPr="006E50FF">
              <w:rPr>
                <w:spacing w:val="-2"/>
                <w:sz w:val="16"/>
                <w:szCs w:val="16"/>
              </w:rPr>
              <w:t>Lines.</w:t>
            </w:r>
          </w:p>
        </w:tc>
        <w:tc>
          <w:tcPr>
            <w:tcW w:w="7043" w:type="dxa"/>
            <w:gridSpan w:val="2"/>
          </w:tcPr>
          <w:p w14:paraId="0051E0E9" w14:textId="77777777" w:rsidR="006E50FF" w:rsidRPr="006E50FF" w:rsidRDefault="006E50FF" w:rsidP="006E50FF">
            <w:pPr>
              <w:widowControl w:val="0"/>
              <w:autoSpaceDE w:val="0"/>
              <w:autoSpaceDN w:val="0"/>
              <w:ind w:left="91" w:right="90"/>
              <w:rPr>
                <w:sz w:val="16"/>
                <w:szCs w:val="16"/>
              </w:rPr>
            </w:pPr>
            <w:r w:rsidRPr="006E50FF">
              <w:rPr>
                <w:sz w:val="16"/>
                <w:szCs w:val="16"/>
              </w:rPr>
              <w:t>Reclaimed</w:t>
            </w:r>
            <w:r w:rsidRPr="006E50FF">
              <w:rPr>
                <w:spacing w:val="-6"/>
                <w:sz w:val="16"/>
                <w:szCs w:val="16"/>
              </w:rPr>
              <w:t xml:space="preserve"> </w:t>
            </w:r>
            <w:r w:rsidRPr="006E50FF">
              <w:rPr>
                <w:sz w:val="16"/>
                <w:szCs w:val="16"/>
              </w:rPr>
              <w:t>water</w:t>
            </w:r>
            <w:r w:rsidRPr="006E50FF">
              <w:rPr>
                <w:spacing w:val="-5"/>
                <w:sz w:val="16"/>
                <w:szCs w:val="16"/>
              </w:rPr>
              <w:t xml:space="preserve"> </w:t>
            </w:r>
            <w:r w:rsidRPr="006E50FF">
              <w:rPr>
                <w:sz w:val="16"/>
                <w:szCs w:val="16"/>
              </w:rPr>
              <w:t>lines</w:t>
            </w:r>
            <w:r w:rsidRPr="006E50FF">
              <w:rPr>
                <w:spacing w:val="-4"/>
                <w:sz w:val="16"/>
                <w:szCs w:val="16"/>
              </w:rPr>
              <w:t xml:space="preserve"> </w:t>
            </w:r>
            <w:r w:rsidRPr="006E50FF">
              <w:rPr>
                <w:sz w:val="16"/>
                <w:szCs w:val="16"/>
              </w:rPr>
              <w:t>shall</w:t>
            </w:r>
            <w:r w:rsidRPr="006E50FF">
              <w:rPr>
                <w:spacing w:val="-6"/>
                <w:sz w:val="16"/>
                <w:szCs w:val="16"/>
              </w:rPr>
              <w:t xml:space="preserve"> </w:t>
            </w:r>
            <w:r w:rsidRPr="006E50FF">
              <w:rPr>
                <w:sz w:val="16"/>
                <w:szCs w:val="16"/>
              </w:rPr>
              <w:t>be</w:t>
            </w:r>
            <w:r w:rsidRPr="006E50FF">
              <w:rPr>
                <w:spacing w:val="-6"/>
                <w:sz w:val="16"/>
                <w:szCs w:val="16"/>
              </w:rPr>
              <w:t xml:space="preserve"> </w:t>
            </w:r>
            <w:r w:rsidRPr="006E50FF">
              <w:rPr>
                <w:sz w:val="16"/>
                <w:szCs w:val="16"/>
              </w:rPr>
              <w:t>considered</w:t>
            </w:r>
            <w:r w:rsidRPr="006E50FF">
              <w:rPr>
                <w:spacing w:val="-3"/>
                <w:sz w:val="16"/>
                <w:szCs w:val="16"/>
              </w:rPr>
              <w:t xml:space="preserve"> </w:t>
            </w:r>
            <w:r w:rsidRPr="006E50FF">
              <w:rPr>
                <w:sz w:val="16"/>
                <w:szCs w:val="16"/>
              </w:rPr>
              <w:t>and</w:t>
            </w:r>
            <w:r w:rsidRPr="006E50FF">
              <w:rPr>
                <w:spacing w:val="-5"/>
                <w:sz w:val="16"/>
                <w:szCs w:val="16"/>
              </w:rPr>
              <w:t xml:space="preserve"> </w:t>
            </w:r>
            <w:r w:rsidRPr="006E50FF">
              <w:rPr>
                <w:sz w:val="16"/>
                <w:szCs w:val="16"/>
              </w:rPr>
              <w:t>treated</w:t>
            </w:r>
            <w:r w:rsidRPr="006E50FF">
              <w:rPr>
                <w:spacing w:val="-6"/>
                <w:sz w:val="16"/>
                <w:szCs w:val="16"/>
              </w:rPr>
              <w:t xml:space="preserve"> </w:t>
            </w:r>
            <w:r w:rsidRPr="006E50FF">
              <w:rPr>
                <w:sz w:val="16"/>
                <w:szCs w:val="16"/>
              </w:rPr>
              <w:t>as</w:t>
            </w:r>
            <w:r w:rsidRPr="006E50FF">
              <w:rPr>
                <w:spacing w:val="-6"/>
                <w:sz w:val="16"/>
                <w:szCs w:val="16"/>
              </w:rPr>
              <w:t xml:space="preserve"> </w:t>
            </w:r>
            <w:r w:rsidRPr="006E50FF">
              <w:rPr>
                <w:sz w:val="16"/>
                <w:szCs w:val="16"/>
              </w:rPr>
              <w:t>though</w:t>
            </w:r>
            <w:r w:rsidRPr="006E50FF">
              <w:rPr>
                <w:spacing w:val="-5"/>
                <w:sz w:val="16"/>
                <w:szCs w:val="16"/>
              </w:rPr>
              <w:t xml:space="preserve"> </w:t>
            </w:r>
            <w:r w:rsidRPr="006E50FF">
              <w:rPr>
                <w:sz w:val="16"/>
                <w:szCs w:val="16"/>
              </w:rPr>
              <w:t>they</w:t>
            </w:r>
            <w:r w:rsidRPr="006E50FF">
              <w:rPr>
                <w:spacing w:val="-7"/>
                <w:sz w:val="16"/>
                <w:szCs w:val="16"/>
              </w:rPr>
              <w:t xml:space="preserve"> </w:t>
            </w:r>
            <w:r w:rsidRPr="006E50FF">
              <w:rPr>
                <w:sz w:val="16"/>
                <w:szCs w:val="16"/>
              </w:rPr>
              <w:t>are</w:t>
            </w:r>
            <w:r w:rsidRPr="006E50FF">
              <w:rPr>
                <w:spacing w:val="-6"/>
                <w:sz w:val="16"/>
                <w:szCs w:val="16"/>
              </w:rPr>
              <w:t xml:space="preserve"> </w:t>
            </w:r>
            <w:r w:rsidRPr="006E50FF">
              <w:rPr>
                <w:sz w:val="16"/>
                <w:szCs w:val="16"/>
              </w:rPr>
              <w:t>sewerage</w:t>
            </w:r>
            <w:r w:rsidRPr="006E50FF">
              <w:rPr>
                <w:spacing w:val="-3"/>
                <w:sz w:val="16"/>
                <w:szCs w:val="16"/>
              </w:rPr>
              <w:t xml:space="preserve"> </w:t>
            </w:r>
            <w:r w:rsidRPr="006E50FF">
              <w:rPr>
                <w:sz w:val="16"/>
                <w:szCs w:val="16"/>
              </w:rPr>
              <w:t>lines</w:t>
            </w:r>
            <w:r w:rsidRPr="006E50FF">
              <w:rPr>
                <w:spacing w:val="-5"/>
                <w:sz w:val="16"/>
                <w:szCs w:val="16"/>
              </w:rPr>
              <w:t xml:space="preserve"> </w:t>
            </w:r>
            <w:r w:rsidRPr="006E50FF">
              <w:rPr>
                <w:sz w:val="16"/>
                <w:szCs w:val="16"/>
              </w:rPr>
              <w:t>and</w:t>
            </w:r>
            <w:r w:rsidRPr="006E50FF">
              <w:rPr>
                <w:spacing w:val="-3"/>
                <w:sz w:val="16"/>
                <w:szCs w:val="16"/>
              </w:rPr>
              <w:t xml:space="preserve"> </w:t>
            </w:r>
            <w:r w:rsidRPr="006E50FF">
              <w:rPr>
                <w:sz w:val="16"/>
                <w:szCs w:val="16"/>
              </w:rPr>
              <w:t>shall</w:t>
            </w:r>
            <w:r w:rsidRPr="006E50FF">
              <w:rPr>
                <w:spacing w:val="-5"/>
                <w:sz w:val="16"/>
                <w:szCs w:val="16"/>
              </w:rPr>
              <w:t xml:space="preserve"> </w:t>
            </w:r>
            <w:r w:rsidRPr="006E50FF">
              <w:rPr>
                <w:sz w:val="16"/>
                <w:szCs w:val="16"/>
              </w:rPr>
              <w:t>be</w:t>
            </w:r>
            <w:r w:rsidRPr="006E50FF">
              <w:rPr>
                <w:spacing w:val="-8"/>
                <w:sz w:val="16"/>
                <w:szCs w:val="16"/>
              </w:rPr>
              <w:t xml:space="preserve"> </w:t>
            </w:r>
            <w:r w:rsidRPr="006E50FF">
              <w:rPr>
                <w:sz w:val="16"/>
                <w:szCs w:val="16"/>
              </w:rPr>
              <w:t>installed</w:t>
            </w:r>
            <w:r w:rsidRPr="006E50FF">
              <w:rPr>
                <w:spacing w:val="-3"/>
                <w:sz w:val="16"/>
                <w:szCs w:val="16"/>
              </w:rPr>
              <w:t xml:space="preserve"> </w:t>
            </w:r>
            <w:r w:rsidRPr="006E50FF">
              <w:rPr>
                <w:spacing w:val="-5"/>
                <w:sz w:val="16"/>
                <w:szCs w:val="16"/>
              </w:rPr>
              <w:t>in</w:t>
            </w:r>
            <w:r w:rsidRPr="006E50FF">
              <w:rPr>
                <w:sz w:val="16"/>
                <w:szCs w:val="16"/>
              </w:rPr>
              <w:t xml:space="preserve"> accord</w:t>
            </w:r>
            <w:r w:rsidRPr="006E50FF">
              <w:rPr>
                <w:spacing w:val="-6"/>
                <w:sz w:val="16"/>
                <w:szCs w:val="16"/>
              </w:rPr>
              <w:t xml:space="preserve"> </w:t>
            </w:r>
            <w:r w:rsidRPr="006E50FF">
              <w:rPr>
                <w:sz w:val="16"/>
                <w:szCs w:val="16"/>
              </w:rPr>
              <w:t>with</w:t>
            </w:r>
            <w:r w:rsidRPr="006E50FF">
              <w:rPr>
                <w:spacing w:val="-5"/>
                <w:sz w:val="16"/>
                <w:szCs w:val="16"/>
              </w:rPr>
              <w:t xml:space="preserve"> </w:t>
            </w:r>
            <w:r w:rsidRPr="006E50FF">
              <w:rPr>
                <w:sz w:val="16"/>
                <w:szCs w:val="16"/>
              </w:rPr>
              <w:t>the</w:t>
            </w:r>
            <w:r w:rsidRPr="006E50FF">
              <w:rPr>
                <w:spacing w:val="-6"/>
                <w:sz w:val="16"/>
                <w:szCs w:val="16"/>
              </w:rPr>
              <w:t xml:space="preserve"> </w:t>
            </w:r>
            <w:r w:rsidRPr="006E50FF">
              <w:rPr>
                <w:sz w:val="16"/>
                <w:szCs w:val="16"/>
              </w:rPr>
              <w:t>spacing</w:t>
            </w:r>
            <w:r w:rsidRPr="006E50FF">
              <w:rPr>
                <w:spacing w:val="-5"/>
                <w:sz w:val="16"/>
                <w:szCs w:val="16"/>
              </w:rPr>
              <w:t xml:space="preserve"> </w:t>
            </w:r>
            <w:r w:rsidRPr="006E50FF">
              <w:rPr>
                <w:sz w:val="16"/>
                <w:szCs w:val="16"/>
              </w:rPr>
              <w:t>requirements</w:t>
            </w:r>
            <w:r w:rsidRPr="006E50FF">
              <w:rPr>
                <w:spacing w:val="-6"/>
                <w:sz w:val="16"/>
                <w:szCs w:val="16"/>
              </w:rPr>
              <w:t xml:space="preserve"> </w:t>
            </w:r>
            <w:r w:rsidRPr="006E50FF">
              <w:rPr>
                <w:sz w:val="16"/>
                <w:szCs w:val="16"/>
              </w:rPr>
              <w:t>of</w:t>
            </w:r>
            <w:r w:rsidRPr="006E50FF">
              <w:rPr>
                <w:spacing w:val="-5"/>
                <w:sz w:val="16"/>
                <w:szCs w:val="16"/>
              </w:rPr>
              <w:t xml:space="preserve"> </w:t>
            </w:r>
            <w:r w:rsidRPr="006E50FF">
              <w:rPr>
                <w:sz w:val="16"/>
                <w:szCs w:val="16"/>
              </w:rPr>
              <w:t>this</w:t>
            </w:r>
            <w:r w:rsidRPr="006E50FF">
              <w:rPr>
                <w:spacing w:val="-6"/>
                <w:sz w:val="16"/>
                <w:szCs w:val="16"/>
              </w:rPr>
              <w:t xml:space="preserve"> </w:t>
            </w:r>
            <w:r w:rsidRPr="006E50FF">
              <w:rPr>
                <w:sz w:val="16"/>
                <w:szCs w:val="16"/>
              </w:rPr>
              <w:t>Section</w:t>
            </w:r>
            <w:r w:rsidRPr="006E50FF">
              <w:rPr>
                <w:spacing w:val="-4"/>
                <w:sz w:val="16"/>
                <w:szCs w:val="16"/>
              </w:rPr>
              <w:t xml:space="preserve"> </w:t>
            </w:r>
            <w:r w:rsidRPr="006E50FF">
              <w:rPr>
                <w:sz w:val="16"/>
                <w:szCs w:val="16"/>
              </w:rPr>
              <w:t>for</w:t>
            </w:r>
            <w:r w:rsidRPr="006E50FF">
              <w:rPr>
                <w:spacing w:val="-5"/>
                <w:sz w:val="16"/>
                <w:szCs w:val="16"/>
              </w:rPr>
              <w:t xml:space="preserve"> </w:t>
            </w:r>
            <w:r w:rsidRPr="006E50FF">
              <w:rPr>
                <w:sz w:val="16"/>
                <w:szCs w:val="16"/>
              </w:rPr>
              <w:t>the</w:t>
            </w:r>
            <w:r w:rsidRPr="006E50FF">
              <w:rPr>
                <w:spacing w:val="-6"/>
                <w:sz w:val="16"/>
                <w:szCs w:val="16"/>
              </w:rPr>
              <w:t xml:space="preserve"> </w:t>
            </w:r>
            <w:r w:rsidRPr="006E50FF">
              <w:rPr>
                <w:sz w:val="16"/>
                <w:szCs w:val="16"/>
              </w:rPr>
              <w:t>protection</w:t>
            </w:r>
            <w:r w:rsidRPr="006E50FF">
              <w:rPr>
                <w:spacing w:val="-5"/>
                <w:sz w:val="16"/>
                <w:szCs w:val="16"/>
              </w:rPr>
              <w:t xml:space="preserve"> </w:t>
            </w:r>
            <w:r w:rsidRPr="006E50FF">
              <w:rPr>
                <w:sz w:val="16"/>
                <w:szCs w:val="16"/>
              </w:rPr>
              <w:t>of</w:t>
            </w:r>
            <w:r w:rsidRPr="006E50FF">
              <w:rPr>
                <w:spacing w:val="-5"/>
                <w:sz w:val="16"/>
                <w:szCs w:val="16"/>
              </w:rPr>
              <w:t xml:space="preserve"> </w:t>
            </w:r>
            <w:r w:rsidRPr="006E50FF">
              <w:rPr>
                <w:sz w:val="16"/>
                <w:szCs w:val="16"/>
              </w:rPr>
              <w:t>potable</w:t>
            </w:r>
            <w:r w:rsidRPr="006E50FF">
              <w:rPr>
                <w:spacing w:val="-6"/>
                <w:sz w:val="16"/>
                <w:szCs w:val="16"/>
              </w:rPr>
              <w:t xml:space="preserve"> </w:t>
            </w:r>
            <w:r w:rsidRPr="006E50FF">
              <w:rPr>
                <w:sz w:val="16"/>
                <w:szCs w:val="16"/>
              </w:rPr>
              <w:t>water</w:t>
            </w:r>
            <w:r w:rsidRPr="006E50FF">
              <w:rPr>
                <w:spacing w:val="-2"/>
                <w:sz w:val="16"/>
                <w:szCs w:val="16"/>
              </w:rPr>
              <w:t xml:space="preserve"> lines.</w:t>
            </w:r>
          </w:p>
        </w:tc>
      </w:tr>
      <w:tr w:rsidR="006E50FF" w:rsidRPr="006E50FF" w14:paraId="3F956050" w14:textId="77777777" w:rsidTr="0088638B">
        <w:trPr>
          <w:trHeight w:val="187"/>
        </w:trPr>
        <w:tc>
          <w:tcPr>
            <w:tcW w:w="1072" w:type="dxa"/>
          </w:tcPr>
          <w:p w14:paraId="5CFF7984"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FE59AC3" w14:textId="77777777" w:rsidR="006E50FF" w:rsidRPr="006E50FF" w:rsidRDefault="006E50FF" w:rsidP="006E50FF">
            <w:pPr>
              <w:widowControl w:val="0"/>
              <w:autoSpaceDE w:val="0"/>
              <w:autoSpaceDN w:val="0"/>
              <w:ind w:left="96" w:right="58"/>
              <w:rPr>
                <w:sz w:val="16"/>
                <w:szCs w:val="16"/>
              </w:rPr>
            </w:pPr>
            <w:r w:rsidRPr="006E50FF">
              <w:rPr>
                <w:sz w:val="16"/>
                <w:szCs w:val="16"/>
              </w:rPr>
              <w:t>Section 605.2.1, Lead</w:t>
            </w:r>
            <w:r w:rsidRPr="006E50FF">
              <w:rPr>
                <w:spacing w:val="40"/>
                <w:sz w:val="16"/>
                <w:szCs w:val="16"/>
              </w:rPr>
              <w:t xml:space="preserve"> </w:t>
            </w:r>
            <w:r w:rsidRPr="006E50FF">
              <w:rPr>
                <w:sz w:val="16"/>
                <w:szCs w:val="16"/>
              </w:rPr>
              <w:t>Content</w:t>
            </w:r>
            <w:r w:rsidRPr="006E50FF">
              <w:rPr>
                <w:spacing w:val="-4"/>
                <w:sz w:val="16"/>
                <w:szCs w:val="16"/>
              </w:rPr>
              <w:t xml:space="preserve"> </w:t>
            </w:r>
            <w:r w:rsidRPr="006E50FF">
              <w:rPr>
                <w:sz w:val="16"/>
                <w:szCs w:val="16"/>
              </w:rPr>
              <w:t>of</w:t>
            </w:r>
            <w:r w:rsidRPr="006E50FF">
              <w:rPr>
                <w:spacing w:val="-6"/>
                <w:sz w:val="16"/>
                <w:szCs w:val="16"/>
              </w:rPr>
              <w:t xml:space="preserve"> </w:t>
            </w:r>
            <w:r w:rsidRPr="006E50FF">
              <w:rPr>
                <w:sz w:val="16"/>
                <w:szCs w:val="16"/>
              </w:rPr>
              <w:t>Water</w:t>
            </w:r>
            <w:r w:rsidRPr="006E50FF">
              <w:rPr>
                <w:spacing w:val="-5"/>
                <w:sz w:val="16"/>
                <w:szCs w:val="16"/>
              </w:rPr>
              <w:t xml:space="preserve"> </w:t>
            </w:r>
            <w:r w:rsidRPr="006E50FF">
              <w:rPr>
                <w:spacing w:val="-2"/>
                <w:sz w:val="16"/>
                <w:szCs w:val="16"/>
              </w:rPr>
              <w:t>Supply</w:t>
            </w:r>
          </w:p>
          <w:p w14:paraId="366F1491" w14:textId="77777777" w:rsidR="006E50FF" w:rsidRPr="006E50FF" w:rsidRDefault="006E50FF" w:rsidP="006E50FF">
            <w:pPr>
              <w:widowControl w:val="0"/>
              <w:autoSpaceDE w:val="0"/>
              <w:autoSpaceDN w:val="0"/>
              <w:ind w:left="96" w:right="58"/>
              <w:rPr>
                <w:sz w:val="16"/>
                <w:szCs w:val="16"/>
              </w:rPr>
            </w:pPr>
            <w:r w:rsidRPr="006E50FF">
              <w:rPr>
                <w:sz w:val="16"/>
                <w:szCs w:val="16"/>
              </w:rPr>
              <w:t>Pipe</w:t>
            </w:r>
            <w:r w:rsidRPr="006E50FF">
              <w:rPr>
                <w:spacing w:val="-10"/>
                <w:sz w:val="16"/>
                <w:szCs w:val="16"/>
              </w:rPr>
              <w:t xml:space="preserve"> </w:t>
            </w:r>
            <w:r w:rsidRPr="006E50FF">
              <w:rPr>
                <w:sz w:val="16"/>
                <w:szCs w:val="16"/>
              </w:rPr>
              <w:t>and</w:t>
            </w:r>
            <w:r w:rsidRPr="006E50FF">
              <w:rPr>
                <w:spacing w:val="-9"/>
                <w:sz w:val="16"/>
                <w:szCs w:val="16"/>
              </w:rPr>
              <w:t xml:space="preserve"> </w:t>
            </w:r>
            <w:r w:rsidRPr="006E50FF">
              <w:rPr>
                <w:sz w:val="16"/>
                <w:szCs w:val="16"/>
              </w:rPr>
              <w:t>Fittings</w:t>
            </w:r>
            <w:r w:rsidRPr="006E50FF">
              <w:rPr>
                <w:spacing w:val="-10"/>
                <w:sz w:val="16"/>
                <w:szCs w:val="16"/>
              </w:rPr>
              <w:t xml:space="preserve"> </w:t>
            </w:r>
            <w:r w:rsidRPr="006E50FF">
              <w:rPr>
                <w:sz w:val="16"/>
                <w:szCs w:val="16"/>
              </w:rPr>
              <w:t>used</w:t>
            </w:r>
            <w:r w:rsidRPr="006E50FF">
              <w:rPr>
                <w:spacing w:val="-10"/>
                <w:sz w:val="16"/>
                <w:szCs w:val="16"/>
              </w:rPr>
              <w:t xml:space="preserve"> </w:t>
            </w:r>
            <w:r w:rsidRPr="006E50FF">
              <w:rPr>
                <w:sz w:val="16"/>
                <w:szCs w:val="16"/>
              </w:rPr>
              <w:t>for</w:t>
            </w:r>
            <w:r w:rsidRPr="006E50FF">
              <w:rPr>
                <w:spacing w:val="40"/>
                <w:sz w:val="16"/>
                <w:szCs w:val="16"/>
              </w:rPr>
              <w:t xml:space="preserve"> </w:t>
            </w:r>
            <w:r w:rsidRPr="006E50FF">
              <w:rPr>
                <w:sz w:val="16"/>
                <w:szCs w:val="16"/>
              </w:rPr>
              <w:t>Human</w:t>
            </w:r>
            <w:r w:rsidRPr="006E50FF">
              <w:rPr>
                <w:spacing w:val="-3"/>
                <w:sz w:val="16"/>
                <w:szCs w:val="16"/>
              </w:rPr>
              <w:t xml:space="preserve"> </w:t>
            </w:r>
            <w:r w:rsidRPr="006E50FF">
              <w:rPr>
                <w:sz w:val="16"/>
                <w:szCs w:val="16"/>
              </w:rPr>
              <w:t>Consumption.</w:t>
            </w:r>
          </w:p>
        </w:tc>
        <w:tc>
          <w:tcPr>
            <w:tcW w:w="7043" w:type="dxa"/>
            <w:gridSpan w:val="2"/>
          </w:tcPr>
          <w:p w14:paraId="5E74BD77" w14:textId="77777777" w:rsidR="006E50FF" w:rsidRPr="006E50FF" w:rsidRDefault="006E50FF" w:rsidP="006E50FF">
            <w:pPr>
              <w:widowControl w:val="0"/>
              <w:autoSpaceDE w:val="0"/>
              <w:autoSpaceDN w:val="0"/>
              <w:ind w:left="91" w:right="90"/>
              <w:rPr>
                <w:sz w:val="16"/>
                <w:szCs w:val="16"/>
              </w:rPr>
            </w:pPr>
            <w:r w:rsidRPr="006E50FF">
              <w:rPr>
                <w:sz w:val="16"/>
                <w:szCs w:val="16"/>
              </w:rPr>
              <w:t>Water Piping Quality. All potable water pipes, fittings, valves, and fixtures used to provide water for human</w:t>
            </w:r>
            <w:r w:rsidRPr="006E50FF">
              <w:rPr>
                <w:spacing w:val="40"/>
                <w:sz w:val="16"/>
                <w:szCs w:val="16"/>
              </w:rPr>
              <w:t xml:space="preserve"> </w:t>
            </w:r>
            <w:r w:rsidRPr="006E50FF">
              <w:rPr>
                <w:sz w:val="16"/>
                <w:szCs w:val="16"/>
              </w:rPr>
              <w:t>consumption</w:t>
            </w:r>
            <w:r w:rsidRPr="006E50FF">
              <w:rPr>
                <w:spacing w:val="-1"/>
                <w:sz w:val="16"/>
                <w:szCs w:val="16"/>
              </w:rPr>
              <w:t xml:space="preserve"> </w:t>
            </w:r>
            <w:r w:rsidRPr="006E50FF">
              <w:rPr>
                <w:sz w:val="16"/>
                <w:szCs w:val="16"/>
              </w:rPr>
              <w:t>shall</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lead</w:t>
            </w:r>
            <w:r w:rsidRPr="006E50FF">
              <w:rPr>
                <w:spacing w:val="-1"/>
                <w:sz w:val="16"/>
                <w:szCs w:val="16"/>
              </w:rPr>
              <w:t xml:space="preserve"> </w:t>
            </w:r>
            <w:r w:rsidRPr="006E50FF">
              <w:rPr>
                <w:sz w:val="16"/>
                <w:szCs w:val="16"/>
              </w:rPr>
              <w:t>free</w:t>
            </w:r>
            <w:r w:rsidRPr="006E50FF">
              <w:rPr>
                <w:spacing w:val="-4"/>
                <w:sz w:val="16"/>
                <w:szCs w:val="16"/>
              </w:rPr>
              <w:t xml:space="preserve"> </w:t>
            </w:r>
            <w:r w:rsidRPr="006E50FF">
              <w:rPr>
                <w:sz w:val="16"/>
                <w:szCs w:val="16"/>
              </w:rPr>
              <w:t>and</w:t>
            </w:r>
            <w:r w:rsidRPr="006E50FF">
              <w:rPr>
                <w:spacing w:val="-3"/>
                <w:sz w:val="16"/>
                <w:szCs w:val="16"/>
              </w:rPr>
              <w:t xml:space="preserve"> </w:t>
            </w:r>
            <w:r w:rsidRPr="006E50FF">
              <w:rPr>
                <w:sz w:val="16"/>
                <w:szCs w:val="16"/>
              </w:rPr>
              <w:t>shall</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evaluated</w:t>
            </w:r>
            <w:r w:rsidRPr="006E50FF">
              <w:rPr>
                <w:spacing w:val="-1"/>
                <w:sz w:val="16"/>
                <w:szCs w:val="16"/>
              </w:rPr>
              <w:t xml:space="preserve"> </w:t>
            </w:r>
            <w:r w:rsidRPr="006E50FF">
              <w:rPr>
                <w:sz w:val="16"/>
                <w:szCs w:val="16"/>
              </w:rPr>
              <w:t>and</w:t>
            </w:r>
            <w:r w:rsidRPr="006E50FF">
              <w:rPr>
                <w:spacing w:val="-1"/>
                <w:sz w:val="16"/>
                <w:szCs w:val="16"/>
              </w:rPr>
              <w:t xml:space="preserve"> </w:t>
            </w:r>
            <w:r w:rsidRPr="006E50FF">
              <w:rPr>
                <w:sz w:val="16"/>
                <w:szCs w:val="16"/>
              </w:rPr>
              <w:t>listed</w:t>
            </w:r>
            <w:r w:rsidRPr="006E50FF">
              <w:rPr>
                <w:spacing w:val="-1"/>
                <w:sz w:val="16"/>
                <w:szCs w:val="16"/>
              </w:rPr>
              <w:t xml:space="preserve"> </w:t>
            </w:r>
            <w:r w:rsidRPr="006E50FF">
              <w:rPr>
                <w:sz w:val="16"/>
                <w:szCs w:val="16"/>
              </w:rPr>
              <w:t>as</w:t>
            </w:r>
            <w:r w:rsidRPr="006E50FF">
              <w:rPr>
                <w:spacing w:val="-4"/>
                <w:sz w:val="16"/>
                <w:szCs w:val="16"/>
              </w:rPr>
              <w:t xml:space="preserve"> </w:t>
            </w:r>
            <w:r w:rsidRPr="006E50FF">
              <w:rPr>
                <w:sz w:val="16"/>
                <w:szCs w:val="16"/>
              </w:rPr>
              <w:t>conforming</w:t>
            </w:r>
            <w:r w:rsidRPr="006E50FF">
              <w:rPr>
                <w:spacing w:val="-3"/>
                <w:sz w:val="16"/>
                <w:szCs w:val="16"/>
              </w:rPr>
              <w:t xml:space="preserve"> </w:t>
            </w:r>
            <w:r w:rsidRPr="006E50FF">
              <w:rPr>
                <w:sz w:val="16"/>
                <w:szCs w:val="16"/>
              </w:rPr>
              <w:t>with</w:t>
            </w:r>
            <w:r w:rsidRPr="006E50FF">
              <w:rPr>
                <w:spacing w:val="-1"/>
                <w:sz w:val="16"/>
                <w:szCs w:val="16"/>
              </w:rPr>
              <w:t xml:space="preserve"> </w:t>
            </w:r>
            <w:r w:rsidRPr="006E50FF">
              <w:rPr>
                <w:sz w:val="16"/>
                <w:szCs w:val="16"/>
              </w:rPr>
              <w:t>NSF/ANSI</w:t>
            </w:r>
            <w:r w:rsidRPr="006E50FF">
              <w:rPr>
                <w:spacing w:val="-5"/>
                <w:sz w:val="16"/>
                <w:szCs w:val="16"/>
              </w:rPr>
              <w:t xml:space="preserve"> </w:t>
            </w:r>
            <w:r w:rsidRPr="006E50FF">
              <w:rPr>
                <w:sz w:val="16"/>
                <w:szCs w:val="16"/>
              </w:rPr>
              <w:t>372.</w:t>
            </w:r>
            <w:r w:rsidRPr="006E50FF">
              <w:rPr>
                <w:spacing w:val="-4"/>
                <w:sz w:val="16"/>
                <w:szCs w:val="16"/>
              </w:rPr>
              <w:t xml:space="preserve"> </w:t>
            </w:r>
            <w:r w:rsidRPr="006E50FF">
              <w:rPr>
                <w:sz w:val="16"/>
                <w:szCs w:val="16"/>
              </w:rPr>
              <w:t>Any</w:t>
            </w:r>
            <w:r w:rsidRPr="006E50FF">
              <w:rPr>
                <w:spacing w:val="-5"/>
                <w:sz w:val="16"/>
                <w:szCs w:val="16"/>
              </w:rPr>
              <w:t xml:space="preserve"> </w:t>
            </w:r>
            <w:r w:rsidRPr="006E50FF">
              <w:rPr>
                <w:sz w:val="16"/>
                <w:szCs w:val="16"/>
              </w:rPr>
              <w:t>solder or flux</w:t>
            </w:r>
            <w:r w:rsidRPr="006E50FF">
              <w:rPr>
                <w:spacing w:val="-3"/>
                <w:sz w:val="16"/>
                <w:szCs w:val="16"/>
              </w:rPr>
              <w:t xml:space="preserve"> </w:t>
            </w:r>
            <w:r w:rsidRPr="006E50FF">
              <w:rPr>
                <w:sz w:val="16"/>
                <w:szCs w:val="16"/>
              </w:rPr>
              <w:t>which</w:t>
            </w:r>
            <w:r w:rsidRPr="006E50FF">
              <w:rPr>
                <w:spacing w:val="-3"/>
                <w:sz w:val="16"/>
                <w:szCs w:val="16"/>
              </w:rPr>
              <w:t xml:space="preserve"> </w:t>
            </w:r>
            <w:r w:rsidRPr="006E50FF">
              <w:rPr>
                <w:sz w:val="16"/>
                <w:szCs w:val="16"/>
              </w:rPr>
              <w:t>is</w:t>
            </w:r>
            <w:r w:rsidRPr="006E50FF">
              <w:rPr>
                <w:spacing w:val="-4"/>
                <w:sz w:val="16"/>
                <w:szCs w:val="16"/>
              </w:rPr>
              <w:t xml:space="preserve"> </w:t>
            </w:r>
            <w:r w:rsidRPr="006E50FF">
              <w:rPr>
                <w:sz w:val="16"/>
                <w:szCs w:val="16"/>
              </w:rPr>
              <w:t>used</w:t>
            </w:r>
            <w:r w:rsidRPr="006E50FF">
              <w:rPr>
                <w:spacing w:val="-3"/>
                <w:sz w:val="16"/>
                <w:szCs w:val="16"/>
              </w:rPr>
              <w:t xml:space="preserve"> </w:t>
            </w:r>
            <w:r w:rsidRPr="006E50FF">
              <w:rPr>
                <w:sz w:val="16"/>
                <w:szCs w:val="16"/>
              </w:rPr>
              <w:t>in</w:t>
            </w:r>
            <w:r w:rsidRPr="006E50FF">
              <w:rPr>
                <w:spacing w:val="-3"/>
                <w:sz w:val="16"/>
                <w:szCs w:val="16"/>
              </w:rPr>
              <w:t xml:space="preserve"> </w:t>
            </w:r>
            <w:r w:rsidRPr="006E50FF">
              <w:rPr>
                <w:sz w:val="16"/>
                <w:szCs w:val="16"/>
              </w:rPr>
              <w:t>the</w:t>
            </w:r>
            <w:r w:rsidRPr="006E50FF">
              <w:rPr>
                <w:spacing w:val="-4"/>
                <w:sz w:val="16"/>
                <w:szCs w:val="16"/>
              </w:rPr>
              <w:t xml:space="preserve"> </w:t>
            </w:r>
            <w:r w:rsidRPr="006E50FF">
              <w:rPr>
                <w:sz w:val="16"/>
                <w:szCs w:val="16"/>
              </w:rPr>
              <w:t>installation</w:t>
            </w:r>
            <w:r w:rsidRPr="006E50FF">
              <w:rPr>
                <w:spacing w:val="-3"/>
                <w:sz w:val="16"/>
                <w:szCs w:val="16"/>
              </w:rPr>
              <w:t xml:space="preserve"> </w:t>
            </w:r>
            <w:r w:rsidRPr="006E50FF">
              <w:rPr>
                <w:sz w:val="16"/>
                <w:szCs w:val="16"/>
              </w:rPr>
              <w:t>or</w:t>
            </w:r>
            <w:r w:rsidRPr="006E50FF">
              <w:rPr>
                <w:spacing w:val="-3"/>
                <w:sz w:val="16"/>
                <w:szCs w:val="16"/>
              </w:rPr>
              <w:t xml:space="preserve"> </w:t>
            </w:r>
            <w:r w:rsidRPr="006E50FF">
              <w:rPr>
                <w:sz w:val="16"/>
                <w:szCs w:val="16"/>
              </w:rPr>
              <w:t>repair</w:t>
            </w:r>
            <w:r w:rsidRPr="006E50FF">
              <w:rPr>
                <w:spacing w:val="-3"/>
                <w:sz w:val="16"/>
                <w:szCs w:val="16"/>
              </w:rPr>
              <w:t xml:space="preserve"> </w:t>
            </w:r>
            <w:r w:rsidRPr="006E50FF">
              <w:rPr>
                <w:sz w:val="16"/>
                <w:szCs w:val="16"/>
              </w:rPr>
              <w:t>of</w:t>
            </w:r>
            <w:r w:rsidRPr="006E50FF">
              <w:rPr>
                <w:spacing w:val="-3"/>
                <w:sz w:val="16"/>
                <w:szCs w:val="16"/>
              </w:rPr>
              <w:t xml:space="preserve"> </w:t>
            </w:r>
            <w:r w:rsidRPr="006E50FF">
              <w:rPr>
                <w:sz w:val="16"/>
                <w:szCs w:val="16"/>
              </w:rPr>
              <w:t>any</w:t>
            </w:r>
            <w:r w:rsidRPr="006E50FF">
              <w:rPr>
                <w:spacing w:val="-4"/>
                <w:sz w:val="16"/>
                <w:szCs w:val="16"/>
              </w:rPr>
              <w:t xml:space="preserve"> </w:t>
            </w:r>
            <w:r w:rsidRPr="006E50FF">
              <w:rPr>
                <w:sz w:val="16"/>
                <w:szCs w:val="16"/>
              </w:rPr>
              <w:t>public</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system</w:t>
            </w:r>
            <w:r w:rsidRPr="006E50FF">
              <w:rPr>
                <w:spacing w:val="-2"/>
                <w:sz w:val="16"/>
                <w:szCs w:val="16"/>
              </w:rPr>
              <w:t xml:space="preserve"> </w:t>
            </w:r>
            <w:r w:rsidRPr="006E50FF">
              <w:rPr>
                <w:sz w:val="16"/>
                <w:szCs w:val="16"/>
              </w:rPr>
              <w:t>or</w:t>
            </w:r>
            <w:r w:rsidRPr="006E50FF">
              <w:rPr>
                <w:spacing w:val="-3"/>
                <w:sz w:val="16"/>
                <w:szCs w:val="16"/>
              </w:rPr>
              <w:t xml:space="preserve"> </w:t>
            </w:r>
            <w:r w:rsidRPr="006E50FF">
              <w:rPr>
                <w:sz w:val="16"/>
                <w:szCs w:val="16"/>
              </w:rPr>
              <w:t>any</w:t>
            </w:r>
            <w:r w:rsidRPr="006E50FF">
              <w:rPr>
                <w:spacing w:val="-4"/>
                <w:sz w:val="16"/>
                <w:szCs w:val="16"/>
              </w:rPr>
              <w:t xml:space="preserve"> </w:t>
            </w:r>
            <w:r w:rsidRPr="006E50FF">
              <w:rPr>
                <w:sz w:val="16"/>
                <w:szCs w:val="16"/>
              </w:rPr>
              <w:t>plumbing</w:t>
            </w:r>
            <w:r w:rsidRPr="006E50FF">
              <w:rPr>
                <w:spacing w:val="-3"/>
                <w:sz w:val="16"/>
                <w:szCs w:val="16"/>
              </w:rPr>
              <w:t xml:space="preserve"> </w:t>
            </w:r>
            <w:r w:rsidRPr="006E50FF">
              <w:rPr>
                <w:sz w:val="16"/>
                <w:szCs w:val="16"/>
              </w:rPr>
              <w:t>in</w:t>
            </w:r>
            <w:r w:rsidRPr="006E50FF">
              <w:rPr>
                <w:spacing w:val="-3"/>
                <w:sz w:val="16"/>
                <w:szCs w:val="16"/>
              </w:rPr>
              <w:t xml:space="preserve"> </w:t>
            </w:r>
            <w:r w:rsidRPr="006E50FF">
              <w:rPr>
                <w:sz w:val="16"/>
                <w:szCs w:val="16"/>
              </w:rPr>
              <w:t>a</w:t>
            </w:r>
            <w:r w:rsidRPr="006E50FF">
              <w:rPr>
                <w:spacing w:val="-1"/>
                <w:sz w:val="16"/>
                <w:szCs w:val="16"/>
              </w:rPr>
              <w:t xml:space="preserve"> </w:t>
            </w:r>
            <w:r w:rsidRPr="006E50FF">
              <w:rPr>
                <w:sz w:val="16"/>
                <w:szCs w:val="16"/>
              </w:rPr>
              <w:t>residential</w:t>
            </w:r>
            <w:r w:rsidRPr="006E50FF">
              <w:rPr>
                <w:spacing w:val="-3"/>
                <w:sz w:val="16"/>
                <w:szCs w:val="16"/>
              </w:rPr>
              <w:t xml:space="preserve"> </w:t>
            </w:r>
            <w:r w:rsidRPr="006E50FF">
              <w:rPr>
                <w:sz w:val="16"/>
                <w:szCs w:val="16"/>
              </w:rPr>
              <w:t>or</w:t>
            </w:r>
            <w:r w:rsidRPr="006E50FF">
              <w:rPr>
                <w:spacing w:val="40"/>
                <w:sz w:val="16"/>
                <w:szCs w:val="16"/>
              </w:rPr>
              <w:t xml:space="preserve"> </w:t>
            </w:r>
            <w:r w:rsidRPr="006E50FF">
              <w:rPr>
                <w:sz w:val="16"/>
                <w:szCs w:val="16"/>
              </w:rPr>
              <w:t>nonresidential facility providing water for human consumption shall be lead free.</w:t>
            </w:r>
          </w:p>
        </w:tc>
      </w:tr>
      <w:tr w:rsidR="006E50FF" w:rsidRPr="006E50FF" w14:paraId="340CFE22" w14:textId="77777777" w:rsidTr="0088638B">
        <w:trPr>
          <w:trHeight w:val="187"/>
        </w:trPr>
        <w:tc>
          <w:tcPr>
            <w:tcW w:w="1072" w:type="dxa"/>
          </w:tcPr>
          <w:p w14:paraId="609CADFC"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75CB7CFA" w14:textId="77777777" w:rsidR="006E50FF" w:rsidRPr="006E50FF" w:rsidRDefault="006E50FF" w:rsidP="006E50FF">
            <w:pPr>
              <w:widowControl w:val="0"/>
              <w:autoSpaceDE w:val="0"/>
              <w:autoSpaceDN w:val="0"/>
              <w:ind w:left="96" w:right="58"/>
              <w:rPr>
                <w:sz w:val="16"/>
                <w:szCs w:val="16"/>
              </w:rPr>
            </w:pPr>
            <w:r w:rsidRPr="006E50FF">
              <w:rPr>
                <w:spacing w:val="-2"/>
                <w:sz w:val="16"/>
                <w:szCs w:val="16"/>
              </w:rPr>
              <w:t>Exceptions</w:t>
            </w:r>
          </w:p>
        </w:tc>
        <w:tc>
          <w:tcPr>
            <w:tcW w:w="7043" w:type="dxa"/>
            <w:gridSpan w:val="2"/>
          </w:tcPr>
          <w:p w14:paraId="1A867A42" w14:textId="77777777" w:rsidR="006E50FF" w:rsidRPr="006E50FF" w:rsidRDefault="006E50FF" w:rsidP="006E50FF">
            <w:pPr>
              <w:widowControl w:val="0"/>
              <w:autoSpaceDE w:val="0"/>
              <w:autoSpaceDN w:val="0"/>
              <w:ind w:left="91" w:right="90"/>
              <w:rPr>
                <w:sz w:val="16"/>
                <w:szCs w:val="16"/>
              </w:rPr>
            </w:pPr>
            <w:r w:rsidRPr="006E50FF">
              <w:rPr>
                <w:sz w:val="16"/>
                <w:szCs w:val="16"/>
              </w:rPr>
              <w:t>The</w:t>
            </w:r>
            <w:r w:rsidRPr="006E50FF">
              <w:rPr>
                <w:spacing w:val="-7"/>
                <w:sz w:val="16"/>
                <w:szCs w:val="16"/>
              </w:rPr>
              <w:t xml:space="preserve"> </w:t>
            </w:r>
            <w:r w:rsidRPr="006E50FF">
              <w:rPr>
                <w:sz w:val="16"/>
                <w:szCs w:val="16"/>
              </w:rPr>
              <w:t>lead-free</w:t>
            </w:r>
            <w:r w:rsidRPr="006E50FF">
              <w:rPr>
                <w:spacing w:val="-6"/>
                <w:sz w:val="16"/>
                <w:szCs w:val="16"/>
              </w:rPr>
              <w:t xml:space="preserve"> </w:t>
            </w:r>
            <w:r w:rsidRPr="006E50FF">
              <w:rPr>
                <w:sz w:val="16"/>
                <w:szCs w:val="16"/>
              </w:rPr>
              <w:t>requirement</w:t>
            </w:r>
            <w:r w:rsidRPr="006E50FF">
              <w:rPr>
                <w:spacing w:val="-5"/>
                <w:sz w:val="16"/>
                <w:szCs w:val="16"/>
              </w:rPr>
              <w:t xml:space="preserve"> </w:t>
            </w:r>
            <w:r w:rsidRPr="006E50FF">
              <w:rPr>
                <w:sz w:val="16"/>
                <w:szCs w:val="16"/>
              </w:rPr>
              <w:t>above</w:t>
            </w:r>
            <w:r w:rsidRPr="006E50FF">
              <w:rPr>
                <w:spacing w:val="-6"/>
                <w:sz w:val="16"/>
                <w:szCs w:val="16"/>
              </w:rPr>
              <w:t xml:space="preserve"> </w:t>
            </w:r>
            <w:r w:rsidRPr="006E50FF">
              <w:rPr>
                <w:sz w:val="16"/>
                <w:szCs w:val="16"/>
              </w:rPr>
              <w:t>shall</w:t>
            </w:r>
            <w:r w:rsidRPr="006E50FF">
              <w:rPr>
                <w:spacing w:val="-3"/>
                <w:sz w:val="16"/>
                <w:szCs w:val="16"/>
              </w:rPr>
              <w:t xml:space="preserve"> </w:t>
            </w:r>
            <w:r w:rsidRPr="006E50FF">
              <w:rPr>
                <w:sz w:val="16"/>
                <w:szCs w:val="16"/>
              </w:rPr>
              <w:t>not</w:t>
            </w:r>
            <w:r w:rsidRPr="006E50FF">
              <w:rPr>
                <w:spacing w:val="-6"/>
                <w:sz w:val="16"/>
                <w:szCs w:val="16"/>
              </w:rPr>
              <w:t xml:space="preserve"> </w:t>
            </w:r>
            <w:r w:rsidRPr="006E50FF">
              <w:rPr>
                <w:sz w:val="16"/>
                <w:szCs w:val="16"/>
              </w:rPr>
              <w:t>apply</w:t>
            </w:r>
            <w:r w:rsidRPr="006E50FF">
              <w:rPr>
                <w:spacing w:val="-6"/>
                <w:sz w:val="16"/>
                <w:szCs w:val="16"/>
              </w:rPr>
              <w:t xml:space="preserve"> </w:t>
            </w:r>
            <w:r w:rsidRPr="006E50FF">
              <w:rPr>
                <w:spacing w:val="-5"/>
                <w:sz w:val="16"/>
                <w:szCs w:val="16"/>
              </w:rPr>
              <w:t>to:</w:t>
            </w:r>
          </w:p>
        </w:tc>
      </w:tr>
      <w:tr w:rsidR="006E50FF" w:rsidRPr="006E50FF" w14:paraId="3EB7A41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7E351E"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1C8A6C7" w14:textId="77777777" w:rsidR="006E50FF" w:rsidRPr="006E50FF" w:rsidRDefault="006E50FF" w:rsidP="006E50FF">
            <w:pPr>
              <w:widowControl w:val="0"/>
              <w:autoSpaceDE w:val="0"/>
              <w:autoSpaceDN w:val="0"/>
              <w:ind w:left="96" w:right="58"/>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9B2E2E7" w14:textId="77777777" w:rsidR="006E50FF" w:rsidRPr="006E50FF" w:rsidRDefault="006E50FF" w:rsidP="006E50FF">
            <w:pPr>
              <w:widowControl w:val="0"/>
              <w:autoSpaceDE w:val="0"/>
              <w:autoSpaceDN w:val="0"/>
              <w:ind w:left="91" w:right="90"/>
              <w:rPr>
                <w:sz w:val="16"/>
                <w:szCs w:val="16"/>
              </w:rPr>
            </w:pPr>
            <w:r w:rsidRPr="006E50FF">
              <w:rPr>
                <w:sz w:val="16"/>
                <w:szCs w:val="16"/>
              </w:rPr>
              <w:t>1. leaded joints necessary for the repair of existing cast iron pipes;</w:t>
            </w:r>
          </w:p>
        </w:tc>
      </w:tr>
      <w:tr w:rsidR="006E50FF" w:rsidRPr="006E50FF" w14:paraId="5105797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61FD177"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DB38F68" w14:textId="77777777" w:rsidR="006E50FF" w:rsidRPr="006E50FF" w:rsidRDefault="006E50FF" w:rsidP="006E50FF">
            <w:pPr>
              <w:widowControl w:val="0"/>
              <w:autoSpaceDE w:val="0"/>
              <w:autoSpaceDN w:val="0"/>
              <w:ind w:left="96" w:right="58"/>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C916611" w14:textId="77777777" w:rsidR="006E50FF" w:rsidRPr="006E50FF" w:rsidRDefault="006E50FF" w:rsidP="006E50FF">
            <w:pPr>
              <w:widowControl w:val="0"/>
              <w:autoSpaceDE w:val="0"/>
              <w:autoSpaceDN w:val="0"/>
              <w:ind w:left="91" w:right="90"/>
              <w:rPr>
                <w:sz w:val="16"/>
                <w:szCs w:val="16"/>
              </w:rPr>
            </w:pPr>
            <w:r w:rsidRPr="006E50FF">
              <w:rPr>
                <w:sz w:val="16"/>
                <w:szCs w:val="16"/>
              </w:rPr>
              <w:t>2. fire hydrants, 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tc>
      </w:tr>
      <w:tr w:rsidR="006E50FF" w:rsidRPr="006E50FF" w14:paraId="3DD30BE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A1265AF"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ED3CA09" w14:textId="77777777" w:rsidR="006E50FF" w:rsidRPr="006E50FF" w:rsidRDefault="006E50FF" w:rsidP="006E50FF">
            <w:pPr>
              <w:widowControl w:val="0"/>
              <w:autoSpaceDE w:val="0"/>
              <w:autoSpaceDN w:val="0"/>
              <w:ind w:left="96" w:right="58"/>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DFA7E7A" w14:textId="77777777" w:rsidR="006E50FF" w:rsidRPr="006E50FF" w:rsidRDefault="006E50FF" w:rsidP="006E50FF">
            <w:pPr>
              <w:widowControl w:val="0"/>
              <w:autoSpaceDE w:val="0"/>
              <w:autoSpaceDN w:val="0"/>
              <w:ind w:left="91" w:right="90"/>
              <w:rPr>
                <w:sz w:val="16"/>
                <w:szCs w:val="16"/>
              </w:rPr>
            </w:pPr>
            <w:r w:rsidRPr="006E50FF">
              <w:rPr>
                <w:sz w:val="16"/>
                <w:szCs w:val="16"/>
              </w:rPr>
              <w:t>3. toilets, bidets, urinals, fill valves, flushometer valves, tub fillers, shower valves, service saddles, or water distribution main gate valves that are 2 inches in diameter or larger.</w:t>
            </w:r>
          </w:p>
        </w:tc>
      </w:tr>
      <w:tr w:rsidR="006E50FF" w:rsidRPr="006E50FF" w14:paraId="403DA22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47C60E0"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29D67EA" w14:textId="77777777" w:rsidR="006E50FF" w:rsidRPr="006E50FF" w:rsidRDefault="006E50FF" w:rsidP="006E50FF">
            <w:pPr>
              <w:widowControl w:val="0"/>
              <w:autoSpaceDE w:val="0"/>
              <w:autoSpaceDN w:val="0"/>
              <w:ind w:left="96" w:right="58"/>
              <w:rPr>
                <w:spacing w:val="-2"/>
                <w:sz w:val="16"/>
                <w:szCs w:val="16"/>
              </w:rPr>
            </w:pPr>
            <w:r w:rsidRPr="006E50FF">
              <w:rPr>
                <w:spacing w:val="-2"/>
                <w:sz w:val="16"/>
                <w:szCs w:val="16"/>
              </w:rPr>
              <w:t>Section 605.3, Water Service Pipe with Corresponding Table 605.3.</w:t>
            </w:r>
          </w:p>
        </w:tc>
        <w:tc>
          <w:tcPr>
            <w:tcW w:w="7043" w:type="dxa"/>
            <w:gridSpan w:val="2"/>
            <w:tcBorders>
              <w:top w:val="single" w:sz="6" w:space="0" w:color="000000"/>
              <w:left w:val="single" w:sz="6" w:space="0" w:color="000000"/>
              <w:bottom w:val="single" w:sz="6" w:space="0" w:color="000000"/>
              <w:right w:val="single" w:sz="6" w:space="0" w:color="000000"/>
            </w:tcBorders>
          </w:tcPr>
          <w:p w14:paraId="3BA83D1F" w14:textId="77777777" w:rsidR="006E50FF" w:rsidRPr="006E50FF" w:rsidRDefault="006E50FF" w:rsidP="006E50FF">
            <w:pPr>
              <w:widowControl w:val="0"/>
              <w:autoSpaceDE w:val="0"/>
              <w:autoSpaceDN w:val="0"/>
              <w:ind w:left="91" w:right="90"/>
              <w:rPr>
                <w:sz w:val="16"/>
                <w:szCs w:val="16"/>
              </w:rPr>
            </w:pPr>
            <w:r w:rsidRPr="006E50FF">
              <w:rPr>
                <w:sz w:val="16"/>
                <w:szCs w:val="16"/>
              </w:rPr>
              <w:t>Water service pipe shall conform to NSF 61 and shall conform to one of the standards listed in Table 605.3. Water service pipe or tubing, installed underground and outside of the structure, shall have a working pressure rating of not less than 160 psi (1100 kPa) at 73.4 degrees F (23 degrees C). Where the water pressure exceeds 160 psi (1100 kPa) piping material shall have a working pressure rating not less than the highest available pressure. Water service piping materials not third-party certified for water distribution shall terminate at or before the full open valve located at the entrance to the structure. All ductile iron water service piping shall be cement mortar lined in accordance with AWWA C104/A21.4.</w:t>
            </w:r>
          </w:p>
        </w:tc>
      </w:tr>
      <w:tr w:rsidR="006E50FF" w:rsidRPr="006E50FF" w14:paraId="55EA8BC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783A956"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1040DED" w14:textId="77777777" w:rsidR="006E50FF" w:rsidRPr="006E50FF" w:rsidRDefault="006E50FF" w:rsidP="006E50FF">
            <w:pPr>
              <w:widowControl w:val="0"/>
              <w:autoSpaceDE w:val="0"/>
              <w:autoSpaceDN w:val="0"/>
              <w:ind w:left="96"/>
              <w:rPr>
                <w:spacing w:val="-2"/>
                <w:sz w:val="16"/>
                <w:szCs w:val="16"/>
              </w:rPr>
            </w:pPr>
            <w:r w:rsidRPr="006E50FF">
              <w:rPr>
                <w:spacing w:val="-2"/>
                <w:sz w:val="16"/>
                <w:szCs w:val="16"/>
              </w:rPr>
              <w:t>Table 605.3---Water Service Pipe.</w:t>
            </w:r>
          </w:p>
        </w:tc>
        <w:tc>
          <w:tcPr>
            <w:tcW w:w="7043" w:type="dxa"/>
            <w:gridSpan w:val="2"/>
            <w:tcBorders>
              <w:top w:val="single" w:sz="6" w:space="0" w:color="000000"/>
              <w:left w:val="single" w:sz="6" w:space="0" w:color="000000"/>
              <w:bottom w:val="single" w:sz="6" w:space="0" w:color="000000"/>
              <w:right w:val="single" w:sz="6" w:space="0" w:color="000000"/>
            </w:tcBorders>
          </w:tcPr>
          <w:p w14:paraId="03971418" w14:textId="77777777" w:rsidR="006E50FF" w:rsidRPr="006E50FF" w:rsidRDefault="006E50FF" w:rsidP="006E50FF">
            <w:pPr>
              <w:widowControl w:val="0"/>
              <w:autoSpaceDE w:val="0"/>
              <w:autoSpaceDN w:val="0"/>
              <w:ind w:left="91" w:right="90"/>
              <w:rPr>
                <w:sz w:val="16"/>
                <w:szCs w:val="16"/>
              </w:rPr>
            </w:pPr>
          </w:p>
        </w:tc>
      </w:tr>
      <w:tr w:rsidR="006E50FF" w:rsidRPr="006E50FF" w14:paraId="6D0682B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2010778" w14:textId="77777777" w:rsidR="006E50FF" w:rsidRPr="006E50FF" w:rsidRDefault="006E50FF" w:rsidP="006E50FF">
            <w:pPr>
              <w:widowControl w:val="0"/>
              <w:autoSpaceDE w:val="0"/>
              <w:autoSpaceDN w:val="0"/>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1C884696" w14:textId="77777777" w:rsidR="006E50FF" w:rsidRPr="006E50FF" w:rsidRDefault="006E50FF" w:rsidP="006E50FF">
            <w:pPr>
              <w:widowControl w:val="0"/>
              <w:autoSpaceDE w:val="0"/>
              <w:autoSpaceDN w:val="0"/>
              <w:ind w:left="96"/>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308A09D" w14:textId="77777777" w:rsidR="006E50FF" w:rsidRPr="006E50FF" w:rsidRDefault="006E50FF" w:rsidP="006E50FF">
            <w:pPr>
              <w:widowControl w:val="0"/>
              <w:autoSpaceDE w:val="0"/>
              <w:autoSpaceDN w:val="0"/>
              <w:ind w:left="91" w:right="90"/>
              <w:rPr>
                <w:sz w:val="16"/>
                <w:szCs w:val="16"/>
              </w:rPr>
            </w:pPr>
          </w:p>
        </w:tc>
      </w:tr>
      <w:tr w:rsidR="006E50FF" w:rsidRPr="006E50FF" w14:paraId="7A9B9C6C" w14:textId="77777777" w:rsidTr="0088638B">
        <w:trPr>
          <w:trHeight w:val="187"/>
        </w:trPr>
        <w:tc>
          <w:tcPr>
            <w:tcW w:w="10530" w:type="dxa"/>
            <w:gridSpan w:val="5"/>
            <w:tcBorders>
              <w:top w:val="single" w:sz="6" w:space="0" w:color="000000"/>
              <w:left w:val="single" w:sz="6" w:space="0" w:color="000000"/>
              <w:bottom w:val="single" w:sz="6" w:space="0" w:color="000000"/>
              <w:right w:val="single" w:sz="6" w:space="0" w:color="000000"/>
            </w:tcBorders>
          </w:tcPr>
          <w:p w14:paraId="2DD2BFD1" w14:textId="77777777" w:rsidR="006E50FF" w:rsidRPr="006E50FF" w:rsidRDefault="006E50FF" w:rsidP="006E50FF">
            <w:pPr>
              <w:widowControl w:val="0"/>
              <w:autoSpaceDE w:val="0"/>
              <w:autoSpaceDN w:val="0"/>
              <w:ind w:left="91" w:right="90"/>
              <w:rPr>
                <w:sz w:val="16"/>
                <w:szCs w:val="16"/>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58"/>
              <w:gridCol w:w="1752"/>
            </w:tblGrid>
            <w:tr w:rsidR="006E50FF" w:rsidRPr="006E50FF" w14:paraId="607917B0" w14:textId="77777777" w:rsidTr="0088638B">
              <w:trPr>
                <w:trHeight w:val="204"/>
                <w:jc w:val="center"/>
              </w:trPr>
              <w:tc>
                <w:tcPr>
                  <w:tcW w:w="5258" w:type="dxa"/>
                  <w:tcBorders>
                    <w:top w:val="thickThinMediumGap" w:sz="6" w:space="0" w:color="000000"/>
                    <w:left w:val="double" w:sz="6" w:space="0" w:color="000000"/>
                  </w:tcBorders>
                  <w:shd w:val="clear" w:color="auto" w:fill="BEBEBE"/>
                </w:tcPr>
                <w:p w14:paraId="09157418" w14:textId="77777777" w:rsidR="006E50FF" w:rsidRPr="006E50FF" w:rsidRDefault="006E50FF" w:rsidP="006E50FF">
                  <w:pPr>
                    <w:widowControl w:val="0"/>
                    <w:autoSpaceDE w:val="0"/>
                    <w:autoSpaceDN w:val="0"/>
                    <w:spacing w:before="20" w:line="165" w:lineRule="exact"/>
                    <w:ind w:left="91" w:right="90"/>
                    <w:jc w:val="center"/>
                    <w:rPr>
                      <w:b/>
                      <w:sz w:val="16"/>
                      <w:szCs w:val="16"/>
                    </w:rPr>
                  </w:pPr>
                  <w:r w:rsidRPr="006E50FF">
                    <w:rPr>
                      <w:b/>
                      <w:spacing w:val="-2"/>
                      <w:sz w:val="16"/>
                      <w:szCs w:val="16"/>
                    </w:rPr>
                    <w:t>Material</w:t>
                  </w:r>
                </w:p>
              </w:tc>
              <w:tc>
                <w:tcPr>
                  <w:tcW w:w="1752" w:type="dxa"/>
                  <w:tcBorders>
                    <w:top w:val="thickThinMediumGap" w:sz="6" w:space="0" w:color="000000"/>
                    <w:right w:val="double" w:sz="6" w:space="0" w:color="000000"/>
                  </w:tcBorders>
                  <w:shd w:val="clear" w:color="auto" w:fill="BEBEBE"/>
                </w:tcPr>
                <w:p w14:paraId="171374EB"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Standard</w:t>
                  </w:r>
                </w:p>
              </w:tc>
            </w:tr>
            <w:tr w:rsidR="006E50FF" w:rsidRPr="006E50FF" w14:paraId="45E60266" w14:textId="77777777" w:rsidTr="0088638B">
              <w:trPr>
                <w:trHeight w:val="184"/>
                <w:jc w:val="center"/>
              </w:trPr>
              <w:tc>
                <w:tcPr>
                  <w:tcW w:w="5258" w:type="dxa"/>
                  <w:tcBorders>
                    <w:left w:val="double" w:sz="6" w:space="0" w:color="000000"/>
                  </w:tcBorders>
                </w:tcPr>
                <w:p w14:paraId="208E9D3F"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Acrylonitrile butadiene styrene (ABS) plastic pipe  </w:t>
                  </w:r>
                </w:p>
              </w:tc>
              <w:tc>
                <w:tcPr>
                  <w:tcW w:w="1752" w:type="dxa"/>
                  <w:tcBorders>
                    <w:right w:val="double" w:sz="6" w:space="0" w:color="000000"/>
                  </w:tcBorders>
                </w:tcPr>
                <w:p w14:paraId="1A33395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ASTM D 1527; </w:t>
                  </w:r>
                </w:p>
                <w:p w14:paraId="3A2C05C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 D 2282</w:t>
                  </w:r>
                </w:p>
              </w:tc>
            </w:tr>
            <w:tr w:rsidR="006E50FF" w:rsidRPr="006E50FF" w14:paraId="662D1121" w14:textId="77777777" w:rsidTr="0088638B">
              <w:trPr>
                <w:trHeight w:val="184"/>
                <w:jc w:val="center"/>
              </w:trPr>
              <w:tc>
                <w:tcPr>
                  <w:tcW w:w="5258" w:type="dxa"/>
                  <w:tcBorders>
                    <w:left w:val="double" w:sz="6" w:space="0" w:color="000000"/>
                  </w:tcBorders>
                </w:tcPr>
                <w:p w14:paraId="23F6E6D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Brass</w:t>
                  </w:r>
                  <w:r w:rsidRPr="006E50FF">
                    <w:rPr>
                      <w:spacing w:val="-3"/>
                      <w:sz w:val="16"/>
                      <w:szCs w:val="16"/>
                    </w:rPr>
                    <w:t xml:space="preserve"> </w:t>
                  </w:r>
                  <w:r w:rsidRPr="006E50FF">
                    <w:rPr>
                      <w:spacing w:val="-4"/>
                      <w:sz w:val="16"/>
                      <w:szCs w:val="16"/>
                    </w:rPr>
                    <w:t>pipe</w:t>
                  </w:r>
                </w:p>
              </w:tc>
              <w:tc>
                <w:tcPr>
                  <w:tcW w:w="1752" w:type="dxa"/>
                  <w:tcBorders>
                    <w:right w:val="double" w:sz="6" w:space="0" w:color="000000"/>
                  </w:tcBorders>
                </w:tcPr>
                <w:p w14:paraId="52035DA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tc>
            </w:tr>
            <w:tr w:rsidR="006E50FF" w:rsidRPr="006E50FF" w14:paraId="058D4BA2" w14:textId="77777777" w:rsidTr="0088638B">
              <w:trPr>
                <w:trHeight w:val="736"/>
                <w:jc w:val="center"/>
              </w:trPr>
              <w:tc>
                <w:tcPr>
                  <w:tcW w:w="5258" w:type="dxa"/>
                  <w:tcBorders>
                    <w:left w:val="double" w:sz="6" w:space="0" w:color="000000"/>
                  </w:tcBorders>
                </w:tcPr>
                <w:p w14:paraId="69F71F0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Chlorinated</w:t>
                  </w:r>
                  <w:r w:rsidRPr="006E50FF">
                    <w:rPr>
                      <w:spacing w:val="-7"/>
                      <w:sz w:val="16"/>
                      <w:szCs w:val="16"/>
                    </w:rPr>
                    <w:t xml:space="preserve"> </w:t>
                  </w:r>
                  <w:r w:rsidRPr="006E50FF">
                    <w:rPr>
                      <w:sz w:val="16"/>
                      <w:szCs w:val="16"/>
                    </w:rPr>
                    <w:t>polyvinyl</w:t>
                  </w:r>
                  <w:r w:rsidRPr="006E50FF">
                    <w:rPr>
                      <w:spacing w:val="-7"/>
                      <w:sz w:val="16"/>
                      <w:szCs w:val="16"/>
                    </w:rPr>
                    <w:t xml:space="preserve"> </w:t>
                  </w:r>
                  <w:r w:rsidRPr="006E50FF">
                    <w:rPr>
                      <w:sz w:val="16"/>
                      <w:szCs w:val="16"/>
                    </w:rPr>
                    <w:t>chloride</w:t>
                  </w:r>
                  <w:r w:rsidRPr="006E50FF">
                    <w:rPr>
                      <w:spacing w:val="-7"/>
                      <w:sz w:val="16"/>
                      <w:szCs w:val="16"/>
                    </w:rPr>
                    <w:t xml:space="preserve"> </w:t>
                  </w:r>
                  <w:r w:rsidRPr="006E50FF">
                    <w:rPr>
                      <w:sz w:val="16"/>
                      <w:szCs w:val="16"/>
                    </w:rPr>
                    <w:t>(CPVC)</w:t>
                  </w:r>
                  <w:r w:rsidRPr="006E50FF">
                    <w:rPr>
                      <w:spacing w:val="-7"/>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8"/>
                      <w:sz w:val="16"/>
                      <w:szCs w:val="16"/>
                    </w:rPr>
                    <w:t xml:space="preserve"> </w:t>
                  </w:r>
                  <w:r w:rsidRPr="006E50FF">
                    <w:rPr>
                      <w:sz w:val="16"/>
                      <w:szCs w:val="16"/>
                    </w:rPr>
                    <w:t>and</w:t>
                  </w:r>
                  <w:r w:rsidRPr="006E50FF">
                    <w:rPr>
                      <w:spacing w:val="-6"/>
                      <w:sz w:val="16"/>
                      <w:szCs w:val="16"/>
                    </w:rPr>
                    <w:t xml:space="preserve"> </w:t>
                  </w:r>
                  <w:r w:rsidRPr="006E50FF">
                    <w:rPr>
                      <w:spacing w:val="-2"/>
                      <w:sz w:val="16"/>
                      <w:szCs w:val="16"/>
                    </w:rPr>
                    <w:t>tubing</w:t>
                  </w:r>
                </w:p>
              </w:tc>
              <w:tc>
                <w:tcPr>
                  <w:tcW w:w="1752" w:type="dxa"/>
                  <w:tcBorders>
                    <w:right w:val="double" w:sz="6" w:space="0" w:color="000000"/>
                  </w:tcBorders>
                </w:tcPr>
                <w:p w14:paraId="486EACB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D</w:t>
                  </w:r>
                  <w:r w:rsidRPr="006E50FF">
                    <w:rPr>
                      <w:spacing w:val="-3"/>
                      <w:sz w:val="16"/>
                      <w:szCs w:val="16"/>
                    </w:rPr>
                    <w:t xml:space="preserve"> </w:t>
                  </w:r>
                  <w:r w:rsidRPr="006E50FF">
                    <w:rPr>
                      <w:spacing w:val="-2"/>
                      <w:sz w:val="16"/>
                      <w:szCs w:val="16"/>
                    </w:rPr>
                    <w:t>2846;</w:t>
                  </w:r>
                </w:p>
                <w:p w14:paraId="58E56390"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441;</w:t>
                  </w:r>
                </w:p>
                <w:p w14:paraId="73297F26"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442;</w:t>
                  </w:r>
                  <w:r w:rsidRPr="006E50FF">
                    <w:rPr>
                      <w:spacing w:val="40"/>
                      <w:sz w:val="16"/>
                      <w:szCs w:val="16"/>
                    </w:rPr>
                    <w:t xml:space="preserve"> </w:t>
                  </w:r>
                </w:p>
                <w:p w14:paraId="19FFCDF7"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B137.6</w:t>
                  </w:r>
                </w:p>
              </w:tc>
            </w:tr>
            <w:tr w:rsidR="006E50FF" w:rsidRPr="006E50FF" w14:paraId="6BB229D3" w14:textId="77777777" w:rsidTr="0088638B">
              <w:trPr>
                <w:trHeight w:val="553"/>
                <w:jc w:val="center"/>
              </w:trPr>
              <w:tc>
                <w:tcPr>
                  <w:tcW w:w="5258" w:type="dxa"/>
                  <w:tcBorders>
                    <w:left w:val="double" w:sz="6" w:space="0" w:color="000000"/>
                  </w:tcBorders>
                </w:tcPr>
                <w:p w14:paraId="189B4398"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Copper</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copper-alloy</w:t>
                  </w:r>
                  <w:r w:rsidRPr="006E50FF">
                    <w:rPr>
                      <w:spacing w:val="-8"/>
                      <w:sz w:val="16"/>
                      <w:szCs w:val="16"/>
                    </w:rPr>
                    <w:t xml:space="preserve"> </w:t>
                  </w:r>
                  <w:r w:rsidRPr="006E50FF">
                    <w:rPr>
                      <w:spacing w:val="-4"/>
                      <w:sz w:val="16"/>
                      <w:szCs w:val="16"/>
                    </w:rPr>
                    <w:t>pipe</w:t>
                  </w:r>
                </w:p>
              </w:tc>
              <w:tc>
                <w:tcPr>
                  <w:tcW w:w="1752" w:type="dxa"/>
                  <w:tcBorders>
                    <w:right w:val="double" w:sz="6" w:space="0" w:color="000000"/>
                  </w:tcBorders>
                </w:tcPr>
                <w:p w14:paraId="177CEB79"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42;</w:t>
                  </w:r>
                </w:p>
                <w:p w14:paraId="2E623ED9"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2"/>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p w14:paraId="0A11E606"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302</w:t>
                  </w:r>
                </w:p>
              </w:tc>
            </w:tr>
            <w:tr w:rsidR="006E50FF" w:rsidRPr="006E50FF" w14:paraId="62B40380" w14:textId="77777777" w:rsidTr="0088638B">
              <w:trPr>
                <w:trHeight w:val="733"/>
                <w:jc w:val="center"/>
              </w:trPr>
              <w:tc>
                <w:tcPr>
                  <w:tcW w:w="5258" w:type="dxa"/>
                  <w:tcBorders>
                    <w:left w:val="double" w:sz="6" w:space="0" w:color="000000"/>
                  </w:tcBorders>
                </w:tcPr>
                <w:p w14:paraId="2CFB85F4" w14:textId="77777777" w:rsidR="006E50FF" w:rsidRPr="006E50FF" w:rsidRDefault="006E50FF" w:rsidP="006E50FF">
                  <w:pPr>
                    <w:widowControl w:val="0"/>
                    <w:autoSpaceDE w:val="0"/>
                    <w:autoSpaceDN w:val="0"/>
                    <w:ind w:left="91" w:right="90"/>
                    <w:rPr>
                      <w:sz w:val="16"/>
                      <w:szCs w:val="16"/>
                    </w:rPr>
                  </w:pPr>
                  <w:r w:rsidRPr="006E50FF">
                    <w:rPr>
                      <w:sz w:val="16"/>
                      <w:szCs w:val="16"/>
                    </w:rPr>
                    <w:t>Copper</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copper-alloy</w:t>
                  </w:r>
                  <w:r w:rsidRPr="006E50FF">
                    <w:rPr>
                      <w:spacing w:val="-7"/>
                      <w:sz w:val="16"/>
                      <w:szCs w:val="16"/>
                    </w:rPr>
                    <w:t xml:space="preserve"> </w:t>
                  </w:r>
                  <w:r w:rsidRPr="006E50FF">
                    <w:rPr>
                      <w:sz w:val="16"/>
                      <w:szCs w:val="16"/>
                    </w:rPr>
                    <w:t>tubing</w:t>
                  </w:r>
                  <w:r w:rsidRPr="006E50FF">
                    <w:rPr>
                      <w:spacing w:val="-5"/>
                      <w:sz w:val="16"/>
                      <w:szCs w:val="16"/>
                    </w:rPr>
                    <w:t xml:space="preserve"> </w:t>
                  </w:r>
                  <w:r w:rsidRPr="006E50FF">
                    <w:rPr>
                      <w:sz w:val="16"/>
                      <w:szCs w:val="16"/>
                    </w:rPr>
                    <w:t>(Type</w:t>
                  </w:r>
                  <w:r w:rsidRPr="006E50FF">
                    <w:rPr>
                      <w:spacing w:val="-3"/>
                      <w:sz w:val="16"/>
                      <w:szCs w:val="16"/>
                    </w:rPr>
                    <w:t xml:space="preserve"> </w:t>
                  </w:r>
                  <w:r w:rsidRPr="006E50FF">
                    <w:rPr>
                      <w:sz w:val="16"/>
                      <w:szCs w:val="16"/>
                    </w:rPr>
                    <w:t>K,</w:t>
                  </w:r>
                  <w:r w:rsidRPr="006E50FF">
                    <w:rPr>
                      <w:spacing w:val="-3"/>
                      <w:sz w:val="16"/>
                      <w:szCs w:val="16"/>
                    </w:rPr>
                    <w:t xml:space="preserve"> </w:t>
                  </w:r>
                  <w:r w:rsidRPr="006E50FF">
                    <w:rPr>
                      <w:sz w:val="16"/>
                      <w:szCs w:val="16"/>
                    </w:rPr>
                    <w:t>WK,</w:t>
                  </w:r>
                  <w:r w:rsidRPr="006E50FF">
                    <w:rPr>
                      <w:spacing w:val="-1"/>
                      <w:sz w:val="16"/>
                      <w:szCs w:val="16"/>
                    </w:rPr>
                    <w:t xml:space="preserve"> </w:t>
                  </w:r>
                  <w:r w:rsidRPr="006E50FF">
                    <w:rPr>
                      <w:sz w:val="16"/>
                      <w:szCs w:val="16"/>
                    </w:rPr>
                    <w:t>L,</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WL</w:t>
                  </w:r>
                  <w:r w:rsidRPr="006E50FF">
                    <w:rPr>
                      <w:spacing w:val="-6"/>
                      <w:sz w:val="16"/>
                      <w:szCs w:val="16"/>
                    </w:rPr>
                    <w:t xml:space="preserve"> </w:t>
                  </w:r>
                  <w:r w:rsidRPr="006E50FF">
                    <w:rPr>
                      <w:sz w:val="16"/>
                      <w:szCs w:val="16"/>
                    </w:rPr>
                    <w:t>only.</w:t>
                  </w:r>
                  <w:r w:rsidRPr="006E50FF">
                    <w:rPr>
                      <w:spacing w:val="-3"/>
                      <w:sz w:val="16"/>
                      <w:szCs w:val="16"/>
                    </w:rPr>
                    <w:t xml:space="preserve"> </w:t>
                  </w:r>
                  <w:r w:rsidRPr="006E50FF">
                    <w:rPr>
                      <w:sz w:val="16"/>
                      <w:szCs w:val="16"/>
                    </w:rPr>
                    <w:t>i.e.,</w:t>
                  </w:r>
                  <w:r w:rsidRPr="006E50FF">
                    <w:rPr>
                      <w:spacing w:val="-3"/>
                      <w:sz w:val="16"/>
                      <w:szCs w:val="16"/>
                    </w:rPr>
                    <w:t xml:space="preserve"> </w:t>
                  </w:r>
                  <w:r w:rsidRPr="006E50FF">
                    <w:rPr>
                      <w:sz w:val="16"/>
                      <w:szCs w:val="16"/>
                    </w:rPr>
                    <w:t>Type</w:t>
                  </w:r>
                  <w:r w:rsidRPr="006E50FF">
                    <w:rPr>
                      <w:spacing w:val="40"/>
                      <w:sz w:val="16"/>
                      <w:szCs w:val="16"/>
                    </w:rPr>
                    <w:t xml:space="preserve"> </w:t>
                  </w:r>
                  <w:r w:rsidRPr="006E50FF">
                    <w:rPr>
                      <w:sz w:val="16"/>
                      <w:szCs w:val="16"/>
                    </w:rPr>
                    <w:t>M and WM copper is prohibited.)</w:t>
                  </w:r>
                </w:p>
              </w:tc>
              <w:tc>
                <w:tcPr>
                  <w:tcW w:w="1752" w:type="dxa"/>
                  <w:tcBorders>
                    <w:right w:val="double" w:sz="6" w:space="0" w:color="000000"/>
                  </w:tcBorders>
                </w:tcPr>
                <w:p w14:paraId="484EB6AF" w14:textId="77777777" w:rsidR="006E50FF" w:rsidRPr="006E50FF" w:rsidRDefault="006E50FF" w:rsidP="006E50FF">
                  <w:pPr>
                    <w:widowControl w:val="0"/>
                    <w:autoSpaceDE w:val="0"/>
                    <w:autoSpaceDN w:val="0"/>
                    <w:spacing w:line="17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75;</w:t>
                  </w:r>
                </w:p>
                <w:p w14:paraId="0EC337A3"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88;</w:t>
                  </w:r>
                </w:p>
                <w:p w14:paraId="723A1671" w14:textId="77777777" w:rsidR="006E50FF" w:rsidRPr="006E50FF" w:rsidRDefault="006E50FF" w:rsidP="006E50FF">
                  <w:pPr>
                    <w:widowControl w:val="0"/>
                    <w:autoSpaceDE w:val="0"/>
                    <w:autoSpaceDN w:val="0"/>
                    <w:spacing w:line="183"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B</w:t>
                  </w:r>
                  <w:r w:rsidRPr="006E50FF">
                    <w:rPr>
                      <w:spacing w:val="-3"/>
                      <w:sz w:val="16"/>
                      <w:szCs w:val="16"/>
                    </w:rPr>
                    <w:t xml:space="preserve"> </w:t>
                  </w:r>
                  <w:r w:rsidRPr="006E50FF">
                    <w:rPr>
                      <w:spacing w:val="-4"/>
                      <w:sz w:val="16"/>
                      <w:szCs w:val="16"/>
                    </w:rPr>
                    <w:t>251;</w:t>
                  </w:r>
                </w:p>
                <w:p w14:paraId="397BF007"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447</w:t>
                  </w:r>
                </w:p>
              </w:tc>
            </w:tr>
            <w:tr w:rsidR="006E50FF" w:rsidRPr="006E50FF" w14:paraId="3215B0E5" w14:textId="77777777" w:rsidTr="0088638B">
              <w:trPr>
                <w:trHeight w:val="553"/>
                <w:jc w:val="center"/>
              </w:trPr>
              <w:tc>
                <w:tcPr>
                  <w:tcW w:w="5258" w:type="dxa"/>
                  <w:tcBorders>
                    <w:left w:val="double" w:sz="6" w:space="0" w:color="000000"/>
                  </w:tcBorders>
                </w:tcPr>
                <w:p w14:paraId="2EF71FD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Cross-linked</w:t>
                  </w:r>
                  <w:r w:rsidRPr="006E50FF">
                    <w:rPr>
                      <w:spacing w:val="-9"/>
                      <w:sz w:val="16"/>
                      <w:szCs w:val="16"/>
                    </w:rPr>
                    <w:t xml:space="preserve"> </w:t>
                  </w:r>
                  <w:r w:rsidRPr="006E50FF">
                    <w:rPr>
                      <w:sz w:val="16"/>
                      <w:szCs w:val="16"/>
                    </w:rPr>
                    <w:t>polyethylene</w:t>
                  </w:r>
                  <w:r w:rsidRPr="006E50FF">
                    <w:rPr>
                      <w:spacing w:val="-8"/>
                      <w:sz w:val="16"/>
                      <w:szCs w:val="16"/>
                    </w:rPr>
                    <w:t xml:space="preserve"> </w:t>
                  </w:r>
                  <w:r w:rsidRPr="006E50FF">
                    <w:rPr>
                      <w:sz w:val="16"/>
                      <w:szCs w:val="16"/>
                    </w:rPr>
                    <w:t>(PEX)</w:t>
                  </w:r>
                  <w:r w:rsidRPr="006E50FF">
                    <w:rPr>
                      <w:spacing w:val="-9"/>
                      <w:sz w:val="16"/>
                      <w:szCs w:val="16"/>
                    </w:rPr>
                    <w:t xml:space="preserve"> </w:t>
                  </w:r>
                  <w:r w:rsidRPr="006E50FF">
                    <w:rPr>
                      <w:sz w:val="16"/>
                      <w:szCs w:val="16"/>
                    </w:rPr>
                    <w:t>plastic</w:t>
                  </w:r>
                  <w:r w:rsidRPr="006E50FF">
                    <w:rPr>
                      <w:spacing w:val="-8"/>
                      <w:sz w:val="16"/>
                      <w:szCs w:val="16"/>
                    </w:rPr>
                    <w:t xml:space="preserve"> </w:t>
                  </w:r>
                  <w:r w:rsidRPr="006E50FF">
                    <w:rPr>
                      <w:spacing w:val="-2"/>
                      <w:sz w:val="16"/>
                      <w:szCs w:val="16"/>
                    </w:rPr>
                    <w:t>tubing</w:t>
                  </w:r>
                </w:p>
              </w:tc>
              <w:tc>
                <w:tcPr>
                  <w:tcW w:w="1752" w:type="dxa"/>
                  <w:tcBorders>
                    <w:right w:val="double" w:sz="6" w:space="0" w:color="000000"/>
                  </w:tcBorders>
                </w:tcPr>
                <w:p w14:paraId="598E3D5F"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 xml:space="preserve">ASTM F 876; </w:t>
                  </w:r>
                </w:p>
                <w:p w14:paraId="40D5486B"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 xml:space="preserve">ASTM F 877;  </w:t>
                  </w:r>
                </w:p>
                <w:p w14:paraId="514801B8"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 xml:space="preserve">AWWA C904; </w:t>
                  </w:r>
                </w:p>
                <w:p w14:paraId="5276C94F"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CSA B137.5</w:t>
                  </w:r>
                </w:p>
              </w:tc>
            </w:tr>
            <w:tr w:rsidR="006E50FF" w:rsidRPr="006E50FF" w14:paraId="11CE2991" w14:textId="77777777" w:rsidTr="0088638B">
              <w:trPr>
                <w:trHeight w:val="551"/>
                <w:jc w:val="center"/>
              </w:trPr>
              <w:tc>
                <w:tcPr>
                  <w:tcW w:w="5258" w:type="dxa"/>
                  <w:tcBorders>
                    <w:left w:val="double" w:sz="6" w:space="0" w:color="000000"/>
                  </w:tcBorders>
                </w:tcPr>
                <w:p w14:paraId="053008D4" w14:textId="77777777" w:rsidR="006E50FF" w:rsidRPr="006E50FF" w:rsidRDefault="006E50FF" w:rsidP="006E50FF">
                  <w:pPr>
                    <w:widowControl w:val="0"/>
                    <w:autoSpaceDE w:val="0"/>
                    <w:autoSpaceDN w:val="0"/>
                    <w:spacing w:line="237" w:lineRule="auto"/>
                    <w:ind w:left="91" w:right="90"/>
                    <w:rPr>
                      <w:sz w:val="16"/>
                      <w:szCs w:val="16"/>
                    </w:rPr>
                  </w:pPr>
                  <w:r w:rsidRPr="006E50FF">
                    <w:rPr>
                      <w:sz w:val="16"/>
                      <w:szCs w:val="16"/>
                    </w:rPr>
                    <w:lastRenderedPageBreak/>
                    <w:t>Cross-linked</w:t>
                  </w:r>
                  <w:r w:rsidRPr="006E50FF">
                    <w:rPr>
                      <w:spacing w:val="-10"/>
                      <w:sz w:val="16"/>
                      <w:szCs w:val="16"/>
                    </w:rPr>
                    <w:t xml:space="preserve"> </w:t>
                  </w:r>
                  <w:r w:rsidRPr="006E50FF">
                    <w:rPr>
                      <w:sz w:val="16"/>
                      <w:szCs w:val="16"/>
                    </w:rPr>
                    <w:t>polyethylene/aluminum/cross-linked</w:t>
                  </w:r>
                  <w:r w:rsidRPr="006E50FF">
                    <w:rPr>
                      <w:spacing w:val="-10"/>
                      <w:sz w:val="16"/>
                      <w:szCs w:val="16"/>
                    </w:rPr>
                    <w:t xml:space="preserve"> </w:t>
                  </w:r>
                  <w:r w:rsidRPr="006E50FF">
                    <w:rPr>
                      <w:sz w:val="16"/>
                      <w:szCs w:val="16"/>
                    </w:rPr>
                    <w:t>polyethylene</w:t>
                  </w:r>
                  <w:r w:rsidRPr="006E50FF">
                    <w:rPr>
                      <w:spacing w:val="40"/>
                      <w:sz w:val="16"/>
                      <w:szCs w:val="16"/>
                    </w:rPr>
                    <w:t xml:space="preserve"> </w:t>
                  </w:r>
                  <w:r w:rsidRPr="006E50FF">
                    <w:rPr>
                      <w:sz w:val="16"/>
                      <w:szCs w:val="16"/>
                    </w:rPr>
                    <w:t>(PEX-AL-PEX)</w:t>
                  </w:r>
                  <w:r w:rsidRPr="006E50FF">
                    <w:rPr>
                      <w:spacing w:val="-3"/>
                      <w:sz w:val="16"/>
                      <w:szCs w:val="16"/>
                    </w:rPr>
                    <w:t xml:space="preserve"> </w:t>
                  </w:r>
                  <w:r w:rsidRPr="006E50FF">
                    <w:rPr>
                      <w:sz w:val="16"/>
                      <w:szCs w:val="16"/>
                    </w:rPr>
                    <w:t>pipe</w:t>
                  </w:r>
                </w:p>
              </w:tc>
              <w:tc>
                <w:tcPr>
                  <w:tcW w:w="1752" w:type="dxa"/>
                  <w:tcBorders>
                    <w:right w:val="double" w:sz="6" w:space="0" w:color="000000"/>
                  </w:tcBorders>
                </w:tcPr>
                <w:p w14:paraId="1ECF5302"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F</w:t>
                  </w:r>
                  <w:r w:rsidRPr="006E50FF">
                    <w:rPr>
                      <w:spacing w:val="-5"/>
                      <w:sz w:val="16"/>
                      <w:szCs w:val="16"/>
                    </w:rPr>
                    <w:t xml:space="preserve"> </w:t>
                  </w:r>
                  <w:r w:rsidRPr="006E50FF">
                    <w:rPr>
                      <w:spacing w:val="-2"/>
                      <w:sz w:val="16"/>
                      <w:szCs w:val="16"/>
                    </w:rPr>
                    <w:t>1281;</w:t>
                  </w:r>
                </w:p>
                <w:p w14:paraId="12B02ABA" w14:textId="77777777" w:rsidR="006E50FF" w:rsidRPr="006E50FF" w:rsidRDefault="006E50FF" w:rsidP="006E50FF">
                  <w:pPr>
                    <w:widowControl w:val="0"/>
                    <w:autoSpaceDE w:val="0"/>
                    <w:autoSpaceDN w:val="0"/>
                    <w:spacing w:line="184" w:lineRule="exact"/>
                    <w:ind w:left="91" w:right="90"/>
                    <w:rPr>
                      <w:spacing w:val="40"/>
                      <w:sz w:val="16"/>
                      <w:szCs w:val="16"/>
                    </w:rPr>
                  </w:pPr>
                  <w:r w:rsidRPr="006E50FF">
                    <w:rPr>
                      <w:sz w:val="16"/>
                      <w:szCs w:val="16"/>
                    </w:rPr>
                    <w:t>ASTM F 2262;</w:t>
                  </w:r>
                  <w:r w:rsidRPr="006E50FF">
                    <w:rPr>
                      <w:spacing w:val="40"/>
                      <w:sz w:val="16"/>
                      <w:szCs w:val="16"/>
                    </w:rPr>
                    <w:t xml:space="preserve"> </w:t>
                  </w:r>
                </w:p>
                <w:p w14:paraId="0B63E17D" w14:textId="77777777" w:rsidR="006E50FF" w:rsidRPr="006E50FF" w:rsidRDefault="006E50FF" w:rsidP="006E50FF">
                  <w:pPr>
                    <w:widowControl w:val="0"/>
                    <w:autoSpaceDE w:val="0"/>
                    <w:autoSpaceDN w:val="0"/>
                    <w:spacing w:line="184" w:lineRule="exact"/>
                    <w:ind w:left="91" w:right="90"/>
                    <w:rPr>
                      <w:sz w:val="16"/>
                      <w:szCs w:val="16"/>
                    </w:rPr>
                  </w:pPr>
                  <w:r w:rsidRPr="006E50FF">
                    <w:rPr>
                      <w:sz w:val="16"/>
                      <w:szCs w:val="16"/>
                    </w:rPr>
                    <w:t>CSA</w:t>
                  </w:r>
                  <w:r w:rsidRPr="006E50FF">
                    <w:rPr>
                      <w:spacing w:val="-10"/>
                      <w:sz w:val="16"/>
                      <w:szCs w:val="16"/>
                    </w:rPr>
                    <w:t xml:space="preserve"> </w:t>
                  </w:r>
                  <w:r w:rsidRPr="006E50FF">
                    <w:rPr>
                      <w:sz w:val="16"/>
                      <w:szCs w:val="16"/>
                    </w:rPr>
                    <w:t>B137.10M</w:t>
                  </w:r>
                </w:p>
              </w:tc>
            </w:tr>
            <w:tr w:rsidR="006E50FF" w:rsidRPr="006E50FF" w14:paraId="2B58B8C0" w14:textId="77777777" w:rsidTr="0088638B">
              <w:trPr>
                <w:trHeight w:val="366"/>
                <w:jc w:val="center"/>
              </w:trPr>
              <w:tc>
                <w:tcPr>
                  <w:tcW w:w="5258" w:type="dxa"/>
                  <w:tcBorders>
                    <w:left w:val="double" w:sz="6" w:space="0" w:color="000000"/>
                  </w:tcBorders>
                </w:tcPr>
                <w:p w14:paraId="2D1D5926"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Cross-linked</w:t>
                  </w:r>
                  <w:r w:rsidRPr="006E50FF">
                    <w:rPr>
                      <w:spacing w:val="-10"/>
                      <w:sz w:val="16"/>
                      <w:szCs w:val="16"/>
                    </w:rPr>
                    <w:t xml:space="preserve"> </w:t>
                  </w:r>
                  <w:r w:rsidRPr="006E50FF">
                    <w:rPr>
                      <w:sz w:val="16"/>
                      <w:szCs w:val="16"/>
                    </w:rPr>
                    <w:t>polyethylene/aluminum/high-density</w:t>
                  </w:r>
                  <w:r w:rsidRPr="006E50FF">
                    <w:rPr>
                      <w:spacing w:val="-10"/>
                      <w:sz w:val="16"/>
                      <w:szCs w:val="16"/>
                    </w:rPr>
                    <w:t xml:space="preserve"> </w:t>
                  </w:r>
                  <w:r w:rsidRPr="006E50FF">
                    <w:rPr>
                      <w:sz w:val="16"/>
                      <w:szCs w:val="16"/>
                    </w:rPr>
                    <w:t>polyethylene</w:t>
                  </w:r>
                  <w:r w:rsidRPr="006E50FF">
                    <w:rPr>
                      <w:spacing w:val="-10"/>
                      <w:sz w:val="16"/>
                      <w:szCs w:val="16"/>
                    </w:rPr>
                    <w:t xml:space="preserve"> </w:t>
                  </w:r>
                  <w:r w:rsidRPr="006E50FF">
                    <w:rPr>
                      <w:sz w:val="16"/>
                      <w:szCs w:val="16"/>
                    </w:rPr>
                    <w:t>(PEX-</w:t>
                  </w:r>
                  <w:r w:rsidRPr="006E50FF">
                    <w:rPr>
                      <w:spacing w:val="40"/>
                      <w:sz w:val="16"/>
                      <w:szCs w:val="16"/>
                    </w:rPr>
                    <w:t xml:space="preserve"> </w:t>
                  </w:r>
                  <w:r w:rsidRPr="006E50FF">
                    <w:rPr>
                      <w:spacing w:val="-2"/>
                      <w:sz w:val="16"/>
                      <w:szCs w:val="16"/>
                    </w:rPr>
                    <w:t>AL-HDPE)</w:t>
                  </w:r>
                </w:p>
              </w:tc>
              <w:tc>
                <w:tcPr>
                  <w:tcW w:w="1752" w:type="dxa"/>
                  <w:tcBorders>
                    <w:right w:val="double" w:sz="6" w:space="0" w:color="000000"/>
                  </w:tcBorders>
                </w:tcPr>
                <w:p w14:paraId="59F1C67E"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1986</w:t>
                  </w:r>
                </w:p>
              </w:tc>
            </w:tr>
            <w:tr w:rsidR="006E50FF" w:rsidRPr="006E50FF" w14:paraId="24FEE390" w14:textId="77777777" w:rsidTr="0088638B">
              <w:trPr>
                <w:trHeight w:val="327"/>
                <w:jc w:val="center"/>
              </w:trPr>
              <w:tc>
                <w:tcPr>
                  <w:tcW w:w="5258" w:type="dxa"/>
                  <w:tcBorders>
                    <w:left w:val="double" w:sz="6" w:space="0" w:color="000000"/>
                  </w:tcBorders>
                </w:tcPr>
                <w:p w14:paraId="05B46396"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Ductile</w:t>
                  </w:r>
                  <w:r w:rsidRPr="006E50FF">
                    <w:rPr>
                      <w:spacing w:val="-8"/>
                      <w:sz w:val="16"/>
                      <w:szCs w:val="16"/>
                    </w:rPr>
                    <w:t xml:space="preserve"> </w:t>
                  </w:r>
                  <w:r w:rsidRPr="006E50FF">
                    <w:rPr>
                      <w:sz w:val="16"/>
                      <w:szCs w:val="16"/>
                    </w:rPr>
                    <w:t>iron</w:t>
                  </w:r>
                  <w:r w:rsidRPr="006E50FF">
                    <w:rPr>
                      <w:spacing w:val="-5"/>
                      <w:sz w:val="16"/>
                      <w:szCs w:val="16"/>
                    </w:rPr>
                    <w:t xml:space="preserve"> </w:t>
                  </w:r>
                  <w:r w:rsidRPr="006E50FF">
                    <w:rPr>
                      <w:spacing w:val="-4"/>
                      <w:sz w:val="16"/>
                      <w:szCs w:val="16"/>
                    </w:rPr>
                    <w:t>pipe</w:t>
                  </w:r>
                </w:p>
              </w:tc>
              <w:tc>
                <w:tcPr>
                  <w:tcW w:w="1752" w:type="dxa"/>
                  <w:tcBorders>
                    <w:right w:val="double" w:sz="6" w:space="0" w:color="000000"/>
                  </w:tcBorders>
                </w:tcPr>
                <w:p w14:paraId="745D300E" w14:textId="77777777" w:rsidR="006E50FF" w:rsidRPr="006E50FF" w:rsidRDefault="006E50FF" w:rsidP="006E50FF">
                  <w:pPr>
                    <w:widowControl w:val="0"/>
                    <w:autoSpaceDE w:val="0"/>
                    <w:autoSpaceDN w:val="0"/>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C151/A21.51;</w:t>
                  </w:r>
                </w:p>
                <w:p w14:paraId="36097CA0" w14:textId="77777777" w:rsidR="006E50FF" w:rsidRPr="006E50FF" w:rsidRDefault="006E50FF" w:rsidP="006E50FF">
                  <w:pPr>
                    <w:widowControl w:val="0"/>
                    <w:autoSpaceDE w:val="0"/>
                    <w:autoSpaceDN w:val="0"/>
                    <w:spacing w:line="182" w:lineRule="exact"/>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C115/A21.15</w:t>
                  </w:r>
                </w:p>
              </w:tc>
            </w:tr>
            <w:tr w:rsidR="006E50FF" w:rsidRPr="006E50FF" w14:paraId="79049D27" w14:textId="77777777" w:rsidTr="0088638B">
              <w:trPr>
                <w:trHeight w:val="184"/>
                <w:jc w:val="center"/>
              </w:trPr>
              <w:tc>
                <w:tcPr>
                  <w:tcW w:w="5258" w:type="dxa"/>
                  <w:tcBorders>
                    <w:left w:val="double" w:sz="6" w:space="0" w:color="000000"/>
                  </w:tcBorders>
                </w:tcPr>
                <w:p w14:paraId="616CD23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Galvanized</w:t>
                  </w:r>
                  <w:r w:rsidRPr="006E50FF">
                    <w:rPr>
                      <w:spacing w:val="-9"/>
                      <w:sz w:val="16"/>
                      <w:szCs w:val="16"/>
                    </w:rPr>
                    <w:t xml:space="preserve"> </w:t>
                  </w:r>
                  <w:r w:rsidRPr="006E50FF">
                    <w:rPr>
                      <w:sz w:val="16"/>
                      <w:szCs w:val="16"/>
                    </w:rPr>
                    <w:t>steel</w:t>
                  </w:r>
                  <w:r w:rsidRPr="006E50FF">
                    <w:rPr>
                      <w:spacing w:val="-7"/>
                      <w:sz w:val="16"/>
                      <w:szCs w:val="16"/>
                    </w:rPr>
                    <w:t xml:space="preserve"> </w:t>
                  </w:r>
                  <w:r w:rsidRPr="006E50FF">
                    <w:rPr>
                      <w:spacing w:val="-4"/>
                      <w:sz w:val="16"/>
                      <w:szCs w:val="16"/>
                    </w:rPr>
                    <w:t>pipe</w:t>
                  </w:r>
                </w:p>
              </w:tc>
              <w:tc>
                <w:tcPr>
                  <w:tcW w:w="1752" w:type="dxa"/>
                  <w:tcBorders>
                    <w:right w:val="double" w:sz="6" w:space="0" w:color="000000"/>
                  </w:tcBorders>
                </w:tcPr>
                <w:p w14:paraId="26C89B9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53</w:t>
                  </w:r>
                </w:p>
              </w:tc>
            </w:tr>
            <w:tr w:rsidR="006E50FF" w:rsidRPr="006E50FF" w14:paraId="6B408678" w14:textId="77777777" w:rsidTr="0088638B">
              <w:trPr>
                <w:trHeight w:val="368"/>
                <w:jc w:val="center"/>
              </w:trPr>
              <w:tc>
                <w:tcPr>
                  <w:tcW w:w="5258" w:type="dxa"/>
                  <w:tcBorders>
                    <w:left w:val="double" w:sz="6" w:space="0" w:color="000000"/>
                  </w:tcBorders>
                </w:tcPr>
                <w:p w14:paraId="410DEA10"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Polyethylene (PE) plastic pipe</w:t>
                  </w:r>
                </w:p>
              </w:tc>
              <w:tc>
                <w:tcPr>
                  <w:tcW w:w="1752" w:type="dxa"/>
                  <w:tcBorders>
                    <w:right w:val="double" w:sz="6" w:space="0" w:color="000000"/>
                  </w:tcBorders>
                </w:tcPr>
                <w:p w14:paraId="4DD93C4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D 2239; </w:t>
                  </w:r>
                </w:p>
                <w:p w14:paraId="21E97EA7"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D 3035; </w:t>
                  </w:r>
                </w:p>
                <w:p w14:paraId="15AC9BD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AWWA C901; </w:t>
                  </w:r>
                </w:p>
                <w:p w14:paraId="19E46D44"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CSA B137.1</w:t>
                  </w:r>
                </w:p>
              </w:tc>
            </w:tr>
            <w:tr w:rsidR="006E50FF" w:rsidRPr="006E50FF" w14:paraId="5F62A965" w14:textId="77777777" w:rsidTr="0088638B">
              <w:trPr>
                <w:trHeight w:val="368"/>
                <w:jc w:val="center"/>
              </w:trPr>
              <w:tc>
                <w:tcPr>
                  <w:tcW w:w="5258" w:type="dxa"/>
                  <w:tcBorders>
                    <w:left w:val="double" w:sz="6" w:space="0" w:color="000000"/>
                  </w:tcBorders>
                </w:tcPr>
                <w:p w14:paraId="25738F59"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Polyethylene (PE) plastic tubing</w:t>
                  </w:r>
                </w:p>
              </w:tc>
              <w:tc>
                <w:tcPr>
                  <w:tcW w:w="1752" w:type="dxa"/>
                  <w:tcBorders>
                    <w:right w:val="double" w:sz="6" w:space="0" w:color="000000"/>
                  </w:tcBorders>
                </w:tcPr>
                <w:p w14:paraId="5D4F169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D 2737; </w:t>
                  </w:r>
                </w:p>
                <w:p w14:paraId="3E22366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AWWA C901; </w:t>
                  </w:r>
                </w:p>
                <w:p w14:paraId="418D28C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CSA B137.1</w:t>
                  </w:r>
                </w:p>
              </w:tc>
            </w:tr>
            <w:tr w:rsidR="006E50FF" w:rsidRPr="006E50FF" w14:paraId="73D514EE" w14:textId="77777777" w:rsidTr="0088638B">
              <w:trPr>
                <w:trHeight w:val="368"/>
                <w:jc w:val="center"/>
              </w:trPr>
              <w:tc>
                <w:tcPr>
                  <w:tcW w:w="5258" w:type="dxa"/>
                  <w:tcBorders>
                    <w:left w:val="double" w:sz="6" w:space="0" w:color="000000"/>
                  </w:tcBorders>
                </w:tcPr>
                <w:p w14:paraId="670963A0"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p w14:paraId="6E3FEC74"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(PE-AL-PE)</w:t>
                  </w:r>
                  <w:r w:rsidRPr="006E50FF">
                    <w:rPr>
                      <w:spacing w:val="-8"/>
                      <w:sz w:val="16"/>
                      <w:szCs w:val="16"/>
                    </w:rPr>
                    <w:t xml:space="preserve"> </w:t>
                  </w:r>
                  <w:r w:rsidRPr="006E50FF">
                    <w:rPr>
                      <w:spacing w:val="-4"/>
                      <w:sz w:val="16"/>
                      <w:szCs w:val="16"/>
                    </w:rPr>
                    <w:t>pipe</w:t>
                  </w:r>
                </w:p>
              </w:tc>
              <w:tc>
                <w:tcPr>
                  <w:tcW w:w="1752" w:type="dxa"/>
                  <w:tcBorders>
                    <w:right w:val="double" w:sz="6" w:space="0" w:color="000000"/>
                  </w:tcBorders>
                </w:tcPr>
                <w:p w14:paraId="255F1D98"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F 1282; </w:t>
                  </w:r>
                </w:p>
                <w:p w14:paraId="4CFF290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CSA B137.9</w:t>
                  </w:r>
                </w:p>
              </w:tc>
            </w:tr>
            <w:tr w:rsidR="006E50FF" w:rsidRPr="006E50FF" w14:paraId="7B28C6A5" w14:textId="77777777" w:rsidTr="0088638B">
              <w:trPr>
                <w:trHeight w:val="184"/>
                <w:jc w:val="center"/>
              </w:trPr>
              <w:tc>
                <w:tcPr>
                  <w:tcW w:w="5258" w:type="dxa"/>
                  <w:tcBorders>
                    <w:left w:val="double" w:sz="6" w:space="0" w:color="000000"/>
                  </w:tcBorders>
                </w:tcPr>
                <w:p w14:paraId="5090DB2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Polyethylene</w:t>
                  </w:r>
                  <w:r w:rsidRPr="006E50FF">
                    <w:rPr>
                      <w:spacing w:val="-8"/>
                      <w:sz w:val="16"/>
                      <w:szCs w:val="16"/>
                    </w:rPr>
                    <w:t xml:space="preserve"> </w:t>
                  </w:r>
                  <w:r w:rsidRPr="006E50FF">
                    <w:rPr>
                      <w:sz w:val="16"/>
                      <w:szCs w:val="16"/>
                    </w:rPr>
                    <w:t>of</w:t>
                  </w:r>
                  <w:r w:rsidRPr="006E50FF">
                    <w:rPr>
                      <w:spacing w:val="-6"/>
                      <w:sz w:val="16"/>
                      <w:szCs w:val="16"/>
                    </w:rPr>
                    <w:t xml:space="preserve"> </w:t>
                  </w:r>
                  <w:r w:rsidRPr="006E50FF">
                    <w:rPr>
                      <w:sz w:val="16"/>
                      <w:szCs w:val="16"/>
                    </w:rPr>
                    <w:t>raised</w:t>
                  </w:r>
                  <w:r w:rsidRPr="006E50FF">
                    <w:rPr>
                      <w:spacing w:val="-5"/>
                      <w:sz w:val="16"/>
                      <w:szCs w:val="16"/>
                    </w:rPr>
                    <w:t xml:space="preserve"> </w:t>
                  </w:r>
                  <w:r w:rsidRPr="006E50FF">
                    <w:rPr>
                      <w:sz w:val="16"/>
                      <w:szCs w:val="16"/>
                    </w:rPr>
                    <w:t>temperature</w:t>
                  </w:r>
                  <w:r w:rsidRPr="006E50FF">
                    <w:rPr>
                      <w:spacing w:val="-8"/>
                      <w:sz w:val="16"/>
                      <w:szCs w:val="16"/>
                    </w:rPr>
                    <w:t xml:space="preserve"> </w:t>
                  </w:r>
                  <w:r w:rsidRPr="006E50FF">
                    <w:rPr>
                      <w:sz w:val="16"/>
                      <w:szCs w:val="16"/>
                    </w:rPr>
                    <w:t>(PE-RT)</w:t>
                  </w:r>
                  <w:r w:rsidRPr="006E50FF">
                    <w:rPr>
                      <w:spacing w:val="-6"/>
                      <w:sz w:val="16"/>
                      <w:szCs w:val="16"/>
                    </w:rPr>
                    <w:t xml:space="preserve"> </w:t>
                  </w:r>
                  <w:r w:rsidRPr="006E50FF">
                    <w:rPr>
                      <w:sz w:val="16"/>
                      <w:szCs w:val="16"/>
                    </w:rPr>
                    <w:t>plastic</w:t>
                  </w:r>
                  <w:r w:rsidRPr="006E50FF">
                    <w:rPr>
                      <w:spacing w:val="-7"/>
                      <w:sz w:val="16"/>
                      <w:szCs w:val="16"/>
                    </w:rPr>
                    <w:t xml:space="preserve"> </w:t>
                  </w:r>
                  <w:r w:rsidRPr="006E50FF">
                    <w:rPr>
                      <w:spacing w:val="-2"/>
                      <w:sz w:val="16"/>
                      <w:szCs w:val="16"/>
                    </w:rPr>
                    <w:t>tubing</w:t>
                  </w:r>
                </w:p>
              </w:tc>
              <w:tc>
                <w:tcPr>
                  <w:tcW w:w="1752" w:type="dxa"/>
                  <w:tcBorders>
                    <w:right w:val="double" w:sz="6" w:space="0" w:color="000000"/>
                  </w:tcBorders>
                </w:tcPr>
                <w:p w14:paraId="6035632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2769</w:t>
                  </w:r>
                </w:p>
              </w:tc>
            </w:tr>
            <w:tr w:rsidR="006E50FF" w:rsidRPr="006E50FF" w14:paraId="77CFFB7B" w14:textId="77777777" w:rsidTr="0088638B">
              <w:trPr>
                <w:trHeight w:val="366"/>
                <w:jc w:val="center"/>
              </w:trPr>
              <w:tc>
                <w:tcPr>
                  <w:tcW w:w="5258" w:type="dxa"/>
                  <w:tcBorders>
                    <w:left w:val="double" w:sz="6" w:space="0" w:color="000000"/>
                  </w:tcBorders>
                </w:tcPr>
                <w:p w14:paraId="6659AA17"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Polypropylene</w:t>
                  </w:r>
                  <w:r w:rsidRPr="006E50FF">
                    <w:rPr>
                      <w:spacing w:val="-7"/>
                      <w:sz w:val="16"/>
                      <w:szCs w:val="16"/>
                    </w:rPr>
                    <w:t xml:space="preserve"> </w:t>
                  </w:r>
                  <w:r w:rsidRPr="006E50FF">
                    <w:rPr>
                      <w:sz w:val="16"/>
                      <w:szCs w:val="16"/>
                    </w:rPr>
                    <w:t>(PP)</w:t>
                  </w:r>
                  <w:r w:rsidRPr="006E50FF">
                    <w:rPr>
                      <w:spacing w:val="-5"/>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6"/>
                      <w:sz w:val="16"/>
                      <w:szCs w:val="16"/>
                    </w:rPr>
                    <w:t xml:space="preserve"> </w:t>
                  </w:r>
                  <w:r w:rsidRPr="006E50FF">
                    <w:rPr>
                      <w:sz w:val="16"/>
                      <w:szCs w:val="16"/>
                    </w:rPr>
                    <w:t>or</w:t>
                  </w:r>
                  <w:r w:rsidRPr="006E50FF">
                    <w:rPr>
                      <w:spacing w:val="-5"/>
                      <w:sz w:val="16"/>
                      <w:szCs w:val="16"/>
                    </w:rPr>
                    <w:t xml:space="preserve"> </w:t>
                  </w:r>
                  <w:r w:rsidRPr="006E50FF">
                    <w:rPr>
                      <w:spacing w:val="-2"/>
                      <w:sz w:val="16"/>
                      <w:szCs w:val="16"/>
                    </w:rPr>
                    <w:t>tubing</w:t>
                  </w:r>
                </w:p>
              </w:tc>
              <w:tc>
                <w:tcPr>
                  <w:tcW w:w="1752" w:type="dxa"/>
                  <w:tcBorders>
                    <w:right w:val="double" w:sz="6" w:space="0" w:color="000000"/>
                  </w:tcBorders>
                </w:tcPr>
                <w:p w14:paraId="18DF21D4"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2389;</w:t>
                  </w:r>
                  <w:r w:rsidRPr="006E50FF">
                    <w:rPr>
                      <w:spacing w:val="40"/>
                      <w:sz w:val="16"/>
                      <w:szCs w:val="16"/>
                    </w:rPr>
                    <w:t xml:space="preserve"> </w:t>
                  </w:r>
                </w:p>
                <w:p w14:paraId="432183F4"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B137.11</w:t>
                  </w:r>
                </w:p>
              </w:tc>
            </w:tr>
            <w:tr w:rsidR="006E50FF" w:rsidRPr="006E50FF" w14:paraId="58574D39" w14:textId="77777777" w:rsidTr="0088638B">
              <w:trPr>
                <w:trHeight w:val="366"/>
                <w:jc w:val="center"/>
              </w:trPr>
              <w:tc>
                <w:tcPr>
                  <w:tcW w:w="5258" w:type="dxa"/>
                  <w:tcBorders>
                    <w:left w:val="double" w:sz="6" w:space="0" w:color="000000"/>
                  </w:tcBorders>
                </w:tcPr>
                <w:p w14:paraId="00EFA7B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Polyvinyl chloride (PVC) plastic pipe</w:t>
                  </w:r>
                </w:p>
              </w:tc>
              <w:tc>
                <w:tcPr>
                  <w:tcW w:w="1752" w:type="dxa"/>
                  <w:tcBorders>
                    <w:right w:val="double" w:sz="6" w:space="0" w:color="000000"/>
                  </w:tcBorders>
                </w:tcPr>
                <w:p w14:paraId="05016E59"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 xml:space="preserve">ASTM D 1785; </w:t>
                  </w:r>
                </w:p>
                <w:p w14:paraId="22F30A87"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 xml:space="preserve">ASTM D 2241; </w:t>
                  </w:r>
                </w:p>
                <w:p w14:paraId="60E792DF"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 xml:space="preserve">ASTM D 2672; </w:t>
                  </w:r>
                </w:p>
                <w:p w14:paraId="2EFA6DE9"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 B137.3</w:t>
                  </w:r>
                </w:p>
              </w:tc>
            </w:tr>
            <w:tr w:rsidR="006E50FF" w:rsidRPr="006E50FF" w14:paraId="556DF5DC" w14:textId="77777777" w:rsidTr="0088638B">
              <w:trPr>
                <w:trHeight w:val="369"/>
                <w:jc w:val="center"/>
              </w:trPr>
              <w:tc>
                <w:tcPr>
                  <w:tcW w:w="5258" w:type="dxa"/>
                  <w:tcBorders>
                    <w:left w:val="double" w:sz="6" w:space="0" w:color="000000"/>
                  </w:tcBorders>
                </w:tcPr>
                <w:p w14:paraId="283A6BC9"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304/304L)</w:t>
                  </w:r>
                </w:p>
              </w:tc>
              <w:tc>
                <w:tcPr>
                  <w:tcW w:w="1752" w:type="dxa"/>
                  <w:tcBorders>
                    <w:right w:val="double" w:sz="6" w:space="0" w:color="000000"/>
                  </w:tcBorders>
                </w:tcPr>
                <w:p w14:paraId="6445BCF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626EF305"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r w:rsidR="006E50FF" w:rsidRPr="006E50FF" w14:paraId="113A6548" w14:textId="77777777" w:rsidTr="0088638B">
              <w:trPr>
                <w:trHeight w:val="368"/>
                <w:jc w:val="center"/>
              </w:trPr>
              <w:tc>
                <w:tcPr>
                  <w:tcW w:w="5258" w:type="dxa"/>
                  <w:tcBorders>
                    <w:left w:val="double" w:sz="6" w:space="0" w:color="000000"/>
                    <w:bottom w:val="double" w:sz="6" w:space="0" w:color="000000"/>
                  </w:tcBorders>
                </w:tcPr>
                <w:p w14:paraId="767DDA1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316/316L)</w:t>
                  </w:r>
                </w:p>
              </w:tc>
              <w:tc>
                <w:tcPr>
                  <w:tcW w:w="1752" w:type="dxa"/>
                  <w:tcBorders>
                    <w:bottom w:val="double" w:sz="6" w:space="0" w:color="000000"/>
                    <w:right w:val="double" w:sz="6" w:space="0" w:color="000000"/>
                  </w:tcBorders>
                </w:tcPr>
                <w:p w14:paraId="552507D6"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08AA8845" w14:textId="77777777" w:rsidR="006E50FF" w:rsidRPr="006E50FF" w:rsidRDefault="006E50FF" w:rsidP="006E50FF">
                  <w:pPr>
                    <w:widowControl w:val="0"/>
                    <w:autoSpaceDE w:val="0"/>
                    <w:autoSpaceDN w:val="0"/>
                    <w:spacing w:line="16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bl>
          <w:p w14:paraId="084C4710" w14:textId="77777777" w:rsidR="006E50FF" w:rsidRPr="006E50FF" w:rsidRDefault="006E50FF" w:rsidP="006E50FF">
            <w:pPr>
              <w:widowControl w:val="0"/>
              <w:autoSpaceDE w:val="0"/>
              <w:autoSpaceDN w:val="0"/>
              <w:ind w:left="91" w:right="90"/>
              <w:rPr>
                <w:sz w:val="16"/>
                <w:szCs w:val="16"/>
              </w:rPr>
            </w:pPr>
          </w:p>
          <w:p w14:paraId="714EE45C" w14:textId="77777777" w:rsidR="006E50FF" w:rsidRPr="006E50FF" w:rsidRDefault="006E50FF" w:rsidP="006E50FF">
            <w:pPr>
              <w:widowControl w:val="0"/>
              <w:autoSpaceDE w:val="0"/>
              <w:autoSpaceDN w:val="0"/>
              <w:ind w:right="90"/>
              <w:rPr>
                <w:sz w:val="16"/>
                <w:szCs w:val="16"/>
              </w:rPr>
            </w:pPr>
          </w:p>
        </w:tc>
      </w:tr>
      <w:tr w:rsidR="006E50FF" w:rsidRPr="006E50FF" w14:paraId="6150A28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ECCD6F1" w14:textId="77777777" w:rsidR="006E50FF" w:rsidRPr="006E50FF" w:rsidRDefault="006E50FF" w:rsidP="006E50FF">
            <w:pPr>
              <w:widowControl w:val="0"/>
              <w:autoSpaceDE w:val="0"/>
              <w:autoSpaceDN w:val="0"/>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535EB131" w14:textId="77777777" w:rsidR="006E50FF" w:rsidRPr="006E50FF" w:rsidRDefault="006E50FF" w:rsidP="006E50FF">
            <w:pPr>
              <w:widowControl w:val="0"/>
              <w:autoSpaceDE w:val="0"/>
              <w:autoSpaceDN w:val="0"/>
              <w:ind w:left="96"/>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2C0963D" w14:textId="77777777" w:rsidR="006E50FF" w:rsidRPr="006E50FF" w:rsidRDefault="006E50FF" w:rsidP="006E50FF">
            <w:pPr>
              <w:widowControl w:val="0"/>
              <w:autoSpaceDE w:val="0"/>
              <w:autoSpaceDN w:val="0"/>
              <w:ind w:left="91" w:right="90"/>
              <w:rPr>
                <w:sz w:val="16"/>
                <w:szCs w:val="16"/>
              </w:rPr>
            </w:pPr>
          </w:p>
        </w:tc>
      </w:tr>
      <w:tr w:rsidR="006E50FF" w:rsidRPr="006E50FF" w14:paraId="472A4690" w14:textId="77777777" w:rsidTr="0088638B">
        <w:trPr>
          <w:trHeight w:val="918"/>
        </w:trPr>
        <w:tc>
          <w:tcPr>
            <w:tcW w:w="1072" w:type="dxa"/>
          </w:tcPr>
          <w:p w14:paraId="6D775B45" w14:textId="77777777" w:rsidR="006E50FF" w:rsidRPr="006E50FF" w:rsidRDefault="006E50FF" w:rsidP="006E50FF">
            <w:pPr>
              <w:widowControl w:val="0"/>
              <w:autoSpaceDE w:val="0"/>
              <w:autoSpaceDN w:val="0"/>
              <w:spacing w:line="181" w:lineRule="exact"/>
              <w:ind w:right="-20"/>
              <w:jc w:val="center"/>
              <w:rPr>
                <w:sz w:val="16"/>
                <w:szCs w:val="16"/>
              </w:rPr>
            </w:pPr>
            <w:r w:rsidRPr="006E50FF">
              <w:rPr>
                <w:spacing w:val="-2"/>
                <w:sz w:val="16"/>
                <w:szCs w:val="16"/>
              </w:rPr>
              <w:t>Amend</w:t>
            </w:r>
          </w:p>
        </w:tc>
        <w:tc>
          <w:tcPr>
            <w:tcW w:w="2415" w:type="dxa"/>
            <w:gridSpan w:val="2"/>
          </w:tcPr>
          <w:p w14:paraId="16F5648C" w14:textId="77777777" w:rsidR="006E50FF" w:rsidRPr="006E50FF" w:rsidRDefault="006E50FF" w:rsidP="006E50FF">
            <w:pPr>
              <w:widowControl w:val="0"/>
              <w:autoSpaceDE w:val="0"/>
              <w:autoSpaceDN w:val="0"/>
              <w:ind w:left="108" w:right="58"/>
              <w:rPr>
                <w:sz w:val="16"/>
                <w:szCs w:val="16"/>
              </w:rPr>
            </w:pPr>
            <w:r w:rsidRPr="006E50FF">
              <w:rPr>
                <w:sz w:val="16"/>
                <w:szCs w:val="16"/>
              </w:rPr>
              <w:t>Section</w:t>
            </w:r>
            <w:r w:rsidRPr="006E50FF">
              <w:rPr>
                <w:spacing w:val="-10"/>
                <w:sz w:val="16"/>
                <w:szCs w:val="16"/>
              </w:rPr>
              <w:t xml:space="preserve"> </w:t>
            </w:r>
            <w:r w:rsidRPr="006E50FF">
              <w:rPr>
                <w:sz w:val="16"/>
                <w:szCs w:val="16"/>
              </w:rPr>
              <w:t>605.3.1,</w:t>
            </w:r>
            <w:r w:rsidRPr="006E50FF">
              <w:rPr>
                <w:spacing w:val="-10"/>
                <w:sz w:val="16"/>
                <w:szCs w:val="16"/>
              </w:rPr>
              <w:t xml:space="preserve"> </w:t>
            </w:r>
            <w:r w:rsidRPr="006E50FF">
              <w:rPr>
                <w:sz w:val="16"/>
                <w:szCs w:val="16"/>
              </w:rPr>
              <w:t>Dual</w:t>
            </w:r>
            <w:r w:rsidRPr="006E50FF">
              <w:rPr>
                <w:spacing w:val="40"/>
                <w:sz w:val="16"/>
                <w:szCs w:val="16"/>
              </w:rPr>
              <w:t xml:space="preserve"> </w:t>
            </w:r>
            <w:r w:rsidRPr="006E50FF">
              <w:rPr>
                <w:spacing w:val="-2"/>
                <w:sz w:val="16"/>
                <w:szCs w:val="16"/>
              </w:rPr>
              <w:t>Check-Valve-Type</w:t>
            </w:r>
            <w:r w:rsidRPr="006E50FF">
              <w:rPr>
                <w:spacing w:val="40"/>
                <w:sz w:val="16"/>
                <w:szCs w:val="16"/>
              </w:rPr>
              <w:t xml:space="preserve"> </w:t>
            </w:r>
            <w:r w:rsidRPr="006E50FF">
              <w:rPr>
                <w:sz w:val="16"/>
                <w:szCs w:val="16"/>
              </w:rPr>
              <w:t>Backflow</w:t>
            </w:r>
            <w:r w:rsidRPr="006E50FF">
              <w:rPr>
                <w:spacing w:val="-7"/>
                <w:sz w:val="16"/>
                <w:szCs w:val="16"/>
              </w:rPr>
              <w:t xml:space="preserve"> </w:t>
            </w:r>
            <w:r w:rsidRPr="006E50FF">
              <w:rPr>
                <w:sz w:val="16"/>
                <w:szCs w:val="16"/>
              </w:rPr>
              <w:t>Preventer.</w:t>
            </w:r>
          </w:p>
        </w:tc>
        <w:tc>
          <w:tcPr>
            <w:tcW w:w="7043" w:type="dxa"/>
            <w:gridSpan w:val="2"/>
          </w:tcPr>
          <w:p w14:paraId="5F1F19B6" w14:textId="77777777" w:rsidR="006E50FF" w:rsidRPr="006E50FF" w:rsidRDefault="006E50FF" w:rsidP="006E50FF">
            <w:pPr>
              <w:widowControl w:val="0"/>
              <w:autoSpaceDE w:val="0"/>
              <w:autoSpaceDN w:val="0"/>
              <w:ind w:left="91" w:right="90"/>
              <w:jc w:val="both"/>
              <w:rPr>
                <w:sz w:val="16"/>
                <w:szCs w:val="16"/>
              </w:rPr>
            </w:pPr>
            <w:r w:rsidRPr="006E50FF">
              <w:rPr>
                <w:sz w:val="16"/>
                <w:szCs w:val="16"/>
              </w:rPr>
              <w:t>Dual</w:t>
            </w:r>
            <w:r w:rsidRPr="006E50FF">
              <w:rPr>
                <w:spacing w:val="-1"/>
                <w:sz w:val="16"/>
                <w:szCs w:val="16"/>
              </w:rPr>
              <w:t xml:space="preserve"> </w:t>
            </w:r>
            <w:r w:rsidRPr="006E50FF">
              <w:rPr>
                <w:sz w:val="16"/>
                <w:szCs w:val="16"/>
              </w:rPr>
              <w:t>check-valve</w:t>
            </w:r>
            <w:r w:rsidRPr="006E50FF">
              <w:rPr>
                <w:spacing w:val="-2"/>
                <w:sz w:val="16"/>
                <w:szCs w:val="16"/>
              </w:rPr>
              <w:t xml:space="preserve"> </w:t>
            </w:r>
            <w:r w:rsidRPr="006E50FF">
              <w:rPr>
                <w:sz w:val="16"/>
                <w:szCs w:val="16"/>
              </w:rPr>
              <w:t>backflow</w:t>
            </w:r>
            <w:r w:rsidRPr="006E50FF">
              <w:rPr>
                <w:spacing w:val="-3"/>
                <w:sz w:val="16"/>
                <w:szCs w:val="16"/>
              </w:rPr>
              <w:t xml:space="preserve"> </w:t>
            </w:r>
            <w:r w:rsidRPr="006E50FF">
              <w:rPr>
                <w:sz w:val="16"/>
                <w:szCs w:val="16"/>
              </w:rPr>
              <w:t>preventers installed on</w:t>
            </w:r>
            <w:r w:rsidRPr="006E50FF">
              <w:rPr>
                <w:spacing w:val="-1"/>
                <w:sz w:val="16"/>
                <w:szCs w:val="16"/>
              </w:rPr>
              <w:t xml:space="preserve"> </w:t>
            </w:r>
            <w:r w:rsidRPr="006E50FF">
              <w:rPr>
                <w:sz w:val="16"/>
                <w:szCs w:val="16"/>
              </w:rPr>
              <w:t>the</w:t>
            </w:r>
            <w:r w:rsidRPr="006E50FF">
              <w:rPr>
                <w:spacing w:val="-2"/>
                <w:sz w:val="16"/>
                <w:szCs w:val="16"/>
              </w:rPr>
              <w:t xml:space="preserve"> </w:t>
            </w:r>
            <w:r w:rsidRPr="006E50FF">
              <w:rPr>
                <w:sz w:val="16"/>
                <w:szCs w:val="16"/>
              </w:rPr>
              <w:t>water</w:t>
            </w:r>
            <w:r w:rsidRPr="006E50FF">
              <w:rPr>
                <w:spacing w:val="-1"/>
                <w:sz w:val="16"/>
                <w:szCs w:val="16"/>
              </w:rPr>
              <w:t xml:space="preserve"> </w:t>
            </w:r>
            <w:r w:rsidRPr="006E50FF">
              <w:rPr>
                <w:sz w:val="16"/>
                <w:szCs w:val="16"/>
              </w:rPr>
              <w:t>supply</w:t>
            </w:r>
            <w:r w:rsidRPr="006E50FF">
              <w:rPr>
                <w:spacing w:val="-3"/>
                <w:sz w:val="16"/>
                <w:szCs w:val="16"/>
              </w:rPr>
              <w:t xml:space="preserve"> </w:t>
            </w:r>
            <w:r w:rsidRPr="006E50FF">
              <w:rPr>
                <w:sz w:val="16"/>
                <w:szCs w:val="16"/>
              </w:rPr>
              <w:t>system shall</w:t>
            </w:r>
            <w:r w:rsidRPr="006E50FF">
              <w:rPr>
                <w:spacing w:val="-1"/>
                <w:sz w:val="16"/>
                <w:szCs w:val="16"/>
              </w:rPr>
              <w:t xml:space="preserve"> </w:t>
            </w:r>
            <w:r w:rsidRPr="006E50FF">
              <w:rPr>
                <w:sz w:val="16"/>
                <w:szCs w:val="16"/>
              </w:rPr>
              <w:t>comply</w:t>
            </w:r>
            <w:r w:rsidRPr="006E50FF">
              <w:rPr>
                <w:spacing w:val="-1"/>
                <w:sz w:val="16"/>
                <w:szCs w:val="16"/>
              </w:rPr>
              <w:t xml:space="preserve"> </w:t>
            </w:r>
            <w:r w:rsidRPr="006E50FF">
              <w:rPr>
                <w:sz w:val="16"/>
                <w:szCs w:val="16"/>
              </w:rPr>
              <w:t>with ASSE 1024 or</w:t>
            </w:r>
            <w:r w:rsidRPr="006E50FF">
              <w:rPr>
                <w:spacing w:val="-1"/>
                <w:sz w:val="16"/>
                <w:szCs w:val="16"/>
              </w:rPr>
              <w:t xml:space="preserve"> </w:t>
            </w:r>
            <w:r w:rsidRPr="006E50FF">
              <w:rPr>
                <w:sz w:val="16"/>
                <w:szCs w:val="16"/>
              </w:rPr>
              <w:t>CSA</w:t>
            </w:r>
            <w:r w:rsidRPr="006E50FF">
              <w:rPr>
                <w:spacing w:val="40"/>
                <w:sz w:val="16"/>
                <w:szCs w:val="16"/>
              </w:rPr>
              <w:t xml:space="preserve"> </w:t>
            </w:r>
            <w:r w:rsidRPr="006E50FF">
              <w:rPr>
                <w:sz w:val="16"/>
                <w:szCs w:val="16"/>
              </w:rPr>
              <w:t>B64.6.</w:t>
            </w:r>
            <w:r w:rsidRPr="006E50FF">
              <w:rPr>
                <w:spacing w:val="-1"/>
                <w:sz w:val="16"/>
                <w:szCs w:val="16"/>
              </w:rPr>
              <w:t xml:space="preserve"> </w:t>
            </w:r>
            <w:r w:rsidRPr="006E50FF">
              <w:rPr>
                <w:sz w:val="16"/>
                <w:szCs w:val="16"/>
              </w:rPr>
              <w:t>These</w:t>
            </w:r>
            <w:r w:rsidRPr="006E50FF">
              <w:rPr>
                <w:spacing w:val="-1"/>
                <w:sz w:val="16"/>
                <w:szCs w:val="16"/>
              </w:rPr>
              <w:t xml:space="preserve"> </w:t>
            </w:r>
            <w:r w:rsidRPr="006E50FF">
              <w:rPr>
                <w:sz w:val="16"/>
                <w:szCs w:val="16"/>
              </w:rPr>
              <w:t>devices, which are</w:t>
            </w:r>
            <w:r w:rsidRPr="006E50FF">
              <w:rPr>
                <w:spacing w:val="-1"/>
                <w:sz w:val="16"/>
                <w:szCs w:val="16"/>
              </w:rPr>
              <w:t xml:space="preserve"> </w:t>
            </w:r>
            <w:r w:rsidRPr="006E50FF">
              <w:rPr>
                <w:sz w:val="16"/>
                <w:szCs w:val="16"/>
              </w:rPr>
              <w:t>commonly</w:t>
            </w:r>
            <w:r w:rsidRPr="006E50FF">
              <w:rPr>
                <w:spacing w:val="-2"/>
                <w:sz w:val="16"/>
                <w:szCs w:val="16"/>
              </w:rPr>
              <w:t xml:space="preserve"> </w:t>
            </w:r>
            <w:r w:rsidRPr="006E50FF">
              <w:rPr>
                <w:sz w:val="16"/>
                <w:szCs w:val="16"/>
              </w:rPr>
              <w:t>installed immediately</w:t>
            </w:r>
            <w:r w:rsidRPr="006E50FF">
              <w:rPr>
                <w:spacing w:val="-2"/>
                <w:sz w:val="16"/>
                <w:szCs w:val="16"/>
              </w:rPr>
              <w:t xml:space="preserve"> </w:t>
            </w:r>
            <w:r w:rsidRPr="006E50FF">
              <w:rPr>
                <w:sz w:val="16"/>
                <w:szCs w:val="16"/>
              </w:rPr>
              <w:t>downstream of water meters by water suppliers,</w:t>
            </w:r>
            <w:r w:rsidRPr="006E50FF">
              <w:rPr>
                <w:spacing w:val="40"/>
                <w:sz w:val="16"/>
                <w:szCs w:val="16"/>
              </w:rPr>
              <w:t xml:space="preserve"> </w:t>
            </w:r>
            <w:r w:rsidRPr="006E50FF">
              <w:rPr>
                <w:sz w:val="16"/>
                <w:szCs w:val="16"/>
              </w:rPr>
              <w:t>are</w:t>
            </w:r>
            <w:r w:rsidRPr="006E50FF">
              <w:rPr>
                <w:spacing w:val="-4"/>
                <w:sz w:val="16"/>
                <w:szCs w:val="16"/>
              </w:rPr>
              <w:t xml:space="preserve"> </w:t>
            </w:r>
            <w:r w:rsidRPr="006E50FF">
              <w:rPr>
                <w:sz w:val="16"/>
                <w:szCs w:val="16"/>
              </w:rPr>
              <w:t>not</w:t>
            </w:r>
            <w:r w:rsidRPr="006E50FF">
              <w:rPr>
                <w:spacing w:val="-1"/>
                <w:sz w:val="16"/>
                <w:szCs w:val="16"/>
              </w:rPr>
              <w:t xml:space="preserve"> </w:t>
            </w:r>
            <w:r w:rsidRPr="006E50FF">
              <w:rPr>
                <w:sz w:val="16"/>
                <w:szCs w:val="16"/>
              </w:rPr>
              <w:t>approved</w:t>
            </w:r>
            <w:r w:rsidRPr="006E50FF">
              <w:rPr>
                <w:spacing w:val="-1"/>
                <w:sz w:val="16"/>
                <w:szCs w:val="16"/>
              </w:rPr>
              <w:t xml:space="preserve"> </w:t>
            </w:r>
            <w:r w:rsidRPr="006E50FF">
              <w:rPr>
                <w:sz w:val="16"/>
                <w:szCs w:val="16"/>
              </w:rPr>
              <w:t>backflow</w:t>
            </w:r>
            <w:r w:rsidRPr="006E50FF">
              <w:rPr>
                <w:spacing w:val="-5"/>
                <w:sz w:val="16"/>
                <w:szCs w:val="16"/>
              </w:rPr>
              <w:t xml:space="preserve"> </w:t>
            </w:r>
            <w:r w:rsidRPr="006E50FF">
              <w:rPr>
                <w:sz w:val="16"/>
                <w:szCs w:val="16"/>
              </w:rPr>
              <w:t>prevention</w:t>
            </w:r>
            <w:r w:rsidRPr="006E50FF">
              <w:rPr>
                <w:spacing w:val="-3"/>
                <w:sz w:val="16"/>
                <w:szCs w:val="16"/>
              </w:rPr>
              <w:t xml:space="preserve"> </w:t>
            </w:r>
            <w:r w:rsidRPr="006E50FF">
              <w:rPr>
                <w:sz w:val="16"/>
                <w:szCs w:val="16"/>
              </w:rPr>
              <w:t>devices</w:t>
            </w:r>
            <w:r w:rsidRPr="006E50FF">
              <w:rPr>
                <w:spacing w:val="-2"/>
                <w:sz w:val="16"/>
                <w:szCs w:val="16"/>
              </w:rPr>
              <w:t xml:space="preserve"> </w:t>
            </w:r>
            <w:r w:rsidRPr="006E50FF">
              <w:rPr>
                <w:sz w:val="16"/>
                <w:szCs w:val="16"/>
              </w:rPr>
              <w:t>and are</w:t>
            </w:r>
            <w:r w:rsidRPr="006E50FF">
              <w:rPr>
                <w:spacing w:val="-4"/>
                <w:sz w:val="16"/>
                <w:szCs w:val="16"/>
              </w:rPr>
              <w:t xml:space="preserve"> </w:t>
            </w:r>
            <w:r w:rsidRPr="006E50FF">
              <w:rPr>
                <w:sz w:val="16"/>
                <w:szCs w:val="16"/>
              </w:rPr>
              <w:t>only</w:t>
            </w:r>
            <w:r w:rsidRPr="006E50FF">
              <w:rPr>
                <w:spacing w:val="-5"/>
                <w:sz w:val="16"/>
                <w:szCs w:val="16"/>
              </w:rPr>
              <w:t xml:space="preserve"> </w:t>
            </w:r>
            <w:r w:rsidRPr="006E50FF">
              <w:rPr>
                <w:sz w:val="16"/>
                <w:szCs w:val="16"/>
              </w:rPr>
              <w:t>allowed</w:t>
            </w:r>
            <w:r w:rsidRPr="006E50FF">
              <w:rPr>
                <w:spacing w:val="-1"/>
                <w:sz w:val="16"/>
                <w:szCs w:val="16"/>
              </w:rPr>
              <w:t xml:space="preserve"> </w:t>
            </w:r>
            <w:r w:rsidRPr="006E50FF">
              <w:rPr>
                <w:sz w:val="16"/>
                <w:szCs w:val="16"/>
              </w:rPr>
              <w:t>to</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installed</w:t>
            </w:r>
            <w:r w:rsidRPr="006E50FF">
              <w:rPr>
                <w:spacing w:val="-1"/>
                <w:sz w:val="16"/>
                <w:szCs w:val="16"/>
              </w:rPr>
              <w:t xml:space="preserve"> </w:t>
            </w:r>
            <w:r w:rsidRPr="006E50FF">
              <w:rPr>
                <w:sz w:val="16"/>
                <w:szCs w:val="16"/>
              </w:rPr>
              <w:t>when</w:t>
            </w:r>
            <w:r w:rsidRPr="006E50FF">
              <w:rPr>
                <w:spacing w:val="-1"/>
                <w:sz w:val="16"/>
                <w:szCs w:val="16"/>
              </w:rPr>
              <w:t xml:space="preserve"> </w:t>
            </w:r>
            <w:r w:rsidRPr="006E50FF">
              <w:rPr>
                <w:sz w:val="16"/>
                <w:szCs w:val="16"/>
              </w:rPr>
              <w:t>no</w:t>
            </w:r>
            <w:r w:rsidRPr="006E50FF">
              <w:rPr>
                <w:spacing w:val="-3"/>
                <w:sz w:val="16"/>
                <w:szCs w:val="16"/>
              </w:rPr>
              <w:t xml:space="preserve"> </w:t>
            </w:r>
            <w:r w:rsidRPr="006E50FF">
              <w:rPr>
                <w:sz w:val="16"/>
                <w:szCs w:val="16"/>
              </w:rPr>
              <w:t>cross</w:t>
            </w:r>
            <w:r w:rsidRPr="006E50FF">
              <w:rPr>
                <w:spacing w:val="-4"/>
                <w:sz w:val="16"/>
                <w:szCs w:val="16"/>
              </w:rPr>
              <w:t xml:space="preserve"> </w:t>
            </w:r>
            <w:r w:rsidRPr="006E50FF">
              <w:rPr>
                <w:sz w:val="16"/>
                <w:szCs w:val="16"/>
              </w:rPr>
              <w:t>connections</w:t>
            </w:r>
            <w:r w:rsidRPr="006E50FF">
              <w:rPr>
                <w:spacing w:val="-2"/>
                <w:sz w:val="16"/>
                <w:szCs w:val="16"/>
              </w:rPr>
              <w:t xml:space="preserve"> </w:t>
            </w:r>
            <w:r w:rsidRPr="006E50FF">
              <w:rPr>
                <w:sz w:val="16"/>
                <w:szCs w:val="16"/>
              </w:rPr>
              <w:t>exist</w:t>
            </w:r>
            <w:r w:rsidRPr="006E50FF">
              <w:rPr>
                <w:spacing w:val="40"/>
                <w:sz w:val="16"/>
                <w:szCs w:val="16"/>
              </w:rPr>
              <w:t xml:space="preserve"> </w:t>
            </w:r>
            <w:r w:rsidRPr="006E50FF">
              <w:rPr>
                <w:sz w:val="16"/>
                <w:szCs w:val="16"/>
              </w:rPr>
              <w:t>downstream of the</w:t>
            </w:r>
            <w:r w:rsidRPr="006E50FF">
              <w:rPr>
                <w:spacing w:val="-3"/>
                <w:sz w:val="16"/>
                <w:szCs w:val="16"/>
              </w:rPr>
              <w:t xml:space="preserve"> </w:t>
            </w:r>
            <w:r w:rsidRPr="006E50FF">
              <w:rPr>
                <w:sz w:val="16"/>
                <w:szCs w:val="16"/>
              </w:rPr>
              <w:t>device</w:t>
            </w:r>
            <w:r w:rsidRPr="006E50FF">
              <w:rPr>
                <w:spacing w:val="-1"/>
                <w:sz w:val="16"/>
                <w:szCs w:val="16"/>
              </w:rPr>
              <w:t xml:space="preserve"> </w:t>
            </w:r>
            <w:r w:rsidRPr="006E50FF">
              <w:rPr>
                <w:sz w:val="16"/>
                <w:szCs w:val="16"/>
              </w:rPr>
              <w:t>or when all downstream cross connections</w:t>
            </w:r>
            <w:r w:rsidRPr="006E50FF">
              <w:rPr>
                <w:spacing w:val="-1"/>
                <w:sz w:val="16"/>
                <w:szCs w:val="16"/>
              </w:rPr>
              <w:t xml:space="preserve"> </w:t>
            </w:r>
            <w:r w:rsidRPr="006E50FF">
              <w:rPr>
                <w:sz w:val="16"/>
                <w:szCs w:val="16"/>
              </w:rPr>
              <w:t>are</w:t>
            </w:r>
            <w:r w:rsidRPr="006E50FF">
              <w:rPr>
                <w:spacing w:val="-1"/>
                <w:sz w:val="16"/>
                <w:szCs w:val="16"/>
              </w:rPr>
              <w:t xml:space="preserve"> </w:t>
            </w:r>
            <w:r w:rsidRPr="006E50FF">
              <w:rPr>
                <w:sz w:val="16"/>
                <w:szCs w:val="16"/>
              </w:rPr>
              <w:t>properly</w:t>
            </w:r>
            <w:r w:rsidRPr="006E50FF">
              <w:rPr>
                <w:spacing w:val="-2"/>
                <w:sz w:val="16"/>
                <w:szCs w:val="16"/>
              </w:rPr>
              <w:t xml:space="preserve"> </w:t>
            </w:r>
            <w:r w:rsidRPr="006E50FF">
              <w:rPr>
                <w:sz w:val="16"/>
                <w:szCs w:val="16"/>
              </w:rPr>
              <w:t>protected by</w:t>
            </w:r>
            <w:r w:rsidRPr="006E50FF">
              <w:rPr>
                <w:spacing w:val="-2"/>
                <w:sz w:val="16"/>
                <w:szCs w:val="16"/>
              </w:rPr>
              <w:t xml:space="preserve"> </w:t>
            </w:r>
            <w:r w:rsidRPr="006E50FF">
              <w:rPr>
                <w:sz w:val="16"/>
                <w:szCs w:val="16"/>
              </w:rPr>
              <w:t>approved backflow prevention</w:t>
            </w:r>
            <w:r w:rsidRPr="006E50FF">
              <w:rPr>
                <w:spacing w:val="-8"/>
                <w:sz w:val="16"/>
                <w:szCs w:val="16"/>
              </w:rPr>
              <w:t xml:space="preserve"> </w:t>
            </w:r>
            <w:r w:rsidRPr="006E50FF">
              <w:rPr>
                <w:sz w:val="16"/>
                <w:szCs w:val="16"/>
              </w:rPr>
              <w:t>devices,</w:t>
            </w:r>
            <w:r w:rsidRPr="006E50FF">
              <w:rPr>
                <w:spacing w:val="-3"/>
                <w:sz w:val="16"/>
                <w:szCs w:val="16"/>
              </w:rPr>
              <w:t xml:space="preserve"> </w:t>
            </w:r>
            <w:r w:rsidRPr="006E50FF">
              <w:rPr>
                <w:sz w:val="16"/>
                <w:szCs w:val="16"/>
              </w:rPr>
              <w:t>assemblies,</w:t>
            </w:r>
            <w:r w:rsidRPr="006E50FF">
              <w:rPr>
                <w:spacing w:val="-4"/>
                <w:sz w:val="16"/>
                <w:szCs w:val="16"/>
              </w:rPr>
              <w:t xml:space="preserve"> </w:t>
            </w:r>
            <w:r w:rsidRPr="006E50FF">
              <w:rPr>
                <w:sz w:val="16"/>
                <w:szCs w:val="16"/>
              </w:rPr>
              <w:t>or</w:t>
            </w:r>
            <w:r w:rsidRPr="006E50FF">
              <w:rPr>
                <w:spacing w:val="-5"/>
                <w:sz w:val="16"/>
                <w:szCs w:val="16"/>
              </w:rPr>
              <w:t xml:space="preserve"> </w:t>
            </w:r>
            <w:r w:rsidRPr="006E50FF">
              <w:rPr>
                <w:sz w:val="16"/>
                <w:szCs w:val="16"/>
              </w:rPr>
              <w:t>methods</w:t>
            </w:r>
            <w:r w:rsidRPr="006E50FF">
              <w:rPr>
                <w:spacing w:val="-4"/>
                <w:sz w:val="16"/>
                <w:szCs w:val="16"/>
              </w:rPr>
              <w:t xml:space="preserve"> </w:t>
            </w:r>
            <w:r w:rsidRPr="006E50FF">
              <w:rPr>
                <w:sz w:val="16"/>
                <w:szCs w:val="16"/>
              </w:rPr>
              <w:t>in</w:t>
            </w:r>
            <w:r w:rsidRPr="006E50FF">
              <w:rPr>
                <w:spacing w:val="-5"/>
                <w:sz w:val="16"/>
                <w:szCs w:val="16"/>
              </w:rPr>
              <w:t xml:space="preserve"> </w:t>
            </w:r>
            <w:r w:rsidRPr="006E50FF">
              <w:rPr>
                <w:sz w:val="16"/>
                <w:szCs w:val="16"/>
              </w:rPr>
              <w:t>accordance</w:t>
            </w:r>
            <w:r w:rsidRPr="006E50FF">
              <w:rPr>
                <w:spacing w:val="-6"/>
                <w:sz w:val="16"/>
                <w:szCs w:val="16"/>
              </w:rPr>
              <w:t xml:space="preserve"> </w:t>
            </w:r>
            <w:r w:rsidRPr="006E50FF">
              <w:rPr>
                <w:sz w:val="16"/>
                <w:szCs w:val="16"/>
              </w:rPr>
              <w:t>with</w:t>
            </w:r>
            <w:r w:rsidRPr="006E50FF">
              <w:rPr>
                <w:spacing w:val="-6"/>
                <w:sz w:val="16"/>
                <w:szCs w:val="16"/>
              </w:rPr>
              <w:t xml:space="preserve"> </w:t>
            </w:r>
            <w:r w:rsidRPr="006E50FF">
              <w:rPr>
                <w:sz w:val="16"/>
                <w:szCs w:val="16"/>
              </w:rPr>
              <w:t>Section</w:t>
            </w:r>
            <w:r w:rsidRPr="006E50FF">
              <w:rPr>
                <w:spacing w:val="-5"/>
                <w:sz w:val="16"/>
                <w:szCs w:val="16"/>
              </w:rPr>
              <w:t xml:space="preserve"> </w:t>
            </w:r>
            <w:r w:rsidRPr="006E50FF">
              <w:rPr>
                <w:sz w:val="16"/>
                <w:szCs w:val="16"/>
              </w:rPr>
              <w:t>608</w:t>
            </w:r>
            <w:r w:rsidRPr="006E50FF">
              <w:rPr>
                <w:spacing w:val="-5"/>
                <w:sz w:val="16"/>
                <w:szCs w:val="16"/>
              </w:rPr>
              <w:t xml:space="preserve"> </w:t>
            </w:r>
            <w:r w:rsidRPr="006E50FF">
              <w:rPr>
                <w:sz w:val="16"/>
                <w:szCs w:val="16"/>
              </w:rPr>
              <w:t>of</w:t>
            </w:r>
            <w:r w:rsidRPr="006E50FF">
              <w:rPr>
                <w:spacing w:val="-5"/>
                <w:sz w:val="16"/>
                <w:szCs w:val="16"/>
              </w:rPr>
              <w:t xml:space="preserve"> </w:t>
            </w:r>
            <w:r w:rsidRPr="006E50FF">
              <w:rPr>
                <w:sz w:val="16"/>
                <w:szCs w:val="16"/>
              </w:rPr>
              <w:t>this</w:t>
            </w:r>
            <w:r w:rsidRPr="006E50FF">
              <w:rPr>
                <w:spacing w:val="-6"/>
                <w:sz w:val="16"/>
                <w:szCs w:val="16"/>
              </w:rPr>
              <w:t xml:space="preserve"> </w:t>
            </w:r>
            <w:r w:rsidRPr="006E50FF">
              <w:rPr>
                <w:spacing w:val="-2"/>
                <w:sz w:val="16"/>
                <w:szCs w:val="16"/>
              </w:rPr>
              <w:t>code.</w:t>
            </w:r>
          </w:p>
        </w:tc>
      </w:tr>
      <w:tr w:rsidR="006E50FF" w:rsidRPr="006E50FF" w14:paraId="5BDDD16E" w14:textId="77777777" w:rsidTr="0088638B">
        <w:trPr>
          <w:trHeight w:val="366"/>
        </w:trPr>
        <w:tc>
          <w:tcPr>
            <w:tcW w:w="1072" w:type="dxa"/>
          </w:tcPr>
          <w:p w14:paraId="3BE1EE49" w14:textId="77777777" w:rsidR="006E50FF" w:rsidRPr="006E50FF" w:rsidRDefault="006E50FF" w:rsidP="006E50FF">
            <w:pPr>
              <w:widowControl w:val="0"/>
              <w:autoSpaceDE w:val="0"/>
              <w:autoSpaceDN w:val="0"/>
              <w:spacing w:line="181" w:lineRule="exact"/>
              <w:ind w:right="-20"/>
              <w:jc w:val="center"/>
              <w:rPr>
                <w:sz w:val="16"/>
                <w:szCs w:val="16"/>
              </w:rPr>
            </w:pPr>
            <w:r w:rsidRPr="006E50FF">
              <w:rPr>
                <w:spacing w:val="-2"/>
                <w:sz w:val="16"/>
                <w:szCs w:val="16"/>
              </w:rPr>
              <w:t>Amend</w:t>
            </w:r>
          </w:p>
        </w:tc>
        <w:tc>
          <w:tcPr>
            <w:tcW w:w="2415" w:type="dxa"/>
            <w:gridSpan w:val="2"/>
          </w:tcPr>
          <w:p w14:paraId="657F368A" w14:textId="77777777" w:rsidR="006E50FF" w:rsidRPr="006E50FF" w:rsidRDefault="006E50FF" w:rsidP="006E50FF">
            <w:pPr>
              <w:widowControl w:val="0"/>
              <w:autoSpaceDE w:val="0"/>
              <w:autoSpaceDN w:val="0"/>
              <w:spacing w:line="182" w:lineRule="exact"/>
              <w:ind w:left="108"/>
              <w:rPr>
                <w:sz w:val="16"/>
                <w:szCs w:val="16"/>
              </w:rPr>
            </w:pPr>
            <w:r w:rsidRPr="006E50FF">
              <w:rPr>
                <w:sz w:val="16"/>
                <w:szCs w:val="16"/>
              </w:rPr>
              <w:t>Table</w:t>
            </w:r>
            <w:r w:rsidRPr="006E50FF">
              <w:rPr>
                <w:spacing w:val="-10"/>
                <w:sz w:val="16"/>
                <w:szCs w:val="16"/>
              </w:rPr>
              <w:t xml:space="preserve"> </w:t>
            </w:r>
            <w:r w:rsidRPr="006E50FF">
              <w:rPr>
                <w:sz w:val="16"/>
                <w:szCs w:val="16"/>
              </w:rPr>
              <w:t>605.4,</w:t>
            </w:r>
            <w:r w:rsidRPr="006E50FF">
              <w:rPr>
                <w:spacing w:val="-10"/>
                <w:sz w:val="16"/>
                <w:szCs w:val="16"/>
              </w:rPr>
              <w:t xml:space="preserve"> </w:t>
            </w:r>
            <w:r w:rsidRPr="006E50FF">
              <w:rPr>
                <w:sz w:val="16"/>
                <w:szCs w:val="16"/>
              </w:rPr>
              <w:t>Water</w:t>
            </w:r>
            <w:r w:rsidRPr="006E50FF">
              <w:rPr>
                <w:spacing w:val="40"/>
                <w:sz w:val="16"/>
                <w:szCs w:val="16"/>
              </w:rPr>
              <w:t xml:space="preserve"> </w:t>
            </w:r>
            <w:r w:rsidRPr="006E50FF">
              <w:rPr>
                <w:sz w:val="16"/>
                <w:szCs w:val="16"/>
              </w:rPr>
              <w:t>Distribution Pipe.</w:t>
            </w:r>
          </w:p>
        </w:tc>
        <w:tc>
          <w:tcPr>
            <w:tcW w:w="7043" w:type="dxa"/>
            <w:gridSpan w:val="2"/>
          </w:tcPr>
          <w:p w14:paraId="5C5C4C09" w14:textId="77777777" w:rsidR="006E50FF" w:rsidRPr="006E50FF" w:rsidRDefault="006E50FF" w:rsidP="006E50FF">
            <w:pPr>
              <w:widowControl w:val="0"/>
              <w:autoSpaceDE w:val="0"/>
              <w:autoSpaceDN w:val="0"/>
              <w:ind w:left="91" w:right="90"/>
              <w:rPr>
                <w:sz w:val="16"/>
                <w:szCs w:val="16"/>
              </w:rPr>
            </w:pPr>
          </w:p>
        </w:tc>
      </w:tr>
      <w:tr w:rsidR="006E50FF" w:rsidRPr="006E50FF" w14:paraId="4B2F2DDA" w14:textId="77777777" w:rsidTr="0088638B">
        <w:trPr>
          <w:trHeight w:val="187"/>
        </w:trPr>
        <w:tc>
          <w:tcPr>
            <w:tcW w:w="10530" w:type="dxa"/>
            <w:gridSpan w:val="5"/>
          </w:tcPr>
          <w:p w14:paraId="67B852D5" w14:textId="77777777" w:rsidR="006E50FF" w:rsidRPr="006E50FF" w:rsidRDefault="006E50FF" w:rsidP="006E50FF">
            <w:pPr>
              <w:widowControl w:val="0"/>
              <w:autoSpaceDE w:val="0"/>
              <w:autoSpaceDN w:val="0"/>
              <w:ind w:left="91" w:right="90"/>
              <w:rPr>
                <w:sz w:val="16"/>
                <w:szCs w:val="16"/>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44"/>
              <w:gridCol w:w="1746"/>
            </w:tblGrid>
            <w:tr w:rsidR="006E50FF" w:rsidRPr="006E50FF" w14:paraId="3DB8BCFF" w14:textId="77777777" w:rsidTr="0088638B">
              <w:trPr>
                <w:trHeight w:val="204"/>
                <w:jc w:val="center"/>
              </w:trPr>
              <w:tc>
                <w:tcPr>
                  <w:tcW w:w="5244" w:type="dxa"/>
                  <w:tcBorders>
                    <w:top w:val="thickThinMediumGap" w:sz="6" w:space="0" w:color="000000"/>
                    <w:left w:val="double" w:sz="6" w:space="0" w:color="000000"/>
                  </w:tcBorders>
                  <w:shd w:val="clear" w:color="auto" w:fill="BEBEBE"/>
                </w:tcPr>
                <w:p w14:paraId="254EA879" w14:textId="77777777" w:rsidR="006E50FF" w:rsidRPr="006E50FF" w:rsidRDefault="006E50FF" w:rsidP="006E50FF">
                  <w:pPr>
                    <w:widowControl w:val="0"/>
                    <w:autoSpaceDE w:val="0"/>
                    <w:autoSpaceDN w:val="0"/>
                    <w:spacing w:before="20" w:line="165" w:lineRule="exact"/>
                    <w:ind w:left="91" w:right="90"/>
                    <w:jc w:val="center"/>
                    <w:rPr>
                      <w:b/>
                      <w:sz w:val="16"/>
                      <w:szCs w:val="16"/>
                    </w:rPr>
                  </w:pPr>
                  <w:r w:rsidRPr="006E50FF">
                    <w:rPr>
                      <w:b/>
                      <w:spacing w:val="-2"/>
                      <w:sz w:val="16"/>
                      <w:szCs w:val="16"/>
                    </w:rPr>
                    <w:t>Material</w:t>
                  </w:r>
                </w:p>
              </w:tc>
              <w:tc>
                <w:tcPr>
                  <w:tcW w:w="1746" w:type="dxa"/>
                  <w:tcBorders>
                    <w:top w:val="thickThinMediumGap" w:sz="6" w:space="0" w:color="000000"/>
                    <w:right w:val="double" w:sz="6" w:space="0" w:color="000000"/>
                  </w:tcBorders>
                  <w:shd w:val="clear" w:color="auto" w:fill="BEBEBE"/>
                </w:tcPr>
                <w:p w14:paraId="55A1DD6F"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Standard</w:t>
                  </w:r>
                </w:p>
              </w:tc>
            </w:tr>
            <w:tr w:rsidR="006E50FF" w:rsidRPr="006E50FF" w14:paraId="76F1BF51" w14:textId="77777777" w:rsidTr="0088638B">
              <w:trPr>
                <w:trHeight w:val="184"/>
                <w:jc w:val="center"/>
              </w:trPr>
              <w:tc>
                <w:tcPr>
                  <w:tcW w:w="5244" w:type="dxa"/>
                  <w:tcBorders>
                    <w:left w:val="double" w:sz="6" w:space="0" w:color="000000"/>
                  </w:tcBorders>
                </w:tcPr>
                <w:p w14:paraId="73375C0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Brass</w:t>
                  </w:r>
                  <w:r w:rsidRPr="006E50FF">
                    <w:rPr>
                      <w:spacing w:val="-3"/>
                      <w:sz w:val="16"/>
                      <w:szCs w:val="16"/>
                    </w:rPr>
                    <w:t xml:space="preserve"> </w:t>
                  </w:r>
                  <w:r w:rsidRPr="006E50FF">
                    <w:rPr>
                      <w:spacing w:val="-4"/>
                      <w:sz w:val="16"/>
                      <w:szCs w:val="16"/>
                    </w:rPr>
                    <w:t>pipe</w:t>
                  </w:r>
                </w:p>
              </w:tc>
              <w:tc>
                <w:tcPr>
                  <w:tcW w:w="1746" w:type="dxa"/>
                  <w:tcBorders>
                    <w:right w:val="double" w:sz="6" w:space="0" w:color="000000"/>
                  </w:tcBorders>
                </w:tcPr>
                <w:p w14:paraId="2DD246C5"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tc>
            </w:tr>
            <w:tr w:rsidR="006E50FF" w:rsidRPr="006E50FF" w14:paraId="0161291B" w14:textId="77777777" w:rsidTr="0088638B">
              <w:trPr>
                <w:trHeight w:val="736"/>
                <w:jc w:val="center"/>
              </w:trPr>
              <w:tc>
                <w:tcPr>
                  <w:tcW w:w="5244" w:type="dxa"/>
                  <w:tcBorders>
                    <w:left w:val="double" w:sz="6" w:space="0" w:color="000000"/>
                  </w:tcBorders>
                </w:tcPr>
                <w:p w14:paraId="334578C4"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Chlorinated</w:t>
                  </w:r>
                  <w:r w:rsidRPr="006E50FF">
                    <w:rPr>
                      <w:spacing w:val="-7"/>
                      <w:sz w:val="16"/>
                      <w:szCs w:val="16"/>
                    </w:rPr>
                    <w:t xml:space="preserve"> </w:t>
                  </w:r>
                  <w:r w:rsidRPr="006E50FF">
                    <w:rPr>
                      <w:sz w:val="16"/>
                      <w:szCs w:val="16"/>
                    </w:rPr>
                    <w:t>polyvinyl</w:t>
                  </w:r>
                  <w:r w:rsidRPr="006E50FF">
                    <w:rPr>
                      <w:spacing w:val="-7"/>
                      <w:sz w:val="16"/>
                      <w:szCs w:val="16"/>
                    </w:rPr>
                    <w:t xml:space="preserve"> </w:t>
                  </w:r>
                  <w:r w:rsidRPr="006E50FF">
                    <w:rPr>
                      <w:sz w:val="16"/>
                      <w:szCs w:val="16"/>
                    </w:rPr>
                    <w:t>chloride</w:t>
                  </w:r>
                  <w:r w:rsidRPr="006E50FF">
                    <w:rPr>
                      <w:spacing w:val="-7"/>
                      <w:sz w:val="16"/>
                      <w:szCs w:val="16"/>
                    </w:rPr>
                    <w:t xml:space="preserve"> </w:t>
                  </w:r>
                  <w:r w:rsidRPr="006E50FF">
                    <w:rPr>
                      <w:sz w:val="16"/>
                      <w:szCs w:val="16"/>
                    </w:rPr>
                    <w:t>(CPVC)</w:t>
                  </w:r>
                  <w:r w:rsidRPr="006E50FF">
                    <w:rPr>
                      <w:spacing w:val="-7"/>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8"/>
                      <w:sz w:val="16"/>
                      <w:szCs w:val="16"/>
                    </w:rPr>
                    <w:t xml:space="preserve"> </w:t>
                  </w:r>
                  <w:r w:rsidRPr="006E50FF">
                    <w:rPr>
                      <w:sz w:val="16"/>
                      <w:szCs w:val="16"/>
                    </w:rPr>
                    <w:t>and</w:t>
                  </w:r>
                  <w:r w:rsidRPr="006E50FF">
                    <w:rPr>
                      <w:spacing w:val="-6"/>
                      <w:sz w:val="16"/>
                      <w:szCs w:val="16"/>
                    </w:rPr>
                    <w:t xml:space="preserve"> </w:t>
                  </w:r>
                  <w:r w:rsidRPr="006E50FF">
                    <w:rPr>
                      <w:spacing w:val="-2"/>
                      <w:sz w:val="16"/>
                      <w:szCs w:val="16"/>
                    </w:rPr>
                    <w:t>tubing</w:t>
                  </w:r>
                </w:p>
              </w:tc>
              <w:tc>
                <w:tcPr>
                  <w:tcW w:w="1746" w:type="dxa"/>
                  <w:tcBorders>
                    <w:right w:val="double" w:sz="6" w:space="0" w:color="000000"/>
                  </w:tcBorders>
                </w:tcPr>
                <w:p w14:paraId="0B36D83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D</w:t>
                  </w:r>
                  <w:r w:rsidRPr="006E50FF">
                    <w:rPr>
                      <w:spacing w:val="-3"/>
                      <w:sz w:val="16"/>
                      <w:szCs w:val="16"/>
                    </w:rPr>
                    <w:t xml:space="preserve"> </w:t>
                  </w:r>
                  <w:r w:rsidRPr="006E50FF">
                    <w:rPr>
                      <w:spacing w:val="-2"/>
                      <w:sz w:val="16"/>
                      <w:szCs w:val="16"/>
                    </w:rPr>
                    <w:t>2846;</w:t>
                  </w:r>
                </w:p>
                <w:p w14:paraId="52125840"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441;</w:t>
                  </w:r>
                </w:p>
                <w:p w14:paraId="24D08304"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442;</w:t>
                  </w:r>
                  <w:r w:rsidRPr="006E50FF">
                    <w:rPr>
                      <w:spacing w:val="40"/>
                      <w:sz w:val="16"/>
                      <w:szCs w:val="16"/>
                    </w:rPr>
                    <w:t xml:space="preserve"> </w:t>
                  </w:r>
                </w:p>
                <w:p w14:paraId="6E3EFC47"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B137.6</w:t>
                  </w:r>
                </w:p>
              </w:tc>
            </w:tr>
            <w:tr w:rsidR="006E50FF" w:rsidRPr="006E50FF" w14:paraId="03016236" w14:textId="77777777" w:rsidTr="0088638B">
              <w:trPr>
                <w:trHeight w:val="553"/>
                <w:jc w:val="center"/>
              </w:trPr>
              <w:tc>
                <w:tcPr>
                  <w:tcW w:w="5244" w:type="dxa"/>
                  <w:tcBorders>
                    <w:left w:val="double" w:sz="6" w:space="0" w:color="000000"/>
                  </w:tcBorders>
                </w:tcPr>
                <w:p w14:paraId="0772A749"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Copper</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copper-alloy</w:t>
                  </w:r>
                  <w:r w:rsidRPr="006E50FF">
                    <w:rPr>
                      <w:spacing w:val="-8"/>
                      <w:sz w:val="16"/>
                      <w:szCs w:val="16"/>
                    </w:rPr>
                    <w:t xml:space="preserve"> </w:t>
                  </w:r>
                  <w:r w:rsidRPr="006E50FF">
                    <w:rPr>
                      <w:spacing w:val="-4"/>
                      <w:sz w:val="16"/>
                      <w:szCs w:val="16"/>
                    </w:rPr>
                    <w:t>pipe</w:t>
                  </w:r>
                </w:p>
              </w:tc>
              <w:tc>
                <w:tcPr>
                  <w:tcW w:w="1746" w:type="dxa"/>
                  <w:tcBorders>
                    <w:right w:val="double" w:sz="6" w:space="0" w:color="000000"/>
                  </w:tcBorders>
                </w:tcPr>
                <w:p w14:paraId="5488510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42;</w:t>
                  </w:r>
                </w:p>
                <w:p w14:paraId="0C990652"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2"/>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p w14:paraId="65943D52"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302</w:t>
                  </w:r>
                </w:p>
              </w:tc>
            </w:tr>
            <w:tr w:rsidR="006E50FF" w:rsidRPr="006E50FF" w14:paraId="0CB7AEB4" w14:textId="77777777" w:rsidTr="0088638B">
              <w:trPr>
                <w:trHeight w:val="733"/>
                <w:jc w:val="center"/>
              </w:trPr>
              <w:tc>
                <w:tcPr>
                  <w:tcW w:w="5244" w:type="dxa"/>
                  <w:tcBorders>
                    <w:left w:val="double" w:sz="6" w:space="0" w:color="000000"/>
                  </w:tcBorders>
                </w:tcPr>
                <w:p w14:paraId="672168EA" w14:textId="77777777" w:rsidR="006E50FF" w:rsidRPr="006E50FF" w:rsidRDefault="006E50FF" w:rsidP="006E50FF">
                  <w:pPr>
                    <w:widowControl w:val="0"/>
                    <w:autoSpaceDE w:val="0"/>
                    <w:autoSpaceDN w:val="0"/>
                    <w:ind w:left="91" w:right="90"/>
                    <w:rPr>
                      <w:sz w:val="16"/>
                      <w:szCs w:val="16"/>
                    </w:rPr>
                  </w:pPr>
                  <w:r w:rsidRPr="006E50FF">
                    <w:rPr>
                      <w:sz w:val="16"/>
                      <w:szCs w:val="16"/>
                    </w:rPr>
                    <w:t>Copper</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copper-alloy</w:t>
                  </w:r>
                  <w:r w:rsidRPr="006E50FF">
                    <w:rPr>
                      <w:spacing w:val="-7"/>
                      <w:sz w:val="16"/>
                      <w:szCs w:val="16"/>
                    </w:rPr>
                    <w:t xml:space="preserve"> </w:t>
                  </w:r>
                  <w:r w:rsidRPr="006E50FF">
                    <w:rPr>
                      <w:sz w:val="16"/>
                      <w:szCs w:val="16"/>
                    </w:rPr>
                    <w:t>tubing</w:t>
                  </w:r>
                  <w:r w:rsidRPr="006E50FF">
                    <w:rPr>
                      <w:spacing w:val="-5"/>
                      <w:sz w:val="16"/>
                      <w:szCs w:val="16"/>
                    </w:rPr>
                    <w:t xml:space="preserve"> </w:t>
                  </w:r>
                  <w:r w:rsidRPr="006E50FF">
                    <w:rPr>
                      <w:sz w:val="16"/>
                      <w:szCs w:val="16"/>
                    </w:rPr>
                    <w:t>(Type</w:t>
                  </w:r>
                  <w:r w:rsidRPr="006E50FF">
                    <w:rPr>
                      <w:spacing w:val="-3"/>
                      <w:sz w:val="16"/>
                      <w:szCs w:val="16"/>
                    </w:rPr>
                    <w:t xml:space="preserve"> </w:t>
                  </w:r>
                  <w:r w:rsidRPr="006E50FF">
                    <w:rPr>
                      <w:sz w:val="16"/>
                      <w:szCs w:val="16"/>
                    </w:rPr>
                    <w:t>K,</w:t>
                  </w:r>
                  <w:r w:rsidRPr="006E50FF">
                    <w:rPr>
                      <w:spacing w:val="-3"/>
                      <w:sz w:val="16"/>
                      <w:szCs w:val="16"/>
                    </w:rPr>
                    <w:t xml:space="preserve"> </w:t>
                  </w:r>
                  <w:r w:rsidRPr="006E50FF">
                    <w:rPr>
                      <w:sz w:val="16"/>
                      <w:szCs w:val="16"/>
                    </w:rPr>
                    <w:t>WK,</w:t>
                  </w:r>
                  <w:r w:rsidRPr="006E50FF">
                    <w:rPr>
                      <w:spacing w:val="-1"/>
                      <w:sz w:val="16"/>
                      <w:szCs w:val="16"/>
                    </w:rPr>
                    <w:t xml:space="preserve"> </w:t>
                  </w:r>
                  <w:r w:rsidRPr="006E50FF">
                    <w:rPr>
                      <w:sz w:val="16"/>
                      <w:szCs w:val="16"/>
                    </w:rPr>
                    <w:t>L,</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WL</w:t>
                  </w:r>
                  <w:r w:rsidRPr="006E50FF">
                    <w:rPr>
                      <w:spacing w:val="-6"/>
                      <w:sz w:val="16"/>
                      <w:szCs w:val="16"/>
                    </w:rPr>
                    <w:t xml:space="preserve"> </w:t>
                  </w:r>
                  <w:r w:rsidRPr="006E50FF">
                    <w:rPr>
                      <w:sz w:val="16"/>
                      <w:szCs w:val="16"/>
                    </w:rPr>
                    <w:t>only.</w:t>
                  </w:r>
                  <w:r w:rsidRPr="006E50FF">
                    <w:rPr>
                      <w:spacing w:val="-3"/>
                      <w:sz w:val="16"/>
                      <w:szCs w:val="16"/>
                    </w:rPr>
                    <w:t xml:space="preserve"> </w:t>
                  </w:r>
                  <w:r w:rsidRPr="006E50FF">
                    <w:rPr>
                      <w:sz w:val="16"/>
                      <w:szCs w:val="16"/>
                    </w:rPr>
                    <w:t>i.e.,</w:t>
                  </w:r>
                  <w:r w:rsidRPr="006E50FF">
                    <w:rPr>
                      <w:spacing w:val="-3"/>
                      <w:sz w:val="16"/>
                      <w:szCs w:val="16"/>
                    </w:rPr>
                    <w:t xml:space="preserve"> </w:t>
                  </w:r>
                  <w:r w:rsidRPr="006E50FF">
                    <w:rPr>
                      <w:sz w:val="16"/>
                      <w:szCs w:val="16"/>
                    </w:rPr>
                    <w:t>Type</w:t>
                  </w:r>
                  <w:r w:rsidRPr="006E50FF">
                    <w:rPr>
                      <w:spacing w:val="40"/>
                      <w:sz w:val="16"/>
                      <w:szCs w:val="16"/>
                    </w:rPr>
                    <w:t xml:space="preserve"> </w:t>
                  </w:r>
                  <w:r w:rsidRPr="006E50FF">
                    <w:rPr>
                      <w:sz w:val="16"/>
                      <w:szCs w:val="16"/>
                    </w:rPr>
                    <w:t>M and WM copper is prohibited.)</w:t>
                  </w:r>
                </w:p>
              </w:tc>
              <w:tc>
                <w:tcPr>
                  <w:tcW w:w="1746" w:type="dxa"/>
                  <w:tcBorders>
                    <w:right w:val="double" w:sz="6" w:space="0" w:color="000000"/>
                  </w:tcBorders>
                </w:tcPr>
                <w:p w14:paraId="07C2B4CD" w14:textId="77777777" w:rsidR="006E50FF" w:rsidRPr="006E50FF" w:rsidRDefault="006E50FF" w:rsidP="006E50FF">
                  <w:pPr>
                    <w:widowControl w:val="0"/>
                    <w:autoSpaceDE w:val="0"/>
                    <w:autoSpaceDN w:val="0"/>
                    <w:spacing w:line="17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75;</w:t>
                  </w:r>
                </w:p>
                <w:p w14:paraId="539ED425"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88;</w:t>
                  </w:r>
                </w:p>
                <w:p w14:paraId="0F3D67B6" w14:textId="77777777" w:rsidR="006E50FF" w:rsidRPr="006E50FF" w:rsidRDefault="006E50FF" w:rsidP="006E50FF">
                  <w:pPr>
                    <w:widowControl w:val="0"/>
                    <w:autoSpaceDE w:val="0"/>
                    <w:autoSpaceDN w:val="0"/>
                    <w:spacing w:line="183"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B</w:t>
                  </w:r>
                  <w:r w:rsidRPr="006E50FF">
                    <w:rPr>
                      <w:spacing w:val="-3"/>
                      <w:sz w:val="16"/>
                      <w:szCs w:val="16"/>
                    </w:rPr>
                    <w:t xml:space="preserve"> </w:t>
                  </w:r>
                  <w:r w:rsidRPr="006E50FF">
                    <w:rPr>
                      <w:spacing w:val="-4"/>
                      <w:sz w:val="16"/>
                      <w:szCs w:val="16"/>
                    </w:rPr>
                    <w:t>251;</w:t>
                  </w:r>
                </w:p>
                <w:p w14:paraId="41C0638B"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447</w:t>
                  </w:r>
                </w:p>
              </w:tc>
            </w:tr>
            <w:tr w:rsidR="006E50FF" w:rsidRPr="006E50FF" w14:paraId="6DBAACDB" w14:textId="77777777" w:rsidTr="0088638B">
              <w:trPr>
                <w:trHeight w:val="553"/>
                <w:jc w:val="center"/>
              </w:trPr>
              <w:tc>
                <w:tcPr>
                  <w:tcW w:w="5244" w:type="dxa"/>
                  <w:tcBorders>
                    <w:left w:val="double" w:sz="6" w:space="0" w:color="000000"/>
                  </w:tcBorders>
                </w:tcPr>
                <w:p w14:paraId="7DB5F5B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Cross-linked</w:t>
                  </w:r>
                  <w:r w:rsidRPr="006E50FF">
                    <w:rPr>
                      <w:spacing w:val="-9"/>
                      <w:sz w:val="16"/>
                      <w:szCs w:val="16"/>
                    </w:rPr>
                    <w:t xml:space="preserve"> </w:t>
                  </w:r>
                  <w:r w:rsidRPr="006E50FF">
                    <w:rPr>
                      <w:sz w:val="16"/>
                      <w:szCs w:val="16"/>
                    </w:rPr>
                    <w:t>polyethylene</w:t>
                  </w:r>
                  <w:r w:rsidRPr="006E50FF">
                    <w:rPr>
                      <w:spacing w:val="-8"/>
                      <w:sz w:val="16"/>
                      <w:szCs w:val="16"/>
                    </w:rPr>
                    <w:t xml:space="preserve"> </w:t>
                  </w:r>
                  <w:r w:rsidRPr="006E50FF">
                    <w:rPr>
                      <w:sz w:val="16"/>
                      <w:szCs w:val="16"/>
                    </w:rPr>
                    <w:t>(PEX)</w:t>
                  </w:r>
                  <w:r w:rsidRPr="006E50FF">
                    <w:rPr>
                      <w:spacing w:val="-9"/>
                      <w:sz w:val="16"/>
                      <w:szCs w:val="16"/>
                    </w:rPr>
                    <w:t xml:space="preserve"> </w:t>
                  </w:r>
                  <w:r w:rsidRPr="006E50FF">
                    <w:rPr>
                      <w:sz w:val="16"/>
                      <w:szCs w:val="16"/>
                    </w:rPr>
                    <w:t>plastic</w:t>
                  </w:r>
                  <w:r w:rsidRPr="006E50FF">
                    <w:rPr>
                      <w:spacing w:val="-8"/>
                      <w:sz w:val="16"/>
                      <w:szCs w:val="16"/>
                    </w:rPr>
                    <w:t xml:space="preserve"> </w:t>
                  </w:r>
                  <w:r w:rsidRPr="006E50FF">
                    <w:rPr>
                      <w:spacing w:val="-2"/>
                      <w:sz w:val="16"/>
                      <w:szCs w:val="16"/>
                    </w:rPr>
                    <w:t>tubing</w:t>
                  </w:r>
                </w:p>
              </w:tc>
              <w:tc>
                <w:tcPr>
                  <w:tcW w:w="1746" w:type="dxa"/>
                  <w:tcBorders>
                    <w:right w:val="double" w:sz="6" w:space="0" w:color="000000"/>
                  </w:tcBorders>
                </w:tcPr>
                <w:p w14:paraId="48A18FB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876;</w:t>
                  </w:r>
                </w:p>
                <w:p w14:paraId="7913CFC6" w14:textId="77777777" w:rsidR="006E50FF" w:rsidRPr="006E50FF" w:rsidRDefault="006E50FF" w:rsidP="006E50FF">
                  <w:pPr>
                    <w:widowControl w:val="0"/>
                    <w:autoSpaceDE w:val="0"/>
                    <w:autoSpaceDN w:val="0"/>
                    <w:spacing w:line="180" w:lineRule="atLeas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877;</w:t>
                  </w:r>
                  <w:r w:rsidRPr="006E50FF">
                    <w:rPr>
                      <w:spacing w:val="40"/>
                      <w:sz w:val="16"/>
                      <w:szCs w:val="16"/>
                    </w:rPr>
                    <w:t xml:space="preserve"> </w:t>
                  </w:r>
                </w:p>
                <w:p w14:paraId="0816CCC7"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B137.5</w:t>
                  </w:r>
                </w:p>
              </w:tc>
            </w:tr>
            <w:tr w:rsidR="006E50FF" w:rsidRPr="006E50FF" w14:paraId="5C8DB2F1" w14:textId="77777777" w:rsidTr="0088638B">
              <w:trPr>
                <w:trHeight w:val="551"/>
                <w:jc w:val="center"/>
              </w:trPr>
              <w:tc>
                <w:tcPr>
                  <w:tcW w:w="5244" w:type="dxa"/>
                  <w:tcBorders>
                    <w:left w:val="double" w:sz="6" w:space="0" w:color="000000"/>
                  </w:tcBorders>
                </w:tcPr>
                <w:p w14:paraId="2D864119" w14:textId="77777777" w:rsidR="006E50FF" w:rsidRPr="006E50FF" w:rsidRDefault="006E50FF" w:rsidP="006E50FF">
                  <w:pPr>
                    <w:widowControl w:val="0"/>
                    <w:autoSpaceDE w:val="0"/>
                    <w:autoSpaceDN w:val="0"/>
                    <w:spacing w:line="237" w:lineRule="auto"/>
                    <w:ind w:left="91" w:right="90"/>
                    <w:rPr>
                      <w:sz w:val="16"/>
                      <w:szCs w:val="16"/>
                    </w:rPr>
                  </w:pPr>
                  <w:r w:rsidRPr="006E50FF">
                    <w:rPr>
                      <w:sz w:val="16"/>
                      <w:szCs w:val="16"/>
                    </w:rPr>
                    <w:t>Cross-linked</w:t>
                  </w:r>
                  <w:r w:rsidRPr="006E50FF">
                    <w:rPr>
                      <w:spacing w:val="-10"/>
                      <w:sz w:val="16"/>
                      <w:szCs w:val="16"/>
                    </w:rPr>
                    <w:t xml:space="preserve"> </w:t>
                  </w:r>
                  <w:r w:rsidRPr="006E50FF">
                    <w:rPr>
                      <w:sz w:val="16"/>
                      <w:szCs w:val="16"/>
                    </w:rPr>
                    <w:t>polyethylene/aluminum/cross-linked</w:t>
                  </w:r>
                  <w:r w:rsidRPr="006E50FF">
                    <w:rPr>
                      <w:spacing w:val="-10"/>
                      <w:sz w:val="16"/>
                      <w:szCs w:val="16"/>
                    </w:rPr>
                    <w:t xml:space="preserve"> </w:t>
                  </w:r>
                  <w:r w:rsidRPr="006E50FF">
                    <w:rPr>
                      <w:sz w:val="16"/>
                      <w:szCs w:val="16"/>
                    </w:rPr>
                    <w:t>polyethylene</w:t>
                  </w:r>
                  <w:r w:rsidRPr="006E50FF">
                    <w:rPr>
                      <w:spacing w:val="40"/>
                      <w:sz w:val="16"/>
                      <w:szCs w:val="16"/>
                    </w:rPr>
                    <w:t xml:space="preserve"> </w:t>
                  </w:r>
                  <w:r w:rsidRPr="006E50FF">
                    <w:rPr>
                      <w:sz w:val="16"/>
                      <w:szCs w:val="16"/>
                    </w:rPr>
                    <w:t>(PEX-AL-PEX)</w:t>
                  </w:r>
                  <w:r w:rsidRPr="006E50FF">
                    <w:rPr>
                      <w:spacing w:val="-3"/>
                      <w:sz w:val="16"/>
                      <w:szCs w:val="16"/>
                    </w:rPr>
                    <w:t xml:space="preserve"> </w:t>
                  </w:r>
                  <w:r w:rsidRPr="006E50FF">
                    <w:rPr>
                      <w:sz w:val="16"/>
                      <w:szCs w:val="16"/>
                    </w:rPr>
                    <w:t>pipe</w:t>
                  </w:r>
                </w:p>
              </w:tc>
              <w:tc>
                <w:tcPr>
                  <w:tcW w:w="1746" w:type="dxa"/>
                  <w:tcBorders>
                    <w:right w:val="double" w:sz="6" w:space="0" w:color="000000"/>
                  </w:tcBorders>
                </w:tcPr>
                <w:p w14:paraId="127C3985"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F</w:t>
                  </w:r>
                  <w:r w:rsidRPr="006E50FF">
                    <w:rPr>
                      <w:spacing w:val="-5"/>
                      <w:sz w:val="16"/>
                      <w:szCs w:val="16"/>
                    </w:rPr>
                    <w:t xml:space="preserve"> </w:t>
                  </w:r>
                  <w:r w:rsidRPr="006E50FF">
                    <w:rPr>
                      <w:spacing w:val="-2"/>
                      <w:sz w:val="16"/>
                      <w:szCs w:val="16"/>
                    </w:rPr>
                    <w:t>1281;</w:t>
                  </w:r>
                </w:p>
                <w:p w14:paraId="42B76A33" w14:textId="77777777" w:rsidR="006E50FF" w:rsidRPr="006E50FF" w:rsidRDefault="006E50FF" w:rsidP="006E50FF">
                  <w:pPr>
                    <w:widowControl w:val="0"/>
                    <w:autoSpaceDE w:val="0"/>
                    <w:autoSpaceDN w:val="0"/>
                    <w:spacing w:line="184" w:lineRule="exact"/>
                    <w:ind w:left="91" w:right="90"/>
                    <w:rPr>
                      <w:spacing w:val="40"/>
                      <w:sz w:val="16"/>
                      <w:szCs w:val="16"/>
                    </w:rPr>
                  </w:pPr>
                  <w:r w:rsidRPr="006E50FF">
                    <w:rPr>
                      <w:sz w:val="16"/>
                      <w:szCs w:val="16"/>
                    </w:rPr>
                    <w:t>ASTM F 2262;</w:t>
                  </w:r>
                  <w:r w:rsidRPr="006E50FF">
                    <w:rPr>
                      <w:spacing w:val="40"/>
                      <w:sz w:val="16"/>
                      <w:szCs w:val="16"/>
                    </w:rPr>
                    <w:t xml:space="preserve"> </w:t>
                  </w:r>
                </w:p>
                <w:p w14:paraId="1171F9ED" w14:textId="77777777" w:rsidR="006E50FF" w:rsidRPr="006E50FF" w:rsidRDefault="006E50FF" w:rsidP="006E50FF">
                  <w:pPr>
                    <w:widowControl w:val="0"/>
                    <w:autoSpaceDE w:val="0"/>
                    <w:autoSpaceDN w:val="0"/>
                    <w:spacing w:line="184" w:lineRule="exact"/>
                    <w:ind w:left="91" w:right="90"/>
                    <w:rPr>
                      <w:sz w:val="16"/>
                      <w:szCs w:val="16"/>
                    </w:rPr>
                  </w:pPr>
                  <w:r w:rsidRPr="006E50FF">
                    <w:rPr>
                      <w:sz w:val="16"/>
                      <w:szCs w:val="16"/>
                    </w:rPr>
                    <w:t>CSA</w:t>
                  </w:r>
                  <w:r w:rsidRPr="006E50FF">
                    <w:rPr>
                      <w:spacing w:val="-10"/>
                      <w:sz w:val="16"/>
                      <w:szCs w:val="16"/>
                    </w:rPr>
                    <w:t xml:space="preserve"> </w:t>
                  </w:r>
                  <w:r w:rsidRPr="006E50FF">
                    <w:rPr>
                      <w:sz w:val="16"/>
                      <w:szCs w:val="16"/>
                    </w:rPr>
                    <w:t>B137.10M</w:t>
                  </w:r>
                </w:p>
              </w:tc>
            </w:tr>
            <w:tr w:rsidR="006E50FF" w:rsidRPr="006E50FF" w14:paraId="0D4413B6" w14:textId="77777777" w:rsidTr="0088638B">
              <w:trPr>
                <w:trHeight w:val="366"/>
                <w:jc w:val="center"/>
              </w:trPr>
              <w:tc>
                <w:tcPr>
                  <w:tcW w:w="5244" w:type="dxa"/>
                  <w:tcBorders>
                    <w:left w:val="double" w:sz="6" w:space="0" w:color="000000"/>
                  </w:tcBorders>
                </w:tcPr>
                <w:p w14:paraId="4316AA15"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Cross-linked</w:t>
                  </w:r>
                  <w:r w:rsidRPr="006E50FF">
                    <w:rPr>
                      <w:spacing w:val="-10"/>
                      <w:sz w:val="16"/>
                      <w:szCs w:val="16"/>
                    </w:rPr>
                    <w:t xml:space="preserve"> </w:t>
                  </w:r>
                  <w:r w:rsidRPr="006E50FF">
                    <w:rPr>
                      <w:sz w:val="16"/>
                      <w:szCs w:val="16"/>
                    </w:rPr>
                    <w:t>polyethylene/aluminum/high-density</w:t>
                  </w:r>
                  <w:r w:rsidRPr="006E50FF">
                    <w:rPr>
                      <w:spacing w:val="-10"/>
                      <w:sz w:val="16"/>
                      <w:szCs w:val="16"/>
                    </w:rPr>
                    <w:t xml:space="preserve"> </w:t>
                  </w:r>
                  <w:r w:rsidRPr="006E50FF">
                    <w:rPr>
                      <w:sz w:val="16"/>
                      <w:szCs w:val="16"/>
                    </w:rPr>
                    <w:t>polyethylene</w:t>
                  </w:r>
                  <w:r w:rsidRPr="006E50FF">
                    <w:rPr>
                      <w:spacing w:val="-10"/>
                      <w:sz w:val="16"/>
                      <w:szCs w:val="16"/>
                    </w:rPr>
                    <w:t xml:space="preserve"> </w:t>
                  </w:r>
                  <w:r w:rsidRPr="006E50FF">
                    <w:rPr>
                      <w:sz w:val="16"/>
                      <w:szCs w:val="16"/>
                    </w:rPr>
                    <w:t>(PEX-</w:t>
                  </w:r>
                  <w:r w:rsidRPr="006E50FF">
                    <w:rPr>
                      <w:spacing w:val="40"/>
                      <w:sz w:val="16"/>
                      <w:szCs w:val="16"/>
                    </w:rPr>
                    <w:t xml:space="preserve"> </w:t>
                  </w:r>
                  <w:r w:rsidRPr="006E50FF">
                    <w:rPr>
                      <w:spacing w:val="-2"/>
                      <w:sz w:val="16"/>
                      <w:szCs w:val="16"/>
                    </w:rPr>
                    <w:t>AL-HDPE)</w:t>
                  </w:r>
                </w:p>
              </w:tc>
              <w:tc>
                <w:tcPr>
                  <w:tcW w:w="1746" w:type="dxa"/>
                  <w:tcBorders>
                    <w:right w:val="double" w:sz="6" w:space="0" w:color="000000"/>
                  </w:tcBorders>
                </w:tcPr>
                <w:p w14:paraId="5787BBF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1986</w:t>
                  </w:r>
                </w:p>
              </w:tc>
            </w:tr>
            <w:tr w:rsidR="006E50FF" w:rsidRPr="006E50FF" w14:paraId="6A851CED" w14:textId="77777777" w:rsidTr="0088638B">
              <w:trPr>
                <w:trHeight w:val="327"/>
                <w:jc w:val="center"/>
              </w:trPr>
              <w:tc>
                <w:tcPr>
                  <w:tcW w:w="5244" w:type="dxa"/>
                  <w:tcBorders>
                    <w:left w:val="double" w:sz="6" w:space="0" w:color="000000"/>
                  </w:tcBorders>
                </w:tcPr>
                <w:p w14:paraId="07B4DA14"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Ductile</w:t>
                  </w:r>
                  <w:r w:rsidRPr="006E50FF">
                    <w:rPr>
                      <w:spacing w:val="-8"/>
                      <w:sz w:val="16"/>
                      <w:szCs w:val="16"/>
                    </w:rPr>
                    <w:t xml:space="preserve"> </w:t>
                  </w:r>
                  <w:r w:rsidRPr="006E50FF">
                    <w:rPr>
                      <w:sz w:val="16"/>
                      <w:szCs w:val="16"/>
                    </w:rPr>
                    <w:t>iron</w:t>
                  </w:r>
                  <w:r w:rsidRPr="006E50FF">
                    <w:rPr>
                      <w:spacing w:val="-5"/>
                      <w:sz w:val="16"/>
                      <w:szCs w:val="16"/>
                    </w:rPr>
                    <w:t xml:space="preserve"> </w:t>
                  </w:r>
                  <w:r w:rsidRPr="006E50FF">
                    <w:rPr>
                      <w:spacing w:val="-4"/>
                      <w:sz w:val="16"/>
                      <w:szCs w:val="16"/>
                    </w:rPr>
                    <w:t>pipe</w:t>
                  </w:r>
                </w:p>
              </w:tc>
              <w:tc>
                <w:tcPr>
                  <w:tcW w:w="1746" w:type="dxa"/>
                  <w:tcBorders>
                    <w:right w:val="double" w:sz="6" w:space="0" w:color="000000"/>
                  </w:tcBorders>
                </w:tcPr>
                <w:p w14:paraId="401EE424" w14:textId="77777777" w:rsidR="006E50FF" w:rsidRPr="006E50FF" w:rsidRDefault="006E50FF" w:rsidP="006E50FF">
                  <w:pPr>
                    <w:widowControl w:val="0"/>
                    <w:autoSpaceDE w:val="0"/>
                    <w:autoSpaceDN w:val="0"/>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C151/A21.51;</w:t>
                  </w:r>
                </w:p>
                <w:p w14:paraId="7C231FBA" w14:textId="77777777" w:rsidR="006E50FF" w:rsidRPr="006E50FF" w:rsidRDefault="006E50FF" w:rsidP="006E50FF">
                  <w:pPr>
                    <w:widowControl w:val="0"/>
                    <w:autoSpaceDE w:val="0"/>
                    <w:autoSpaceDN w:val="0"/>
                    <w:spacing w:line="182" w:lineRule="exact"/>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C115/A21.15</w:t>
                  </w:r>
                </w:p>
              </w:tc>
            </w:tr>
            <w:tr w:rsidR="006E50FF" w:rsidRPr="006E50FF" w14:paraId="4C29938B" w14:textId="77777777" w:rsidTr="0088638B">
              <w:trPr>
                <w:trHeight w:val="184"/>
                <w:jc w:val="center"/>
              </w:trPr>
              <w:tc>
                <w:tcPr>
                  <w:tcW w:w="5244" w:type="dxa"/>
                  <w:tcBorders>
                    <w:left w:val="double" w:sz="6" w:space="0" w:color="000000"/>
                  </w:tcBorders>
                </w:tcPr>
                <w:p w14:paraId="0FB3A1C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Galvanized</w:t>
                  </w:r>
                  <w:r w:rsidRPr="006E50FF">
                    <w:rPr>
                      <w:spacing w:val="-9"/>
                      <w:sz w:val="16"/>
                      <w:szCs w:val="16"/>
                    </w:rPr>
                    <w:t xml:space="preserve"> </w:t>
                  </w:r>
                  <w:r w:rsidRPr="006E50FF">
                    <w:rPr>
                      <w:sz w:val="16"/>
                      <w:szCs w:val="16"/>
                    </w:rPr>
                    <w:t>steel</w:t>
                  </w:r>
                  <w:r w:rsidRPr="006E50FF">
                    <w:rPr>
                      <w:spacing w:val="-7"/>
                      <w:sz w:val="16"/>
                      <w:szCs w:val="16"/>
                    </w:rPr>
                    <w:t xml:space="preserve"> </w:t>
                  </w:r>
                  <w:r w:rsidRPr="006E50FF">
                    <w:rPr>
                      <w:spacing w:val="-4"/>
                      <w:sz w:val="16"/>
                      <w:szCs w:val="16"/>
                    </w:rPr>
                    <w:t>pipe</w:t>
                  </w:r>
                </w:p>
              </w:tc>
              <w:tc>
                <w:tcPr>
                  <w:tcW w:w="1746" w:type="dxa"/>
                  <w:tcBorders>
                    <w:right w:val="double" w:sz="6" w:space="0" w:color="000000"/>
                  </w:tcBorders>
                </w:tcPr>
                <w:p w14:paraId="7951A4B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53</w:t>
                  </w:r>
                </w:p>
              </w:tc>
            </w:tr>
            <w:tr w:rsidR="006E50FF" w:rsidRPr="006E50FF" w14:paraId="653741BE" w14:textId="77777777" w:rsidTr="0088638B">
              <w:trPr>
                <w:trHeight w:val="368"/>
                <w:jc w:val="center"/>
              </w:trPr>
              <w:tc>
                <w:tcPr>
                  <w:tcW w:w="5244" w:type="dxa"/>
                  <w:tcBorders>
                    <w:left w:val="double" w:sz="6" w:space="0" w:color="000000"/>
                  </w:tcBorders>
                </w:tcPr>
                <w:p w14:paraId="720E0DD7"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p w14:paraId="2035E2D9"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(PE-AL-PE)</w:t>
                  </w:r>
                  <w:r w:rsidRPr="006E50FF">
                    <w:rPr>
                      <w:spacing w:val="-9"/>
                      <w:sz w:val="16"/>
                      <w:szCs w:val="16"/>
                    </w:rPr>
                    <w:t xml:space="preserve"> </w:t>
                  </w:r>
                  <w:r w:rsidRPr="006E50FF">
                    <w:rPr>
                      <w:sz w:val="16"/>
                      <w:szCs w:val="16"/>
                    </w:rPr>
                    <w:t>composite</w:t>
                  </w:r>
                  <w:r w:rsidRPr="006E50FF">
                    <w:rPr>
                      <w:spacing w:val="-8"/>
                      <w:sz w:val="16"/>
                      <w:szCs w:val="16"/>
                    </w:rPr>
                    <w:t xml:space="preserve"> </w:t>
                  </w:r>
                  <w:r w:rsidRPr="006E50FF">
                    <w:rPr>
                      <w:spacing w:val="-4"/>
                      <w:sz w:val="16"/>
                      <w:szCs w:val="16"/>
                    </w:rPr>
                    <w:t>pipe</w:t>
                  </w:r>
                </w:p>
              </w:tc>
              <w:tc>
                <w:tcPr>
                  <w:tcW w:w="1746" w:type="dxa"/>
                  <w:tcBorders>
                    <w:right w:val="double" w:sz="6" w:space="0" w:color="000000"/>
                  </w:tcBorders>
                </w:tcPr>
                <w:p w14:paraId="4E4C6E7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1282</w:t>
                  </w:r>
                </w:p>
              </w:tc>
            </w:tr>
            <w:tr w:rsidR="006E50FF" w:rsidRPr="006E50FF" w14:paraId="575D9CEF" w14:textId="77777777" w:rsidTr="0088638B">
              <w:trPr>
                <w:trHeight w:val="184"/>
                <w:jc w:val="center"/>
              </w:trPr>
              <w:tc>
                <w:tcPr>
                  <w:tcW w:w="5244" w:type="dxa"/>
                  <w:tcBorders>
                    <w:left w:val="double" w:sz="6" w:space="0" w:color="000000"/>
                  </w:tcBorders>
                </w:tcPr>
                <w:p w14:paraId="13E206C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Polyethylene</w:t>
                  </w:r>
                  <w:r w:rsidRPr="006E50FF">
                    <w:rPr>
                      <w:spacing w:val="-8"/>
                      <w:sz w:val="16"/>
                      <w:szCs w:val="16"/>
                    </w:rPr>
                    <w:t xml:space="preserve"> </w:t>
                  </w:r>
                  <w:r w:rsidRPr="006E50FF">
                    <w:rPr>
                      <w:sz w:val="16"/>
                      <w:szCs w:val="16"/>
                    </w:rPr>
                    <w:t>of</w:t>
                  </w:r>
                  <w:r w:rsidRPr="006E50FF">
                    <w:rPr>
                      <w:spacing w:val="-6"/>
                      <w:sz w:val="16"/>
                      <w:szCs w:val="16"/>
                    </w:rPr>
                    <w:t xml:space="preserve"> </w:t>
                  </w:r>
                  <w:r w:rsidRPr="006E50FF">
                    <w:rPr>
                      <w:sz w:val="16"/>
                      <w:szCs w:val="16"/>
                    </w:rPr>
                    <w:t>raised</w:t>
                  </w:r>
                  <w:r w:rsidRPr="006E50FF">
                    <w:rPr>
                      <w:spacing w:val="-5"/>
                      <w:sz w:val="16"/>
                      <w:szCs w:val="16"/>
                    </w:rPr>
                    <w:t xml:space="preserve"> </w:t>
                  </w:r>
                  <w:r w:rsidRPr="006E50FF">
                    <w:rPr>
                      <w:sz w:val="16"/>
                      <w:szCs w:val="16"/>
                    </w:rPr>
                    <w:t>temperature</w:t>
                  </w:r>
                  <w:r w:rsidRPr="006E50FF">
                    <w:rPr>
                      <w:spacing w:val="-8"/>
                      <w:sz w:val="16"/>
                      <w:szCs w:val="16"/>
                    </w:rPr>
                    <w:t xml:space="preserve"> </w:t>
                  </w:r>
                  <w:r w:rsidRPr="006E50FF">
                    <w:rPr>
                      <w:sz w:val="16"/>
                      <w:szCs w:val="16"/>
                    </w:rPr>
                    <w:t>(PE-RT)</w:t>
                  </w:r>
                  <w:r w:rsidRPr="006E50FF">
                    <w:rPr>
                      <w:spacing w:val="-6"/>
                      <w:sz w:val="16"/>
                      <w:szCs w:val="16"/>
                    </w:rPr>
                    <w:t xml:space="preserve"> </w:t>
                  </w:r>
                  <w:r w:rsidRPr="006E50FF">
                    <w:rPr>
                      <w:sz w:val="16"/>
                      <w:szCs w:val="16"/>
                    </w:rPr>
                    <w:t>plastic</w:t>
                  </w:r>
                  <w:r w:rsidRPr="006E50FF">
                    <w:rPr>
                      <w:spacing w:val="-7"/>
                      <w:sz w:val="16"/>
                      <w:szCs w:val="16"/>
                    </w:rPr>
                    <w:t xml:space="preserve"> </w:t>
                  </w:r>
                  <w:r w:rsidRPr="006E50FF">
                    <w:rPr>
                      <w:spacing w:val="-2"/>
                      <w:sz w:val="16"/>
                      <w:szCs w:val="16"/>
                    </w:rPr>
                    <w:t>tubing</w:t>
                  </w:r>
                </w:p>
              </w:tc>
              <w:tc>
                <w:tcPr>
                  <w:tcW w:w="1746" w:type="dxa"/>
                  <w:tcBorders>
                    <w:right w:val="double" w:sz="6" w:space="0" w:color="000000"/>
                  </w:tcBorders>
                </w:tcPr>
                <w:p w14:paraId="612B5B62"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2769</w:t>
                  </w:r>
                </w:p>
              </w:tc>
            </w:tr>
            <w:tr w:rsidR="006E50FF" w:rsidRPr="006E50FF" w14:paraId="0865B418" w14:textId="77777777" w:rsidTr="0088638B">
              <w:trPr>
                <w:trHeight w:val="366"/>
                <w:jc w:val="center"/>
              </w:trPr>
              <w:tc>
                <w:tcPr>
                  <w:tcW w:w="5244" w:type="dxa"/>
                  <w:tcBorders>
                    <w:left w:val="double" w:sz="6" w:space="0" w:color="000000"/>
                  </w:tcBorders>
                </w:tcPr>
                <w:p w14:paraId="3D5A70F7"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Polypropylene</w:t>
                  </w:r>
                  <w:r w:rsidRPr="006E50FF">
                    <w:rPr>
                      <w:spacing w:val="-7"/>
                      <w:sz w:val="16"/>
                      <w:szCs w:val="16"/>
                    </w:rPr>
                    <w:t xml:space="preserve"> </w:t>
                  </w:r>
                  <w:r w:rsidRPr="006E50FF">
                    <w:rPr>
                      <w:sz w:val="16"/>
                      <w:szCs w:val="16"/>
                    </w:rPr>
                    <w:t>(PP)</w:t>
                  </w:r>
                  <w:r w:rsidRPr="006E50FF">
                    <w:rPr>
                      <w:spacing w:val="-5"/>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6"/>
                      <w:sz w:val="16"/>
                      <w:szCs w:val="16"/>
                    </w:rPr>
                    <w:t xml:space="preserve"> </w:t>
                  </w:r>
                  <w:r w:rsidRPr="006E50FF">
                    <w:rPr>
                      <w:sz w:val="16"/>
                      <w:szCs w:val="16"/>
                    </w:rPr>
                    <w:t>or</w:t>
                  </w:r>
                  <w:r w:rsidRPr="006E50FF">
                    <w:rPr>
                      <w:spacing w:val="-5"/>
                      <w:sz w:val="16"/>
                      <w:szCs w:val="16"/>
                    </w:rPr>
                    <w:t xml:space="preserve"> </w:t>
                  </w:r>
                  <w:r w:rsidRPr="006E50FF">
                    <w:rPr>
                      <w:spacing w:val="-2"/>
                      <w:sz w:val="16"/>
                      <w:szCs w:val="16"/>
                    </w:rPr>
                    <w:t>tubing</w:t>
                  </w:r>
                </w:p>
              </w:tc>
              <w:tc>
                <w:tcPr>
                  <w:tcW w:w="1746" w:type="dxa"/>
                  <w:tcBorders>
                    <w:right w:val="double" w:sz="6" w:space="0" w:color="000000"/>
                  </w:tcBorders>
                </w:tcPr>
                <w:p w14:paraId="51AC7C09"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2389;</w:t>
                  </w:r>
                  <w:r w:rsidRPr="006E50FF">
                    <w:rPr>
                      <w:spacing w:val="40"/>
                      <w:sz w:val="16"/>
                      <w:szCs w:val="16"/>
                    </w:rPr>
                    <w:t xml:space="preserve"> </w:t>
                  </w:r>
                </w:p>
                <w:p w14:paraId="611F49F9"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B137.11</w:t>
                  </w:r>
                </w:p>
              </w:tc>
            </w:tr>
            <w:tr w:rsidR="006E50FF" w:rsidRPr="006E50FF" w14:paraId="3C95D75C" w14:textId="77777777" w:rsidTr="0088638B">
              <w:trPr>
                <w:trHeight w:val="369"/>
                <w:jc w:val="center"/>
              </w:trPr>
              <w:tc>
                <w:tcPr>
                  <w:tcW w:w="5244" w:type="dxa"/>
                  <w:tcBorders>
                    <w:left w:val="double" w:sz="6" w:space="0" w:color="000000"/>
                  </w:tcBorders>
                </w:tcPr>
                <w:p w14:paraId="40BAC001"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304/304L)</w:t>
                  </w:r>
                </w:p>
              </w:tc>
              <w:tc>
                <w:tcPr>
                  <w:tcW w:w="1746" w:type="dxa"/>
                  <w:tcBorders>
                    <w:right w:val="double" w:sz="6" w:space="0" w:color="000000"/>
                  </w:tcBorders>
                </w:tcPr>
                <w:p w14:paraId="5764C48C"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4FD51510"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r w:rsidR="006E50FF" w:rsidRPr="006E50FF" w14:paraId="3E8B9648" w14:textId="77777777" w:rsidTr="0088638B">
              <w:trPr>
                <w:trHeight w:val="368"/>
                <w:jc w:val="center"/>
              </w:trPr>
              <w:tc>
                <w:tcPr>
                  <w:tcW w:w="5244" w:type="dxa"/>
                  <w:tcBorders>
                    <w:left w:val="double" w:sz="6" w:space="0" w:color="000000"/>
                    <w:bottom w:val="double" w:sz="6" w:space="0" w:color="000000"/>
                  </w:tcBorders>
                </w:tcPr>
                <w:p w14:paraId="5B73C860"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316/316L)</w:t>
                  </w:r>
                </w:p>
              </w:tc>
              <w:tc>
                <w:tcPr>
                  <w:tcW w:w="1746" w:type="dxa"/>
                  <w:tcBorders>
                    <w:bottom w:val="double" w:sz="6" w:space="0" w:color="000000"/>
                    <w:right w:val="double" w:sz="6" w:space="0" w:color="000000"/>
                  </w:tcBorders>
                </w:tcPr>
                <w:p w14:paraId="03DAF08F"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014B3DB9" w14:textId="77777777" w:rsidR="006E50FF" w:rsidRPr="006E50FF" w:rsidRDefault="006E50FF" w:rsidP="006E50FF">
                  <w:pPr>
                    <w:widowControl w:val="0"/>
                    <w:autoSpaceDE w:val="0"/>
                    <w:autoSpaceDN w:val="0"/>
                    <w:spacing w:line="16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bl>
          <w:p w14:paraId="0C112B37" w14:textId="77777777" w:rsidR="006E50FF" w:rsidRPr="006E50FF" w:rsidRDefault="006E50FF" w:rsidP="006E50FF">
            <w:pPr>
              <w:widowControl w:val="0"/>
              <w:autoSpaceDE w:val="0"/>
              <w:autoSpaceDN w:val="0"/>
              <w:ind w:left="91" w:right="90"/>
              <w:rPr>
                <w:sz w:val="16"/>
                <w:szCs w:val="16"/>
              </w:rPr>
            </w:pPr>
          </w:p>
          <w:p w14:paraId="09B3A0DF" w14:textId="77777777" w:rsidR="006E50FF" w:rsidRPr="006E50FF" w:rsidRDefault="006E50FF" w:rsidP="006E50FF">
            <w:pPr>
              <w:widowControl w:val="0"/>
              <w:autoSpaceDE w:val="0"/>
              <w:autoSpaceDN w:val="0"/>
              <w:ind w:left="91" w:right="90"/>
              <w:rPr>
                <w:sz w:val="16"/>
                <w:szCs w:val="16"/>
              </w:rPr>
            </w:pPr>
          </w:p>
        </w:tc>
      </w:tr>
      <w:tr w:rsidR="006E50FF" w:rsidRPr="006E50FF" w14:paraId="0AB2B9B5" w14:textId="77777777" w:rsidTr="0088638B">
        <w:trPr>
          <w:trHeight w:val="187"/>
        </w:trPr>
        <w:tc>
          <w:tcPr>
            <w:tcW w:w="1072" w:type="dxa"/>
          </w:tcPr>
          <w:p w14:paraId="6BFEEFCA" w14:textId="77777777" w:rsidR="006E50FF" w:rsidRPr="006E50FF" w:rsidRDefault="006E50FF" w:rsidP="006E50FF">
            <w:pPr>
              <w:widowControl w:val="0"/>
              <w:autoSpaceDE w:val="0"/>
              <w:autoSpaceDN w:val="0"/>
              <w:rPr>
                <w:sz w:val="16"/>
                <w:szCs w:val="16"/>
              </w:rPr>
            </w:pPr>
            <w:r w:rsidRPr="006E50FF">
              <w:rPr>
                <w:spacing w:val="-2"/>
                <w:sz w:val="16"/>
                <w:szCs w:val="16"/>
              </w:rPr>
              <w:lastRenderedPageBreak/>
              <w:t>Amend</w:t>
            </w:r>
          </w:p>
        </w:tc>
        <w:tc>
          <w:tcPr>
            <w:tcW w:w="2415" w:type="dxa"/>
            <w:gridSpan w:val="2"/>
          </w:tcPr>
          <w:p w14:paraId="2E42124B" w14:textId="77777777" w:rsidR="006E50FF" w:rsidRPr="006E50FF" w:rsidRDefault="006E50FF" w:rsidP="006E50FF">
            <w:pPr>
              <w:widowControl w:val="0"/>
              <w:autoSpaceDE w:val="0"/>
              <w:autoSpaceDN w:val="0"/>
              <w:ind w:left="91"/>
              <w:rPr>
                <w:sz w:val="16"/>
                <w:szCs w:val="16"/>
              </w:rPr>
            </w:pPr>
            <w:r w:rsidRPr="006E50FF">
              <w:rPr>
                <w:sz w:val="16"/>
                <w:szCs w:val="16"/>
              </w:rPr>
              <w:t>Section</w:t>
            </w:r>
            <w:r w:rsidRPr="006E50FF">
              <w:rPr>
                <w:spacing w:val="-9"/>
                <w:sz w:val="16"/>
                <w:szCs w:val="16"/>
              </w:rPr>
              <w:t xml:space="preserve"> </w:t>
            </w:r>
            <w:r w:rsidRPr="006E50FF">
              <w:rPr>
                <w:sz w:val="16"/>
                <w:szCs w:val="16"/>
              </w:rPr>
              <w:t>605.5,</w:t>
            </w:r>
            <w:r w:rsidRPr="006E50FF">
              <w:rPr>
                <w:spacing w:val="-4"/>
                <w:sz w:val="16"/>
                <w:szCs w:val="16"/>
              </w:rPr>
              <w:t xml:space="preserve"> </w:t>
            </w:r>
            <w:r w:rsidRPr="006E50FF">
              <w:rPr>
                <w:spacing w:val="-2"/>
                <w:sz w:val="16"/>
                <w:szCs w:val="16"/>
              </w:rPr>
              <w:t>Fittings.</w:t>
            </w:r>
          </w:p>
        </w:tc>
        <w:tc>
          <w:tcPr>
            <w:tcW w:w="7043" w:type="dxa"/>
            <w:gridSpan w:val="2"/>
          </w:tcPr>
          <w:p w14:paraId="37C48F1A" w14:textId="77777777" w:rsidR="006E50FF" w:rsidRPr="006E50FF" w:rsidRDefault="006E50FF" w:rsidP="006E50FF">
            <w:pPr>
              <w:widowControl w:val="0"/>
              <w:autoSpaceDE w:val="0"/>
              <w:autoSpaceDN w:val="0"/>
              <w:spacing w:line="242" w:lineRule="auto"/>
              <w:ind w:left="91" w:right="90"/>
              <w:rPr>
                <w:sz w:val="16"/>
                <w:szCs w:val="16"/>
              </w:rPr>
            </w:pPr>
            <w:r w:rsidRPr="006E50FF">
              <w:rPr>
                <w:sz w:val="16"/>
                <w:szCs w:val="16"/>
              </w:rPr>
              <w:t>Pipe fittings shall be approved for installation with the piping material installed and shall comply with the</w:t>
            </w:r>
            <w:r w:rsidRPr="006E50FF">
              <w:rPr>
                <w:spacing w:val="40"/>
                <w:sz w:val="16"/>
                <w:szCs w:val="16"/>
              </w:rPr>
              <w:t xml:space="preserve"> </w:t>
            </w:r>
            <w:r w:rsidRPr="006E50FF">
              <w:rPr>
                <w:sz w:val="16"/>
                <w:szCs w:val="16"/>
              </w:rPr>
              <w:t>applicable</w:t>
            </w:r>
            <w:r w:rsidRPr="006E50FF">
              <w:rPr>
                <w:spacing w:val="-4"/>
                <w:sz w:val="16"/>
                <w:szCs w:val="16"/>
              </w:rPr>
              <w:t xml:space="preserve"> </w:t>
            </w:r>
            <w:r w:rsidRPr="006E50FF">
              <w:rPr>
                <w:sz w:val="16"/>
                <w:szCs w:val="16"/>
              </w:rPr>
              <w:t>standards</w:t>
            </w:r>
            <w:r w:rsidRPr="006E50FF">
              <w:rPr>
                <w:spacing w:val="-2"/>
                <w:sz w:val="16"/>
                <w:szCs w:val="16"/>
              </w:rPr>
              <w:t xml:space="preserve"> </w:t>
            </w:r>
            <w:r w:rsidRPr="006E50FF">
              <w:rPr>
                <w:sz w:val="16"/>
                <w:szCs w:val="16"/>
              </w:rPr>
              <w:t>listed</w:t>
            </w:r>
            <w:r w:rsidRPr="006E50FF">
              <w:rPr>
                <w:spacing w:val="-3"/>
                <w:sz w:val="16"/>
                <w:szCs w:val="16"/>
              </w:rPr>
              <w:t xml:space="preserve"> </w:t>
            </w:r>
            <w:r w:rsidRPr="006E50FF">
              <w:rPr>
                <w:sz w:val="16"/>
                <w:szCs w:val="16"/>
              </w:rPr>
              <w:t>in</w:t>
            </w:r>
            <w:r w:rsidRPr="006E50FF">
              <w:rPr>
                <w:spacing w:val="-1"/>
                <w:sz w:val="16"/>
                <w:szCs w:val="16"/>
              </w:rPr>
              <w:t xml:space="preserve"> </w:t>
            </w:r>
            <w:r w:rsidRPr="006E50FF">
              <w:rPr>
                <w:sz w:val="16"/>
                <w:szCs w:val="16"/>
              </w:rPr>
              <w:t>Table</w:t>
            </w:r>
            <w:r w:rsidRPr="006E50FF">
              <w:rPr>
                <w:spacing w:val="-4"/>
                <w:sz w:val="16"/>
                <w:szCs w:val="16"/>
              </w:rPr>
              <w:t xml:space="preserve"> </w:t>
            </w:r>
            <w:r w:rsidRPr="006E50FF">
              <w:rPr>
                <w:sz w:val="16"/>
                <w:szCs w:val="16"/>
              </w:rPr>
              <w:t>605.5.</w:t>
            </w:r>
            <w:r w:rsidRPr="006E50FF">
              <w:rPr>
                <w:spacing w:val="-1"/>
                <w:sz w:val="16"/>
                <w:szCs w:val="16"/>
              </w:rPr>
              <w:t xml:space="preserve"> </w:t>
            </w:r>
            <w:r w:rsidRPr="006E50FF">
              <w:rPr>
                <w:sz w:val="16"/>
                <w:szCs w:val="16"/>
              </w:rPr>
              <w:t>Pipe</w:t>
            </w:r>
            <w:r w:rsidRPr="006E50FF">
              <w:rPr>
                <w:spacing w:val="-4"/>
                <w:sz w:val="16"/>
                <w:szCs w:val="16"/>
              </w:rPr>
              <w:t xml:space="preserve"> </w:t>
            </w:r>
            <w:r w:rsidRPr="006E50FF">
              <w:rPr>
                <w:sz w:val="16"/>
                <w:szCs w:val="16"/>
              </w:rPr>
              <w:t>fittings</w:t>
            </w:r>
            <w:r w:rsidRPr="006E50FF">
              <w:rPr>
                <w:spacing w:val="-4"/>
                <w:sz w:val="16"/>
                <w:szCs w:val="16"/>
              </w:rPr>
              <w:t xml:space="preserve"> </w:t>
            </w:r>
            <w:r w:rsidRPr="006E50FF">
              <w:rPr>
                <w:sz w:val="16"/>
                <w:szCs w:val="16"/>
              </w:rPr>
              <w:t>utilized</w:t>
            </w:r>
            <w:r w:rsidRPr="006E50FF">
              <w:rPr>
                <w:spacing w:val="-1"/>
                <w:sz w:val="16"/>
                <w:szCs w:val="16"/>
              </w:rPr>
              <w:t xml:space="preserve"> </w:t>
            </w:r>
            <w:r w:rsidRPr="006E50FF">
              <w:rPr>
                <w:sz w:val="16"/>
                <w:szCs w:val="16"/>
              </w:rPr>
              <w:t>in</w:t>
            </w:r>
            <w:r w:rsidRPr="006E50FF">
              <w:rPr>
                <w:spacing w:val="-1"/>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r w:rsidRPr="006E50FF">
              <w:rPr>
                <w:spacing w:val="-5"/>
                <w:sz w:val="16"/>
                <w:szCs w:val="16"/>
              </w:rPr>
              <w:t xml:space="preserve"> </w:t>
            </w:r>
            <w:r w:rsidRPr="006E50FF">
              <w:rPr>
                <w:sz w:val="16"/>
                <w:szCs w:val="16"/>
              </w:rPr>
              <w:t>systems</w:t>
            </w:r>
            <w:r w:rsidRPr="006E50FF">
              <w:rPr>
                <w:spacing w:val="-2"/>
                <w:sz w:val="16"/>
                <w:szCs w:val="16"/>
              </w:rPr>
              <w:t xml:space="preserve"> </w:t>
            </w:r>
            <w:r w:rsidRPr="006E50FF">
              <w:rPr>
                <w:sz w:val="16"/>
                <w:szCs w:val="16"/>
              </w:rPr>
              <w:t>shall</w:t>
            </w:r>
            <w:r w:rsidRPr="006E50FF">
              <w:rPr>
                <w:spacing w:val="-3"/>
                <w:sz w:val="16"/>
                <w:szCs w:val="16"/>
              </w:rPr>
              <w:t xml:space="preserve"> </w:t>
            </w:r>
            <w:r w:rsidRPr="006E50FF">
              <w:rPr>
                <w:sz w:val="16"/>
                <w:szCs w:val="16"/>
              </w:rPr>
              <w:t>also</w:t>
            </w:r>
            <w:r w:rsidRPr="006E50FF">
              <w:rPr>
                <w:spacing w:val="-3"/>
                <w:sz w:val="16"/>
                <w:szCs w:val="16"/>
              </w:rPr>
              <w:t xml:space="preserve"> </w:t>
            </w:r>
            <w:r w:rsidRPr="006E50FF">
              <w:rPr>
                <w:sz w:val="16"/>
                <w:szCs w:val="16"/>
              </w:rPr>
              <w:t>comply</w:t>
            </w:r>
            <w:r w:rsidRPr="006E50FF">
              <w:rPr>
                <w:spacing w:val="-3"/>
                <w:sz w:val="16"/>
                <w:szCs w:val="16"/>
              </w:rPr>
              <w:t xml:space="preserve"> </w:t>
            </w:r>
            <w:r w:rsidRPr="006E50FF">
              <w:rPr>
                <w:sz w:val="16"/>
                <w:szCs w:val="16"/>
              </w:rPr>
              <w:t>with</w:t>
            </w:r>
            <w:r w:rsidRPr="006E50FF">
              <w:rPr>
                <w:spacing w:val="-3"/>
                <w:sz w:val="16"/>
                <w:szCs w:val="16"/>
              </w:rPr>
              <w:t xml:space="preserve"> </w:t>
            </w:r>
            <w:r w:rsidRPr="006E50FF">
              <w:rPr>
                <w:sz w:val="16"/>
                <w:szCs w:val="16"/>
              </w:rPr>
              <w:t>NSF 61. Ductile</w:t>
            </w:r>
            <w:r w:rsidRPr="006E50FF">
              <w:rPr>
                <w:spacing w:val="-2"/>
                <w:sz w:val="16"/>
                <w:szCs w:val="16"/>
              </w:rPr>
              <w:t xml:space="preserve"> </w:t>
            </w:r>
            <w:r w:rsidRPr="006E50FF">
              <w:rPr>
                <w:sz w:val="16"/>
                <w:szCs w:val="16"/>
              </w:rPr>
              <w:t>and gray</w:t>
            </w:r>
            <w:r w:rsidRPr="006E50FF">
              <w:rPr>
                <w:spacing w:val="-3"/>
                <w:sz w:val="16"/>
                <w:szCs w:val="16"/>
              </w:rPr>
              <w:t xml:space="preserve"> </w:t>
            </w:r>
            <w:r w:rsidRPr="006E50FF">
              <w:rPr>
                <w:sz w:val="16"/>
                <w:szCs w:val="16"/>
              </w:rPr>
              <w:t>iron</w:t>
            </w:r>
            <w:r w:rsidRPr="006E50FF">
              <w:rPr>
                <w:spacing w:val="-1"/>
                <w:sz w:val="16"/>
                <w:szCs w:val="16"/>
              </w:rPr>
              <w:t xml:space="preserve"> </w:t>
            </w:r>
            <w:r w:rsidRPr="006E50FF">
              <w:rPr>
                <w:sz w:val="16"/>
                <w:szCs w:val="16"/>
              </w:rPr>
              <w:t>pipe</w:t>
            </w:r>
            <w:r w:rsidRPr="006E50FF">
              <w:rPr>
                <w:spacing w:val="-2"/>
                <w:sz w:val="16"/>
                <w:szCs w:val="16"/>
              </w:rPr>
              <w:t xml:space="preserve"> </w:t>
            </w:r>
            <w:r w:rsidRPr="006E50FF">
              <w:rPr>
                <w:sz w:val="16"/>
                <w:szCs w:val="16"/>
              </w:rPr>
              <w:t>fittings</w:t>
            </w:r>
            <w:r w:rsidRPr="006E50FF">
              <w:rPr>
                <w:spacing w:val="-2"/>
                <w:sz w:val="16"/>
                <w:szCs w:val="16"/>
              </w:rPr>
              <w:t xml:space="preserve"> </w:t>
            </w:r>
            <w:r w:rsidRPr="006E50FF">
              <w:rPr>
                <w:sz w:val="16"/>
                <w:szCs w:val="16"/>
              </w:rPr>
              <w:t>shall</w:t>
            </w:r>
            <w:r w:rsidRPr="006E50FF">
              <w:rPr>
                <w:spacing w:val="-1"/>
                <w:sz w:val="16"/>
                <w:szCs w:val="16"/>
              </w:rPr>
              <w:t xml:space="preserve"> </w:t>
            </w:r>
            <w:r w:rsidRPr="006E50FF">
              <w:rPr>
                <w:sz w:val="16"/>
                <w:szCs w:val="16"/>
              </w:rPr>
              <w:t>be</w:t>
            </w:r>
            <w:r w:rsidRPr="006E50FF">
              <w:rPr>
                <w:spacing w:val="-2"/>
                <w:sz w:val="16"/>
                <w:szCs w:val="16"/>
              </w:rPr>
              <w:t xml:space="preserve"> </w:t>
            </w:r>
            <w:r w:rsidRPr="006E50FF">
              <w:rPr>
                <w:sz w:val="16"/>
                <w:szCs w:val="16"/>
              </w:rPr>
              <w:t>cement</w:t>
            </w:r>
            <w:r w:rsidRPr="006E50FF">
              <w:rPr>
                <w:spacing w:val="-1"/>
                <w:sz w:val="16"/>
                <w:szCs w:val="16"/>
              </w:rPr>
              <w:t xml:space="preserve"> </w:t>
            </w:r>
            <w:r w:rsidRPr="006E50FF">
              <w:rPr>
                <w:sz w:val="16"/>
                <w:szCs w:val="16"/>
              </w:rPr>
              <w:t>mortar</w:t>
            </w:r>
            <w:r w:rsidRPr="006E50FF">
              <w:rPr>
                <w:spacing w:val="-1"/>
                <w:sz w:val="16"/>
                <w:szCs w:val="16"/>
              </w:rPr>
              <w:t xml:space="preserve"> </w:t>
            </w:r>
            <w:r w:rsidRPr="006E50FF">
              <w:rPr>
                <w:sz w:val="16"/>
                <w:szCs w:val="16"/>
              </w:rPr>
              <w:t>lined</w:t>
            </w:r>
            <w:r w:rsidRPr="006E50FF">
              <w:rPr>
                <w:spacing w:val="-1"/>
                <w:sz w:val="16"/>
                <w:szCs w:val="16"/>
              </w:rPr>
              <w:t xml:space="preserve"> </w:t>
            </w:r>
            <w:r w:rsidRPr="006E50FF">
              <w:rPr>
                <w:sz w:val="16"/>
                <w:szCs w:val="16"/>
              </w:rPr>
              <w:t>in</w:t>
            </w:r>
            <w:r w:rsidRPr="006E50FF">
              <w:rPr>
                <w:spacing w:val="-1"/>
                <w:sz w:val="16"/>
                <w:szCs w:val="16"/>
              </w:rPr>
              <w:t xml:space="preserve"> </w:t>
            </w:r>
            <w:r w:rsidRPr="006E50FF">
              <w:rPr>
                <w:sz w:val="16"/>
                <w:szCs w:val="16"/>
              </w:rPr>
              <w:t>accordance</w:t>
            </w:r>
            <w:r w:rsidRPr="006E50FF">
              <w:rPr>
                <w:spacing w:val="-2"/>
                <w:sz w:val="16"/>
                <w:szCs w:val="16"/>
              </w:rPr>
              <w:t xml:space="preserve"> </w:t>
            </w:r>
            <w:r w:rsidRPr="006E50FF">
              <w:rPr>
                <w:sz w:val="16"/>
                <w:szCs w:val="16"/>
              </w:rPr>
              <w:t>with AWWA</w:t>
            </w:r>
            <w:r w:rsidRPr="006E50FF">
              <w:rPr>
                <w:spacing w:val="-3"/>
                <w:sz w:val="16"/>
                <w:szCs w:val="16"/>
              </w:rPr>
              <w:t xml:space="preserve"> </w:t>
            </w:r>
            <w:r w:rsidRPr="006E50FF">
              <w:rPr>
                <w:sz w:val="16"/>
                <w:szCs w:val="16"/>
              </w:rPr>
              <w:t>C104/A21.4.</w:t>
            </w:r>
            <w:r w:rsidRPr="006E50FF">
              <w:rPr>
                <w:spacing w:val="40"/>
                <w:sz w:val="16"/>
                <w:szCs w:val="16"/>
              </w:rPr>
              <w:t xml:space="preserve"> </w:t>
            </w:r>
            <w:r w:rsidRPr="006E50FF">
              <w:rPr>
                <w:sz w:val="16"/>
                <w:szCs w:val="16"/>
              </w:rPr>
              <w:t>All</w:t>
            </w:r>
            <w:r w:rsidRPr="006E50FF">
              <w:rPr>
                <w:spacing w:val="40"/>
                <w:sz w:val="16"/>
                <w:szCs w:val="16"/>
              </w:rPr>
              <w:t xml:space="preserve"> </w:t>
            </w:r>
            <w:r w:rsidRPr="006E50FF">
              <w:rPr>
                <w:sz w:val="16"/>
                <w:szCs w:val="16"/>
              </w:rPr>
              <w:t>copper,</w:t>
            </w:r>
            <w:r w:rsidRPr="006E50FF">
              <w:rPr>
                <w:spacing w:val="-8"/>
                <w:sz w:val="16"/>
                <w:szCs w:val="16"/>
              </w:rPr>
              <w:t xml:space="preserve"> </w:t>
            </w:r>
            <w:r w:rsidRPr="006E50FF">
              <w:rPr>
                <w:sz w:val="16"/>
                <w:szCs w:val="16"/>
              </w:rPr>
              <w:t>brass</w:t>
            </w:r>
            <w:r w:rsidRPr="006E50FF">
              <w:rPr>
                <w:spacing w:val="-7"/>
                <w:sz w:val="16"/>
                <w:szCs w:val="16"/>
              </w:rPr>
              <w:t xml:space="preserve"> </w:t>
            </w:r>
            <w:r w:rsidRPr="006E50FF">
              <w:rPr>
                <w:sz w:val="16"/>
                <w:szCs w:val="16"/>
              </w:rPr>
              <w:t>and</w:t>
            </w:r>
            <w:r w:rsidRPr="006E50FF">
              <w:rPr>
                <w:spacing w:val="-5"/>
                <w:sz w:val="16"/>
                <w:szCs w:val="16"/>
              </w:rPr>
              <w:t xml:space="preserve"> </w:t>
            </w:r>
            <w:r w:rsidRPr="006E50FF">
              <w:rPr>
                <w:sz w:val="16"/>
                <w:szCs w:val="16"/>
              </w:rPr>
              <w:t>stainless</w:t>
            </w:r>
            <w:r w:rsidRPr="006E50FF">
              <w:rPr>
                <w:spacing w:val="-4"/>
                <w:sz w:val="16"/>
                <w:szCs w:val="16"/>
              </w:rPr>
              <w:t xml:space="preserve"> </w:t>
            </w:r>
            <w:r w:rsidRPr="006E50FF">
              <w:rPr>
                <w:sz w:val="16"/>
                <w:szCs w:val="16"/>
              </w:rPr>
              <w:t>steel</w:t>
            </w:r>
            <w:r w:rsidRPr="006E50FF">
              <w:rPr>
                <w:spacing w:val="-5"/>
                <w:sz w:val="16"/>
                <w:szCs w:val="16"/>
              </w:rPr>
              <w:t xml:space="preserve"> </w:t>
            </w:r>
            <w:r w:rsidRPr="006E50FF">
              <w:rPr>
                <w:sz w:val="16"/>
                <w:szCs w:val="16"/>
              </w:rPr>
              <w:t>joints</w:t>
            </w:r>
            <w:r w:rsidRPr="006E50FF">
              <w:rPr>
                <w:spacing w:val="-6"/>
                <w:sz w:val="16"/>
                <w:szCs w:val="16"/>
              </w:rPr>
              <w:t xml:space="preserve"> </w:t>
            </w:r>
            <w:r w:rsidRPr="006E50FF">
              <w:rPr>
                <w:sz w:val="16"/>
                <w:szCs w:val="16"/>
              </w:rPr>
              <w:t>below</w:t>
            </w:r>
            <w:r w:rsidRPr="006E50FF">
              <w:rPr>
                <w:spacing w:val="-7"/>
                <w:sz w:val="16"/>
                <w:szCs w:val="16"/>
              </w:rPr>
              <w:t xml:space="preserve"> </w:t>
            </w:r>
            <w:r w:rsidRPr="006E50FF">
              <w:rPr>
                <w:sz w:val="16"/>
                <w:szCs w:val="16"/>
              </w:rPr>
              <w:t>a</w:t>
            </w:r>
            <w:r w:rsidRPr="006E50FF">
              <w:rPr>
                <w:spacing w:val="-3"/>
                <w:sz w:val="16"/>
                <w:szCs w:val="16"/>
              </w:rPr>
              <w:t xml:space="preserve"> </w:t>
            </w:r>
            <w:r w:rsidRPr="006E50FF">
              <w:rPr>
                <w:sz w:val="16"/>
                <w:szCs w:val="16"/>
              </w:rPr>
              <w:t>building</w:t>
            </w:r>
            <w:r w:rsidRPr="006E50FF">
              <w:rPr>
                <w:spacing w:val="-5"/>
                <w:sz w:val="16"/>
                <w:szCs w:val="16"/>
              </w:rPr>
              <w:t xml:space="preserve"> </w:t>
            </w:r>
            <w:r w:rsidRPr="006E50FF">
              <w:rPr>
                <w:sz w:val="16"/>
                <w:szCs w:val="16"/>
              </w:rPr>
              <w:t>slab</w:t>
            </w:r>
            <w:r w:rsidRPr="006E50FF">
              <w:rPr>
                <w:spacing w:val="-3"/>
                <w:sz w:val="16"/>
                <w:szCs w:val="16"/>
              </w:rPr>
              <w:t xml:space="preserve"> </w:t>
            </w:r>
            <w:r w:rsidRPr="006E50FF">
              <w:rPr>
                <w:sz w:val="16"/>
                <w:szCs w:val="16"/>
              </w:rPr>
              <w:t>shall</w:t>
            </w:r>
            <w:r w:rsidRPr="006E50FF">
              <w:rPr>
                <w:spacing w:val="-5"/>
                <w:sz w:val="16"/>
                <w:szCs w:val="16"/>
              </w:rPr>
              <w:t xml:space="preserve"> </w:t>
            </w:r>
            <w:r w:rsidRPr="006E50FF">
              <w:rPr>
                <w:sz w:val="16"/>
                <w:szCs w:val="16"/>
              </w:rPr>
              <w:t>be</w:t>
            </w:r>
            <w:r w:rsidRPr="006E50FF">
              <w:rPr>
                <w:spacing w:val="-6"/>
                <w:sz w:val="16"/>
                <w:szCs w:val="16"/>
              </w:rPr>
              <w:t xml:space="preserve"> </w:t>
            </w:r>
            <w:r w:rsidRPr="006E50FF">
              <w:rPr>
                <w:sz w:val="16"/>
                <w:szCs w:val="16"/>
              </w:rPr>
              <w:t>brazed</w:t>
            </w:r>
            <w:r w:rsidRPr="006E50FF">
              <w:rPr>
                <w:spacing w:val="-5"/>
                <w:sz w:val="16"/>
                <w:szCs w:val="16"/>
              </w:rPr>
              <w:t xml:space="preserve"> </w:t>
            </w:r>
            <w:r w:rsidRPr="006E50FF">
              <w:rPr>
                <w:sz w:val="16"/>
                <w:szCs w:val="16"/>
              </w:rPr>
              <w:t>and/or</w:t>
            </w:r>
            <w:r w:rsidRPr="006E50FF">
              <w:rPr>
                <w:spacing w:val="-5"/>
                <w:sz w:val="16"/>
                <w:szCs w:val="16"/>
              </w:rPr>
              <w:t xml:space="preserve"> </w:t>
            </w:r>
            <w:r w:rsidRPr="006E50FF">
              <w:rPr>
                <w:sz w:val="16"/>
                <w:szCs w:val="16"/>
              </w:rPr>
              <w:t>welded</w:t>
            </w:r>
            <w:r w:rsidRPr="006E50FF">
              <w:rPr>
                <w:spacing w:val="-4"/>
                <w:sz w:val="16"/>
                <w:szCs w:val="16"/>
              </w:rPr>
              <w:t xml:space="preserve"> </w:t>
            </w:r>
            <w:r w:rsidRPr="006E50FF">
              <w:rPr>
                <w:sz w:val="16"/>
                <w:szCs w:val="16"/>
              </w:rPr>
              <w:t>in</w:t>
            </w:r>
            <w:r w:rsidRPr="006E50FF">
              <w:rPr>
                <w:spacing w:val="-5"/>
                <w:sz w:val="16"/>
                <w:szCs w:val="16"/>
              </w:rPr>
              <w:t xml:space="preserve"> </w:t>
            </w:r>
            <w:r w:rsidRPr="006E50FF">
              <w:rPr>
                <w:sz w:val="16"/>
                <w:szCs w:val="16"/>
              </w:rPr>
              <w:t>accordance</w:t>
            </w:r>
            <w:r w:rsidRPr="006E50FF">
              <w:rPr>
                <w:spacing w:val="-5"/>
                <w:sz w:val="16"/>
                <w:szCs w:val="16"/>
              </w:rPr>
              <w:t xml:space="preserve"> </w:t>
            </w:r>
            <w:r w:rsidRPr="006E50FF">
              <w:rPr>
                <w:sz w:val="16"/>
                <w:szCs w:val="16"/>
              </w:rPr>
              <w:t>with</w:t>
            </w:r>
            <w:r w:rsidRPr="006E50FF">
              <w:rPr>
                <w:spacing w:val="-5"/>
                <w:sz w:val="16"/>
                <w:szCs w:val="16"/>
              </w:rPr>
              <w:t xml:space="preserve"> the</w:t>
            </w:r>
            <w:r w:rsidRPr="006E50FF">
              <w:rPr>
                <w:sz w:val="16"/>
                <w:szCs w:val="16"/>
              </w:rPr>
              <w:t xml:space="preserve"> requirements</w:t>
            </w:r>
            <w:r w:rsidRPr="006E50FF">
              <w:rPr>
                <w:spacing w:val="-3"/>
                <w:sz w:val="16"/>
                <w:szCs w:val="16"/>
              </w:rPr>
              <w:t xml:space="preserve"> </w:t>
            </w:r>
            <w:r w:rsidRPr="006E50FF">
              <w:rPr>
                <w:sz w:val="16"/>
                <w:szCs w:val="16"/>
              </w:rPr>
              <w:t>of</w:t>
            </w:r>
            <w:r w:rsidRPr="006E50FF">
              <w:rPr>
                <w:spacing w:val="-6"/>
                <w:sz w:val="16"/>
                <w:szCs w:val="16"/>
              </w:rPr>
              <w:t xml:space="preserve"> </w:t>
            </w:r>
            <w:r w:rsidRPr="006E50FF">
              <w:rPr>
                <w:sz w:val="16"/>
                <w:szCs w:val="16"/>
              </w:rPr>
              <w:t>this</w:t>
            </w:r>
            <w:r w:rsidRPr="006E50FF">
              <w:rPr>
                <w:spacing w:val="-3"/>
                <w:sz w:val="16"/>
                <w:szCs w:val="16"/>
              </w:rPr>
              <w:t xml:space="preserve"> </w:t>
            </w:r>
            <w:r w:rsidRPr="006E50FF">
              <w:rPr>
                <w:sz w:val="16"/>
                <w:szCs w:val="16"/>
              </w:rPr>
              <w:t>code,</w:t>
            </w:r>
            <w:r w:rsidRPr="006E50FF">
              <w:rPr>
                <w:spacing w:val="-2"/>
                <w:sz w:val="16"/>
                <w:szCs w:val="16"/>
              </w:rPr>
              <w:t xml:space="preserve"> </w:t>
            </w:r>
            <w:r w:rsidRPr="006E50FF">
              <w:rPr>
                <w:sz w:val="16"/>
                <w:szCs w:val="16"/>
              </w:rPr>
              <w:t>as</w:t>
            </w:r>
            <w:r w:rsidRPr="006E50FF">
              <w:rPr>
                <w:spacing w:val="-5"/>
                <w:sz w:val="16"/>
                <w:szCs w:val="16"/>
              </w:rPr>
              <w:t xml:space="preserve"> </w:t>
            </w:r>
            <w:r w:rsidRPr="006E50FF">
              <w:rPr>
                <w:sz w:val="16"/>
                <w:szCs w:val="16"/>
              </w:rPr>
              <w:t>appropriate.</w:t>
            </w:r>
            <w:r w:rsidRPr="006E50FF">
              <w:rPr>
                <w:spacing w:val="-2"/>
                <w:sz w:val="16"/>
                <w:szCs w:val="16"/>
              </w:rPr>
              <w:t xml:space="preserve"> </w:t>
            </w:r>
            <w:r w:rsidRPr="006E50FF">
              <w:rPr>
                <w:sz w:val="16"/>
                <w:szCs w:val="16"/>
              </w:rPr>
              <w:t>With</w:t>
            </w:r>
            <w:r w:rsidRPr="006E50FF">
              <w:rPr>
                <w:spacing w:val="-2"/>
                <w:sz w:val="16"/>
                <w:szCs w:val="16"/>
              </w:rPr>
              <w:t xml:space="preserve"> </w:t>
            </w:r>
            <w:r w:rsidRPr="006E50FF">
              <w:rPr>
                <w:sz w:val="16"/>
                <w:szCs w:val="16"/>
              </w:rPr>
              <w:t>the</w:t>
            </w:r>
            <w:r w:rsidRPr="006E50FF">
              <w:rPr>
                <w:spacing w:val="-5"/>
                <w:sz w:val="16"/>
                <w:szCs w:val="16"/>
              </w:rPr>
              <w:t xml:space="preserve"> </w:t>
            </w:r>
            <w:r w:rsidRPr="006E50FF">
              <w:rPr>
                <w:sz w:val="16"/>
                <w:szCs w:val="16"/>
              </w:rPr>
              <w:t>exception</w:t>
            </w:r>
            <w:r w:rsidRPr="006E50FF">
              <w:rPr>
                <w:spacing w:val="-2"/>
                <w:sz w:val="16"/>
                <w:szCs w:val="16"/>
              </w:rPr>
              <w:t xml:space="preserve"> </w:t>
            </w:r>
            <w:r w:rsidRPr="006E50FF">
              <w:rPr>
                <w:sz w:val="16"/>
                <w:szCs w:val="16"/>
              </w:rPr>
              <w:t>of</w:t>
            </w:r>
            <w:r w:rsidRPr="006E50FF">
              <w:rPr>
                <w:spacing w:val="-4"/>
                <w:sz w:val="16"/>
                <w:szCs w:val="16"/>
              </w:rPr>
              <w:t xml:space="preserve"> </w:t>
            </w:r>
            <w:r w:rsidRPr="006E50FF">
              <w:rPr>
                <w:sz w:val="16"/>
                <w:szCs w:val="16"/>
              </w:rPr>
              <w:t>heat</w:t>
            </w:r>
            <w:r w:rsidRPr="006E50FF">
              <w:rPr>
                <w:spacing w:val="-2"/>
                <w:sz w:val="16"/>
                <w:szCs w:val="16"/>
              </w:rPr>
              <w:t xml:space="preserve"> </w:t>
            </w:r>
            <w:r w:rsidRPr="006E50FF">
              <w:rPr>
                <w:sz w:val="16"/>
                <w:szCs w:val="16"/>
              </w:rPr>
              <w:t>fused</w:t>
            </w:r>
            <w:r w:rsidRPr="006E50FF">
              <w:rPr>
                <w:spacing w:val="-4"/>
                <w:sz w:val="16"/>
                <w:szCs w:val="16"/>
              </w:rPr>
              <w:t xml:space="preserve"> </w:t>
            </w:r>
            <w:r w:rsidRPr="006E50FF">
              <w:rPr>
                <w:sz w:val="16"/>
                <w:szCs w:val="16"/>
              </w:rPr>
              <w:t>polypropylene,</w:t>
            </w:r>
            <w:r w:rsidRPr="006E50FF">
              <w:rPr>
                <w:spacing w:val="-2"/>
                <w:sz w:val="16"/>
                <w:szCs w:val="16"/>
              </w:rPr>
              <w:t xml:space="preserve"> </w:t>
            </w:r>
            <w:r w:rsidRPr="006E50FF">
              <w:rPr>
                <w:sz w:val="16"/>
                <w:szCs w:val="16"/>
              </w:rPr>
              <w:t>all</w:t>
            </w:r>
            <w:r w:rsidRPr="006E50FF">
              <w:rPr>
                <w:spacing w:val="-4"/>
                <w:sz w:val="16"/>
                <w:szCs w:val="16"/>
              </w:rPr>
              <w:t xml:space="preserve"> </w:t>
            </w:r>
            <w:r w:rsidRPr="006E50FF">
              <w:rPr>
                <w:sz w:val="16"/>
                <w:szCs w:val="16"/>
              </w:rPr>
              <w:t>other</w:t>
            </w:r>
            <w:r w:rsidRPr="006E50FF">
              <w:rPr>
                <w:spacing w:val="-4"/>
                <w:sz w:val="16"/>
                <w:szCs w:val="16"/>
              </w:rPr>
              <w:t xml:space="preserve"> </w:t>
            </w:r>
            <w:r w:rsidRPr="006E50FF">
              <w:rPr>
                <w:sz w:val="16"/>
                <w:szCs w:val="16"/>
              </w:rPr>
              <w:t>joints</w:t>
            </w:r>
            <w:r w:rsidRPr="006E50FF">
              <w:rPr>
                <w:spacing w:val="-5"/>
                <w:sz w:val="16"/>
                <w:szCs w:val="16"/>
              </w:rPr>
              <w:t xml:space="preserve"> </w:t>
            </w:r>
            <w:r w:rsidRPr="006E50FF">
              <w:rPr>
                <w:sz w:val="16"/>
                <w:szCs w:val="16"/>
              </w:rPr>
              <w:t>and</w:t>
            </w:r>
            <w:r w:rsidRPr="006E50FF">
              <w:rPr>
                <w:spacing w:val="40"/>
                <w:sz w:val="16"/>
                <w:szCs w:val="16"/>
              </w:rPr>
              <w:t xml:space="preserve"> </w:t>
            </w:r>
            <w:r w:rsidRPr="006E50FF">
              <w:rPr>
                <w:sz w:val="16"/>
                <w:szCs w:val="16"/>
              </w:rPr>
              <w:t>fittings for plastic pipe below a building slab are prohibited</w:t>
            </w:r>
          </w:p>
        </w:tc>
      </w:tr>
      <w:tr w:rsidR="006E50FF" w:rsidRPr="006E50FF" w14:paraId="17C684D4" w14:textId="77777777" w:rsidTr="0088638B">
        <w:trPr>
          <w:trHeight w:val="187"/>
        </w:trPr>
        <w:tc>
          <w:tcPr>
            <w:tcW w:w="1072" w:type="dxa"/>
          </w:tcPr>
          <w:p w14:paraId="058AFF64" w14:textId="77777777" w:rsidR="006E50FF" w:rsidRPr="006E50FF" w:rsidRDefault="006E50FF" w:rsidP="006E50FF">
            <w:pPr>
              <w:widowControl w:val="0"/>
              <w:autoSpaceDE w:val="0"/>
              <w:autoSpaceDN w:val="0"/>
              <w:rPr>
                <w:sz w:val="16"/>
                <w:szCs w:val="16"/>
              </w:rPr>
            </w:pPr>
            <w:r w:rsidRPr="006E50FF">
              <w:rPr>
                <w:spacing w:val="-2"/>
                <w:sz w:val="16"/>
                <w:szCs w:val="16"/>
              </w:rPr>
              <w:t>Amend</w:t>
            </w:r>
          </w:p>
        </w:tc>
        <w:tc>
          <w:tcPr>
            <w:tcW w:w="2415" w:type="dxa"/>
            <w:gridSpan w:val="2"/>
          </w:tcPr>
          <w:p w14:paraId="4074605E"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Table</w:t>
            </w:r>
            <w:r w:rsidRPr="006E50FF">
              <w:rPr>
                <w:spacing w:val="-9"/>
                <w:sz w:val="16"/>
                <w:szCs w:val="16"/>
              </w:rPr>
              <w:t xml:space="preserve"> </w:t>
            </w:r>
            <w:r w:rsidRPr="006E50FF">
              <w:rPr>
                <w:sz w:val="16"/>
                <w:szCs w:val="16"/>
              </w:rPr>
              <w:t>605.5</w:t>
            </w:r>
            <w:r w:rsidRPr="006E50FF">
              <w:rPr>
                <w:spacing w:val="-3"/>
                <w:sz w:val="16"/>
                <w:szCs w:val="16"/>
              </w:rPr>
              <w:t xml:space="preserve"> </w:t>
            </w:r>
            <w:r w:rsidRPr="006E50FF">
              <w:rPr>
                <w:spacing w:val="-4"/>
                <w:sz w:val="16"/>
                <w:szCs w:val="16"/>
              </w:rPr>
              <w:t>Pipe</w:t>
            </w:r>
            <w:r w:rsidRPr="006E50FF">
              <w:rPr>
                <w:sz w:val="16"/>
                <w:szCs w:val="16"/>
              </w:rPr>
              <w:t xml:space="preserve"> </w:t>
            </w:r>
            <w:r w:rsidRPr="006E50FF">
              <w:rPr>
                <w:spacing w:val="-2"/>
                <w:sz w:val="16"/>
                <w:szCs w:val="16"/>
              </w:rPr>
              <w:t>Fittings.</w:t>
            </w:r>
          </w:p>
        </w:tc>
        <w:tc>
          <w:tcPr>
            <w:tcW w:w="7043" w:type="dxa"/>
            <w:gridSpan w:val="2"/>
          </w:tcPr>
          <w:p w14:paraId="4BA1C319" w14:textId="77777777" w:rsidR="006E50FF" w:rsidRPr="006E50FF" w:rsidRDefault="006E50FF" w:rsidP="006E50FF">
            <w:pPr>
              <w:widowControl w:val="0"/>
              <w:autoSpaceDE w:val="0"/>
              <w:autoSpaceDN w:val="0"/>
              <w:ind w:left="91" w:right="90"/>
              <w:rPr>
                <w:sz w:val="16"/>
                <w:szCs w:val="16"/>
              </w:rPr>
            </w:pPr>
          </w:p>
        </w:tc>
      </w:tr>
      <w:tr w:rsidR="006E50FF" w:rsidRPr="006E50FF" w14:paraId="32A10C29" w14:textId="77777777" w:rsidTr="0088638B">
        <w:trPr>
          <w:trHeight w:val="187"/>
        </w:trPr>
        <w:tc>
          <w:tcPr>
            <w:tcW w:w="10530" w:type="dxa"/>
            <w:gridSpan w:val="5"/>
          </w:tcPr>
          <w:p w14:paraId="35E27E53" w14:textId="77777777" w:rsidR="006E50FF" w:rsidRPr="006E50FF" w:rsidRDefault="006E50FF" w:rsidP="006E50FF">
            <w:pPr>
              <w:widowControl w:val="0"/>
              <w:autoSpaceDE w:val="0"/>
              <w:autoSpaceDN w:val="0"/>
              <w:ind w:left="91" w:right="90"/>
              <w:rPr>
                <w:sz w:val="16"/>
                <w:szCs w:val="16"/>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77"/>
              <w:gridCol w:w="2236"/>
            </w:tblGrid>
            <w:tr w:rsidR="006E50FF" w:rsidRPr="006E50FF" w14:paraId="2D285A52" w14:textId="77777777" w:rsidTr="0088638B">
              <w:trPr>
                <w:trHeight w:val="204"/>
                <w:jc w:val="center"/>
              </w:trPr>
              <w:tc>
                <w:tcPr>
                  <w:tcW w:w="4677" w:type="dxa"/>
                  <w:tcBorders>
                    <w:top w:val="thickThinMediumGap" w:sz="6" w:space="0" w:color="000000"/>
                    <w:left w:val="double" w:sz="6" w:space="0" w:color="000000"/>
                  </w:tcBorders>
                  <w:shd w:val="clear" w:color="auto" w:fill="BEBEBE"/>
                </w:tcPr>
                <w:p w14:paraId="4D1510AA" w14:textId="77777777" w:rsidR="006E50FF" w:rsidRPr="006E50FF" w:rsidRDefault="006E50FF" w:rsidP="006E50FF">
                  <w:pPr>
                    <w:widowControl w:val="0"/>
                    <w:autoSpaceDE w:val="0"/>
                    <w:autoSpaceDN w:val="0"/>
                    <w:spacing w:before="20" w:line="165" w:lineRule="exact"/>
                    <w:ind w:left="91" w:right="90"/>
                    <w:jc w:val="center"/>
                    <w:rPr>
                      <w:b/>
                      <w:sz w:val="16"/>
                      <w:szCs w:val="16"/>
                    </w:rPr>
                  </w:pPr>
                  <w:r w:rsidRPr="006E50FF">
                    <w:rPr>
                      <w:b/>
                      <w:spacing w:val="-2"/>
                      <w:sz w:val="16"/>
                      <w:szCs w:val="16"/>
                    </w:rPr>
                    <w:t>Material</w:t>
                  </w:r>
                </w:p>
              </w:tc>
              <w:tc>
                <w:tcPr>
                  <w:tcW w:w="2236" w:type="dxa"/>
                  <w:tcBorders>
                    <w:top w:val="thickThinMediumGap" w:sz="6" w:space="0" w:color="000000"/>
                    <w:right w:val="double" w:sz="6" w:space="0" w:color="000000"/>
                  </w:tcBorders>
                  <w:shd w:val="clear" w:color="auto" w:fill="BEBEBE"/>
                </w:tcPr>
                <w:p w14:paraId="3C2D33C8" w14:textId="77777777" w:rsidR="006E50FF" w:rsidRPr="006E50FF" w:rsidRDefault="006E50FF" w:rsidP="006E50FF">
                  <w:pPr>
                    <w:widowControl w:val="0"/>
                    <w:autoSpaceDE w:val="0"/>
                    <w:autoSpaceDN w:val="0"/>
                    <w:spacing w:before="20" w:line="165" w:lineRule="exact"/>
                    <w:ind w:left="91" w:right="55"/>
                    <w:rPr>
                      <w:b/>
                      <w:sz w:val="16"/>
                      <w:szCs w:val="16"/>
                    </w:rPr>
                  </w:pPr>
                  <w:r w:rsidRPr="006E50FF">
                    <w:rPr>
                      <w:b/>
                      <w:spacing w:val="-2"/>
                      <w:sz w:val="16"/>
                      <w:szCs w:val="16"/>
                    </w:rPr>
                    <w:t>Standard</w:t>
                  </w:r>
                </w:p>
              </w:tc>
            </w:tr>
            <w:tr w:rsidR="006E50FF" w:rsidRPr="006E50FF" w14:paraId="19D6A551" w14:textId="77777777" w:rsidTr="0088638B">
              <w:trPr>
                <w:trHeight w:val="184"/>
                <w:jc w:val="center"/>
              </w:trPr>
              <w:tc>
                <w:tcPr>
                  <w:tcW w:w="4677" w:type="dxa"/>
                  <w:tcBorders>
                    <w:left w:val="double" w:sz="6" w:space="0" w:color="000000"/>
                  </w:tcBorders>
                </w:tcPr>
                <w:p w14:paraId="001DCD6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Acrylonitrile butadiene styrene (ABS)</w:t>
                  </w:r>
                </w:p>
              </w:tc>
              <w:tc>
                <w:tcPr>
                  <w:tcW w:w="2236" w:type="dxa"/>
                  <w:tcBorders>
                    <w:right w:val="double" w:sz="6" w:space="0" w:color="000000"/>
                  </w:tcBorders>
                </w:tcPr>
                <w:p w14:paraId="125D2164"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D2468  </w:t>
                  </w:r>
                </w:p>
              </w:tc>
            </w:tr>
            <w:tr w:rsidR="006E50FF" w:rsidRPr="006E50FF" w14:paraId="739807E6" w14:textId="77777777" w:rsidTr="0088638B">
              <w:trPr>
                <w:trHeight w:val="184"/>
                <w:jc w:val="center"/>
              </w:trPr>
              <w:tc>
                <w:tcPr>
                  <w:tcW w:w="4677" w:type="dxa"/>
                  <w:tcBorders>
                    <w:left w:val="double" w:sz="6" w:space="0" w:color="000000"/>
                  </w:tcBorders>
                </w:tcPr>
                <w:p w14:paraId="5A90C7C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plastic</w:t>
                  </w:r>
                </w:p>
              </w:tc>
              <w:tc>
                <w:tcPr>
                  <w:tcW w:w="2236" w:type="dxa"/>
                  <w:tcBorders>
                    <w:right w:val="double" w:sz="6" w:space="0" w:color="000000"/>
                  </w:tcBorders>
                </w:tcPr>
                <w:p w14:paraId="7F4E22BF" w14:textId="77777777" w:rsidR="006E50FF" w:rsidRPr="006E50FF" w:rsidRDefault="006E50FF" w:rsidP="006E50FF">
                  <w:pPr>
                    <w:widowControl w:val="0"/>
                    <w:autoSpaceDE w:val="0"/>
                    <w:autoSpaceDN w:val="0"/>
                    <w:spacing w:line="164" w:lineRule="exact"/>
                    <w:ind w:left="91" w:right="55"/>
                    <w:rPr>
                      <w:sz w:val="16"/>
                      <w:szCs w:val="16"/>
                    </w:rPr>
                  </w:pPr>
                </w:p>
              </w:tc>
            </w:tr>
            <w:tr w:rsidR="006E50FF" w:rsidRPr="006E50FF" w14:paraId="71179DED" w14:textId="77777777" w:rsidTr="0088638B">
              <w:trPr>
                <w:trHeight w:val="184"/>
                <w:jc w:val="center"/>
              </w:trPr>
              <w:tc>
                <w:tcPr>
                  <w:tcW w:w="4677" w:type="dxa"/>
                  <w:tcBorders>
                    <w:left w:val="double" w:sz="6" w:space="0" w:color="000000"/>
                  </w:tcBorders>
                </w:tcPr>
                <w:p w14:paraId="2A73EEF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Brass</w:t>
                  </w:r>
                </w:p>
              </w:tc>
              <w:tc>
                <w:tcPr>
                  <w:tcW w:w="2236" w:type="dxa"/>
                  <w:tcBorders>
                    <w:right w:val="double" w:sz="6" w:space="0" w:color="000000"/>
                  </w:tcBorders>
                </w:tcPr>
                <w:p w14:paraId="3CA3C05E"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ASTM F1974</w:t>
                  </w:r>
                </w:p>
              </w:tc>
            </w:tr>
            <w:tr w:rsidR="006E50FF" w:rsidRPr="006E50FF" w14:paraId="5BD3B28B" w14:textId="77777777" w:rsidTr="0088638B">
              <w:trPr>
                <w:trHeight w:val="184"/>
                <w:jc w:val="center"/>
              </w:trPr>
              <w:tc>
                <w:tcPr>
                  <w:tcW w:w="4677" w:type="dxa"/>
                  <w:tcBorders>
                    <w:left w:val="double" w:sz="6" w:space="0" w:color="000000"/>
                  </w:tcBorders>
                </w:tcPr>
                <w:p w14:paraId="32128DC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Cast-iron</w:t>
                  </w:r>
                </w:p>
              </w:tc>
              <w:tc>
                <w:tcPr>
                  <w:tcW w:w="2236" w:type="dxa"/>
                  <w:tcBorders>
                    <w:right w:val="double" w:sz="6" w:space="0" w:color="000000"/>
                  </w:tcBorders>
                </w:tcPr>
                <w:p w14:paraId="0CD4D3F2"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ASME BI6.4; ASME B16.12</w:t>
                  </w:r>
                </w:p>
              </w:tc>
            </w:tr>
            <w:tr w:rsidR="006E50FF" w:rsidRPr="006E50FF" w14:paraId="28A9BA19" w14:textId="77777777" w:rsidTr="0088638B">
              <w:trPr>
                <w:trHeight w:val="187"/>
                <w:jc w:val="center"/>
              </w:trPr>
              <w:tc>
                <w:tcPr>
                  <w:tcW w:w="4677" w:type="dxa"/>
                  <w:tcBorders>
                    <w:left w:val="double" w:sz="6" w:space="0" w:color="000000"/>
                  </w:tcBorders>
                </w:tcPr>
                <w:p w14:paraId="63757136"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Chlorinated</w:t>
                  </w:r>
                  <w:r w:rsidRPr="006E50FF">
                    <w:rPr>
                      <w:spacing w:val="-7"/>
                      <w:sz w:val="16"/>
                      <w:szCs w:val="16"/>
                    </w:rPr>
                    <w:t xml:space="preserve"> </w:t>
                  </w:r>
                  <w:r w:rsidRPr="006E50FF">
                    <w:rPr>
                      <w:sz w:val="16"/>
                      <w:szCs w:val="16"/>
                    </w:rPr>
                    <w:t>polyvinyl</w:t>
                  </w:r>
                  <w:r w:rsidRPr="006E50FF">
                    <w:rPr>
                      <w:spacing w:val="-7"/>
                      <w:sz w:val="16"/>
                      <w:szCs w:val="16"/>
                    </w:rPr>
                    <w:t xml:space="preserve"> </w:t>
                  </w:r>
                  <w:r w:rsidRPr="006E50FF">
                    <w:rPr>
                      <w:sz w:val="16"/>
                      <w:szCs w:val="16"/>
                    </w:rPr>
                    <w:t>chloride</w:t>
                  </w:r>
                  <w:r w:rsidRPr="006E50FF">
                    <w:rPr>
                      <w:spacing w:val="-7"/>
                      <w:sz w:val="16"/>
                      <w:szCs w:val="16"/>
                    </w:rPr>
                    <w:t xml:space="preserve"> </w:t>
                  </w:r>
                  <w:r w:rsidRPr="006E50FF">
                    <w:rPr>
                      <w:sz w:val="16"/>
                      <w:szCs w:val="16"/>
                    </w:rPr>
                    <w:t>(CPVC)</w:t>
                  </w:r>
                  <w:r w:rsidRPr="006E50FF">
                    <w:rPr>
                      <w:spacing w:val="-7"/>
                      <w:sz w:val="16"/>
                      <w:szCs w:val="16"/>
                    </w:rPr>
                    <w:t xml:space="preserve"> </w:t>
                  </w:r>
                </w:p>
              </w:tc>
              <w:tc>
                <w:tcPr>
                  <w:tcW w:w="2236" w:type="dxa"/>
                  <w:tcBorders>
                    <w:right w:val="double" w:sz="6" w:space="0" w:color="000000"/>
                  </w:tcBorders>
                </w:tcPr>
                <w:p w14:paraId="2B8501FB"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 xml:space="preserve">ASSE 1061; ASTM D2846;  </w:t>
                  </w:r>
                </w:p>
              </w:tc>
            </w:tr>
            <w:tr w:rsidR="006E50FF" w:rsidRPr="006E50FF" w14:paraId="62F0A98F" w14:textId="77777777" w:rsidTr="0088638B">
              <w:trPr>
                <w:trHeight w:val="187"/>
                <w:jc w:val="center"/>
              </w:trPr>
              <w:tc>
                <w:tcPr>
                  <w:tcW w:w="4677" w:type="dxa"/>
                  <w:tcBorders>
                    <w:left w:val="double" w:sz="6" w:space="0" w:color="000000"/>
                  </w:tcBorders>
                </w:tcPr>
                <w:p w14:paraId="1255289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plastic</w:t>
                  </w:r>
                </w:p>
              </w:tc>
              <w:tc>
                <w:tcPr>
                  <w:tcW w:w="2236" w:type="dxa"/>
                  <w:tcBorders>
                    <w:right w:val="double" w:sz="6" w:space="0" w:color="000000"/>
                  </w:tcBorders>
                </w:tcPr>
                <w:p w14:paraId="6803556A"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 xml:space="preserve">ASTM F 437; ASTM F 438;  </w:t>
                  </w:r>
                </w:p>
              </w:tc>
            </w:tr>
            <w:tr w:rsidR="006E50FF" w:rsidRPr="006E50FF" w14:paraId="35BFE764" w14:textId="77777777" w:rsidTr="0088638B">
              <w:trPr>
                <w:trHeight w:val="187"/>
                <w:jc w:val="center"/>
              </w:trPr>
              <w:tc>
                <w:tcPr>
                  <w:tcW w:w="4677" w:type="dxa"/>
                  <w:tcBorders>
                    <w:left w:val="double" w:sz="6" w:space="0" w:color="000000"/>
                  </w:tcBorders>
                </w:tcPr>
                <w:p w14:paraId="45A5BBEC"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022738EF"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ASTMF439;CSAB137.6</w:t>
                  </w:r>
                </w:p>
              </w:tc>
            </w:tr>
            <w:tr w:rsidR="006E50FF" w:rsidRPr="006E50FF" w14:paraId="62108769" w14:textId="77777777" w:rsidTr="0088638B">
              <w:trPr>
                <w:trHeight w:val="187"/>
                <w:jc w:val="center"/>
              </w:trPr>
              <w:tc>
                <w:tcPr>
                  <w:tcW w:w="4677" w:type="dxa"/>
                  <w:tcBorders>
                    <w:left w:val="double" w:sz="6" w:space="0" w:color="000000"/>
                  </w:tcBorders>
                </w:tcPr>
                <w:p w14:paraId="1E1CB48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Copper</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copper-alloy</w:t>
                  </w:r>
                </w:p>
              </w:tc>
              <w:tc>
                <w:tcPr>
                  <w:tcW w:w="2236" w:type="dxa"/>
                  <w:tcBorders>
                    <w:right w:val="double" w:sz="6" w:space="0" w:color="000000"/>
                  </w:tcBorders>
                </w:tcPr>
                <w:p w14:paraId="4E45AD27" w14:textId="77777777" w:rsidR="006E50FF" w:rsidRPr="006E50FF" w:rsidRDefault="006E50FF" w:rsidP="006E50FF">
                  <w:pPr>
                    <w:widowControl w:val="0"/>
                    <w:autoSpaceDE w:val="0"/>
                    <w:autoSpaceDN w:val="0"/>
                    <w:spacing w:line="167" w:lineRule="exact"/>
                    <w:ind w:left="91" w:right="55"/>
                    <w:rPr>
                      <w:sz w:val="16"/>
                      <w:szCs w:val="16"/>
                    </w:rPr>
                  </w:pPr>
                  <w:r w:rsidRPr="006E50FF">
                    <w:rPr>
                      <w:sz w:val="16"/>
                      <w:szCs w:val="16"/>
                    </w:rPr>
                    <w:t xml:space="preserve">ASSE 1061;ASMEBI6.15;  </w:t>
                  </w:r>
                </w:p>
              </w:tc>
            </w:tr>
            <w:tr w:rsidR="006E50FF" w:rsidRPr="006E50FF" w14:paraId="397078E8" w14:textId="77777777" w:rsidTr="0088638B">
              <w:trPr>
                <w:trHeight w:val="187"/>
                <w:jc w:val="center"/>
              </w:trPr>
              <w:tc>
                <w:tcPr>
                  <w:tcW w:w="4677" w:type="dxa"/>
                  <w:tcBorders>
                    <w:left w:val="double" w:sz="6" w:space="0" w:color="000000"/>
                  </w:tcBorders>
                </w:tcPr>
                <w:p w14:paraId="2F27A39B"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1EBC50B2"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ASME B 16.18; ASME</w:t>
                  </w:r>
                </w:p>
              </w:tc>
            </w:tr>
            <w:tr w:rsidR="006E50FF" w:rsidRPr="006E50FF" w14:paraId="6C883406" w14:textId="77777777" w:rsidTr="0088638B">
              <w:trPr>
                <w:trHeight w:val="187"/>
                <w:jc w:val="center"/>
              </w:trPr>
              <w:tc>
                <w:tcPr>
                  <w:tcW w:w="4677" w:type="dxa"/>
                  <w:tcBorders>
                    <w:left w:val="double" w:sz="6" w:space="0" w:color="000000"/>
                  </w:tcBorders>
                </w:tcPr>
                <w:p w14:paraId="2ADB379F"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36F19259"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 xml:space="preserve">B 16.22; AS ME B 16.26  </w:t>
                  </w:r>
                </w:p>
              </w:tc>
            </w:tr>
            <w:tr w:rsidR="006E50FF" w:rsidRPr="006E50FF" w14:paraId="561B0DD5" w14:textId="77777777" w:rsidTr="0088638B">
              <w:trPr>
                <w:trHeight w:val="187"/>
                <w:jc w:val="center"/>
              </w:trPr>
              <w:tc>
                <w:tcPr>
                  <w:tcW w:w="4677" w:type="dxa"/>
                  <w:tcBorders>
                    <w:left w:val="double" w:sz="6" w:space="0" w:color="000000"/>
                  </w:tcBorders>
                </w:tcPr>
                <w:p w14:paraId="4040C643"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1002CA64"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ASTM F3226</w:t>
                  </w:r>
                </w:p>
              </w:tc>
            </w:tr>
            <w:tr w:rsidR="006E50FF" w:rsidRPr="006E50FF" w14:paraId="509AE9E0" w14:textId="77777777" w:rsidTr="0088638B">
              <w:trPr>
                <w:trHeight w:val="187"/>
                <w:jc w:val="center"/>
              </w:trPr>
              <w:tc>
                <w:tcPr>
                  <w:tcW w:w="4677" w:type="dxa"/>
                  <w:tcBorders>
                    <w:left w:val="double" w:sz="6" w:space="0" w:color="000000"/>
                  </w:tcBorders>
                </w:tcPr>
                <w:p w14:paraId="66EE845C"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Cross-linked</w:t>
                  </w:r>
                </w:p>
              </w:tc>
              <w:tc>
                <w:tcPr>
                  <w:tcW w:w="2236" w:type="dxa"/>
                  <w:tcBorders>
                    <w:right w:val="double" w:sz="6" w:space="0" w:color="000000"/>
                  </w:tcBorders>
                </w:tcPr>
                <w:p w14:paraId="6758B169" w14:textId="77777777" w:rsidR="006E50FF" w:rsidRPr="006E50FF" w:rsidRDefault="006E50FF" w:rsidP="006E50FF">
                  <w:pPr>
                    <w:widowControl w:val="0"/>
                    <w:autoSpaceDE w:val="0"/>
                    <w:autoSpaceDN w:val="0"/>
                    <w:spacing w:line="180" w:lineRule="atLeast"/>
                    <w:ind w:left="91" w:right="55"/>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1986</w:t>
                  </w:r>
                </w:p>
              </w:tc>
            </w:tr>
            <w:tr w:rsidR="006E50FF" w:rsidRPr="006E50FF" w14:paraId="7FA95D2C" w14:textId="77777777" w:rsidTr="0088638B">
              <w:trPr>
                <w:trHeight w:val="187"/>
                <w:jc w:val="center"/>
              </w:trPr>
              <w:tc>
                <w:tcPr>
                  <w:tcW w:w="4677" w:type="dxa"/>
                  <w:tcBorders>
                    <w:left w:val="double" w:sz="6" w:space="0" w:color="000000"/>
                  </w:tcBorders>
                </w:tcPr>
                <w:p w14:paraId="620B2352"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polyethylene/aluminum/high-density</w:t>
                  </w:r>
                </w:p>
              </w:tc>
              <w:tc>
                <w:tcPr>
                  <w:tcW w:w="2236" w:type="dxa"/>
                  <w:tcBorders>
                    <w:right w:val="double" w:sz="6" w:space="0" w:color="000000"/>
                  </w:tcBorders>
                </w:tcPr>
                <w:p w14:paraId="6056DEAC" w14:textId="77777777" w:rsidR="006E50FF" w:rsidRPr="006E50FF" w:rsidRDefault="006E50FF" w:rsidP="006E50FF">
                  <w:pPr>
                    <w:widowControl w:val="0"/>
                    <w:autoSpaceDE w:val="0"/>
                    <w:autoSpaceDN w:val="0"/>
                    <w:spacing w:line="181" w:lineRule="exact"/>
                    <w:ind w:left="91" w:right="55"/>
                    <w:rPr>
                      <w:sz w:val="16"/>
                      <w:szCs w:val="16"/>
                    </w:rPr>
                  </w:pPr>
                </w:p>
              </w:tc>
            </w:tr>
            <w:tr w:rsidR="006E50FF" w:rsidRPr="006E50FF" w14:paraId="5BC3E0EF" w14:textId="77777777" w:rsidTr="0088638B">
              <w:trPr>
                <w:trHeight w:val="187"/>
                <w:jc w:val="center"/>
              </w:trPr>
              <w:tc>
                <w:tcPr>
                  <w:tcW w:w="4677" w:type="dxa"/>
                  <w:tcBorders>
                    <w:left w:val="double" w:sz="6" w:space="0" w:color="000000"/>
                  </w:tcBorders>
                </w:tcPr>
                <w:p w14:paraId="1F68686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polyethylene (PEX-AL-HDPE)</w:t>
                  </w:r>
                </w:p>
              </w:tc>
              <w:tc>
                <w:tcPr>
                  <w:tcW w:w="2236" w:type="dxa"/>
                  <w:tcBorders>
                    <w:right w:val="double" w:sz="6" w:space="0" w:color="000000"/>
                  </w:tcBorders>
                </w:tcPr>
                <w:p w14:paraId="037933C6"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03F71CD5" w14:textId="77777777" w:rsidTr="0088638B">
              <w:trPr>
                <w:trHeight w:val="187"/>
                <w:jc w:val="center"/>
              </w:trPr>
              <w:tc>
                <w:tcPr>
                  <w:tcW w:w="4677" w:type="dxa"/>
                  <w:tcBorders>
                    <w:left w:val="double" w:sz="6" w:space="0" w:color="000000"/>
                  </w:tcBorders>
                </w:tcPr>
                <w:p w14:paraId="04991EE6"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Fittings for cross-linked polyethylene</w:t>
                  </w:r>
                </w:p>
              </w:tc>
              <w:tc>
                <w:tcPr>
                  <w:tcW w:w="2236" w:type="dxa"/>
                  <w:tcBorders>
                    <w:right w:val="double" w:sz="6" w:space="0" w:color="000000"/>
                  </w:tcBorders>
                </w:tcPr>
                <w:p w14:paraId="01430A84"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 xml:space="preserve">ASSE 1061; ASTM F 877;  </w:t>
                  </w:r>
                </w:p>
              </w:tc>
            </w:tr>
            <w:tr w:rsidR="006E50FF" w:rsidRPr="006E50FF" w14:paraId="49FF4B4E" w14:textId="77777777" w:rsidTr="0088638B">
              <w:trPr>
                <w:trHeight w:val="187"/>
                <w:jc w:val="center"/>
              </w:trPr>
              <w:tc>
                <w:tcPr>
                  <w:tcW w:w="4677" w:type="dxa"/>
                  <w:tcBorders>
                    <w:left w:val="double" w:sz="6" w:space="0" w:color="000000"/>
                  </w:tcBorders>
                </w:tcPr>
                <w:p w14:paraId="3A19D7A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(PEX) plastic tubing</w:t>
                  </w:r>
                </w:p>
              </w:tc>
              <w:tc>
                <w:tcPr>
                  <w:tcW w:w="2236" w:type="dxa"/>
                  <w:tcBorders>
                    <w:right w:val="double" w:sz="6" w:space="0" w:color="000000"/>
                  </w:tcBorders>
                </w:tcPr>
                <w:p w14:paraId="0C739A9E"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ASTM F 1807; ASTM F</w:t>
                  </w:r>
                </w:p>
              </w:tc>
            </w:tr>
            <w:tr w:rsidR="006E50FF" w:rsidRPr="006E50FF" w14:paraId="426D357F" w14:textId="77777777" w:rsidTr="0088638B">
              <w:trPr>
                <w:trHeight w:val="187"/>
                <w:jc w:val="center"/>
              </w:trPr>
              <w:tc>
                <w:tcPr>
                  <w:tcW w:w="4677" w:type="dxa"/>
                  <w:tcBorders>
                    <w:left w:val="double" w:sz="6" w:space="0" w:color="000000"/>
                  </w:tcBorders>
                </w:tcPr>
                <w:p w14:paraId="61F8DA1B"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22D437CB"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1960;</w:t>
                  </w:r>
                </w:p>
              </w:tc>
            </w:tr>
            <w:tr w:rsidR="006E50FF" w:rsidRPr="006E50FF" w14:paraId="58485098" w14:textId="77777777" w:rsidTr="0088638B">
              <w:trPr>
                <w:trHeight w:val="187"/>
                <w:jc w:val="center"/>
              </w:trPr>
              <w:tc>
                <w:tcPr>
                  <w:tcW w:w="4677" w:type="dxa"/>
                  <w:tcBorders>
                    <w:left w:val="double" w:sz="6" w:space="0" w:color="000000"/>
                  </w:tcBorders>
                </w:tcPr>
                <w:p w14:paraId="72AA1F4D"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037FC8D5"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ASTM F 2080; ASTM F</w:t>
                  </w:r>
                </w:p>
              </w:tc>
            </w:tr>
            <w:tr w:rsidR="006E50FF" w:rsidRPr="006E50FF" w14:paraId="5E33703C" w14:textId="77777777" w:rsidTr="0088638B">
              <w:trPr>
                <w:trHeight w:val="187"/>
                <w:jc w:val="center"/>
              </w:trPr>
              <w:tc>
                <w:tcPr>
                  <w:tcW w:w="4677" w:type="dxa"/>
                  <w:tcBorders>
                    <w:left w:val="double" w:sz="6" w:space="0" w:color="000000"/>
                  </w:tcBorders>
                </w:tcPr>
                <w:p w14:paraId="6948C06A"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270AA39C"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58C477B6" w14:textId="77777777" w:rsidTr="0088638B">
              <w:trPr>
                <w:trHeight w:val="187"/>
                <w:jc w:val="center"/>
              </w:trPr>
              <w:tc>
                <w:tcPr>
                  <w:tcW w:w="4677" w:type="dxa"/>
                  <w:tcBorders>
                    <w:left w:val="double" w:sz="6" w:space="0" w:color="000000"/>
                  </w:tcBorders>
                </w:tcPr>
                <w:p w14:paraId="7665A275"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34165B97"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5BC1CB69" w14:textId="77777777" w:rsidTr="0088638B">
              <w:trPr>
                <w:trHeight w:val="187"/>
                <w:jc w:val="center"/>
              </w:trPr>
              <w:tc>
                <w:tcPr>
                  <w:tcW w:w="4677" w:type="dxa"/>
                  <w:tcBorders>
                    <w:left w:val="double" w:sz="6" w:space="0" w:color="000000"/>
                  </w:tcBorders>
                </w:tcPr>
                <w:p w14:paraId="04316261"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7597CDDF"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04EAF590" w14:textId="77777777" w:rsidTr="0088638B">
              <w:trPr>
                <w:trHeight w:val="184"/>
                <w:jc w:val="center"/>
              </w:trPr>
              <w:tc>
                <w:tcPr>
                  <w:tcW w:w="4677" w:type="dxa"/>
                  <w:tcBorders>
                    <w:left w:val="double" w:sz="6" w:space="0" w:color="000000"/>
                  </w:tcBorders>
                </w:tcPr>
                <w:p w14:paraId="34A56E7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Gray iron and ductile iron  </w:t>
                  </w:r>
                </w:p>
              </w:tc>
              <w:tc>
                <w:tcPr>
                  <w:tcW w:w="2236" w:type="dxa"/>
                  <w:tcBorders>
                    <w:right w:val="double" w:sz="6" w:space="0" w:color="000000"/>
                  </w:tcBorders>
                </w:tcPr>
                <w:p w14:paraId="498B6D3F"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AWWACIIO;AWWACI53 </w:t>
                  </w:r>
                </w:p>
              </w:tc>
            </w:tr>
            <w:tr w:rsidR="006E50FF" w:rsidRPr="006E50FF" w14:paraId="6BED8E7D" w14:textId="77777777" w:rsidTr="0088638B">
              <w:trPr>
                <w:trHeight w:val="184"/>
                <w:jc w:val="center"/>
              </w:trPr>
              <w:tc>
                <w:tcPr>
                  <w:tcW w:w="4677" w:type="dxa"/>
                  <w:tcBorders>
                    <w:left w:val="double" w:sz="6" w:space="0" w:color="000000"/>
                  </w:tcBorders>
                </w:tcPr>
                <w:p w14:paraId="44DB497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Malleable iron</w:t>
                  </w:r>
                </w:p>
              </w:tc>
              <w:tc>
                <w:tcPr>
                  <w:tcW w:w="2236" w:type="dxa"/>
                  <w:tcBorders>
                    <w:right w:val="double" w:sz="6" w:space="0" w:color="000000"/>
                  </w:tcBorders>
                </w:tcPr>
                <w:p w14:paraId="2B9E1DE4"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ASMEBI6.3 </w:t>
                  </w:r>
                </w:p>
              </w:tc>
            </w:tr>
            <w:tr w:rsidR="006E50FF" w:rsidRPr="006E50FF" w14:paraId="74B9EA0A" w14:textId="77777777" w:rsidTr="0088638B">
              <w:trPr>
                <w:trHeight w:val="184"/>
                <w:jc w:val="center"/>
              </w:trPr>
              <w:tc>
                <w:tcPr>
                  <w:tcW w:w="4677" w:type="dxa"/>
                  <w:tcBorders>
                    <w:left w:val="double" w:sz="6" w:space="0" w:color="000000"/>
                  </w:tcBorders>
                </w:tcPr>
                <w:p w14:paraId="1380496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Insert fittings for</w:t>
                  </w:r>
                </w:p>
              </w:tc>
              <w:tc>
                <w:tcPr>
                  <w:tcW w:w="2236" w:type="dxa"/>
                  <w:tcBorders>
                    <w:right w:val="double" w:sz="6" w:space="0" w:color="000000"/>
                  </w:tcBorders>
                </w:tcPr>
                <w:p w14:paraId="3B8B9402"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1974; ASTM F </w:t>
                  </w:r>
                </w:p>
              </w:tc>
            </w:tr>
            <w:tr w:rsidR="006E50FF" w:rsidRPr="006E50FF" w14:paraId="677FC6E2" w14:textId="77777777" w:rsidTr="0088638B">
              <w:trPr>
                <w:trHeight w:val="184"/>
                <w:jc w:val="center"/>
              </w:trPr>
              <w:tc>
                <w:tcPr>
                  <w:tcW w:w="4677" w:type="dxa"/>
                  <w:tcBorders>
                    <w:left w:val="double" w:sz="6" w:space="0" w:color="000000"/>
                  </w:tcBorders>
                </w:tcPr>
                <w:p w14:paraId="1B546F41"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tc>
              <w:tc>
                <w:tcPr>
                  <w:tcW w:w="2236" w:type="dxa"/>
                  <w:tcBorders>
                    <w:right w:val="double" w:sz="6" w:space="0" w:color="000000"/>
                  </w:tcBorders>
                </w:tcPr>
                <w:p w14:paraId="113CE091"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1281; ASTM F 1282; CSA </w:t>
                  </w:r>
                </w:p>
              </w:tc>
            </w:tr>
            <w:tr w:rsidR="006E50FF" w:rsidRPr="006E50FF" w14:paraId="32F556B2" w14:textId="77777777" w:rsidTr="0088638B">
              <w:trPr>
                <w:trHeight w:val="184"/>
                <w:jc w:val="center"/>
              </w:trPr>
              <w:tc>
                <w:tcPr>
                  <w:tcW w:w="4677" w:type="dxa"/>
                  <w:tcBorders>
                    <w:left w:val="double" w:sz="6" w:space="0" w:color="000000"/>
                  </w:tcBorders>
                </w:tcPr>
                <w:p w14:paraId="2BFDAC63"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 xml:space="preserve">(pE-AL-PE) and cross-linked  </w:t>
                  </w:r>
                </w:p>
              </w:tc>
              <w:tc>
                <w:tcPr>
                  <w:tcW w:w="2236" w:type="dxa"/>
                  <w:tcBorders>
                    <w:right w:val="double" w:sz="6" w:space="0" w:color="000000"/>
                  </w:tcBorders>
                </w:tcPr>
                <w:p w14:paraId="3DCB151A"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BI37.9; </w:t>
                  </w:r>
                </w:p>
              </w:tc>
            </w:tr>
            <w:tr w:rsidR="006E50FF" w:rsidRPr="006E50FF" w14:paraId="2A340B13" w14:textId="77777777" w:rsidTr="0088638B">
              <w:trPr>
                <w:trHeight w:val="187"/>
                <w:jc w:val="center"/>
              </w:trPr>
              <w:tc>
                <w:tcPr>
                  <w:tcW w:w="4677" w:type="dxa"/>
                  <w:tcBorders>
                    <w:left w:val="double" w:sz="6" w:space="0" w:color="000000"/>
                  </w:tcBorders>
                </w:tcPr>
                <w:p w14:paraId="090BB2C0"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tc>
              <w:tc>
                <w:tcPr>
                  <w:tcW w:w="2236" w:type="dxa"/>
                  <w:tcBorders>
                    <w:right w:val="double" w:sz="6" w:space="0" w:color="000000"/>
                  </w:tcBorders>
                </w:tcPr>
                <w:p w14:paraId="20D51930"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 xml:space="preserve">CSA B137.10 </w:t>
                  </w:r>
                </w:p>
              </w:tc>
            </w:tr>
            <w:tr w:rsidR="006E50FF" w:rsidRPr="006E50FF" w14:paraId="2B91AB9B" w14:textId="77777777" w:rsidTr="0088638B">
              <w:trPr>
                <w:trHeight w:val="187"/>
                <w:jc w:val="center"/>
              </w:trPr>
              <w:tc>
                <w:tcPr>
                  <w:tcW w:w="4677" w:type="dxa"/>
                  <w:tcBorders>
                    <w:left w:val="double" w:sz="6" w:space="0" w:color="000000"/>
                  </w:tcBorders>
                </w:tcPr>
                <w:p w14:paraId="29999A11"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(PEX-AL-PEX)</w:t>
                  </w:r>
                </w:p>
              </w:tc>
              <w:tc>
                <w:tcPr>
                  <w:tcW w:w="2236" w:type="dxa"/>
                  <w:tcBorders>
                    <w:right w:val="double" w:sz="6" w:space="0" w:color="000000"/>
                  </w:tcBorders>
                </w:tcPr>
                <w:p w14:paraId="04B84091" w14:textId="77777777" w:rsidR="006E50FF" w:rsidRPr="006E50FF" w:rsidRDefault="006E50FF" w:rsidP="006E50FF">
                  <w:pPr>
                    <w:widowControl w:val="0"/>
                    <w:autoSpaceDE w:val="0"/>
                    <w:autoSpaceDN w:val="0"/>
                    <w:spacing w:line="181" w:lineRule="exact"/>
                    <w:ind w:left="91" w:right="55"/>
                    <w:rPr>
                      <w:sz w:val="16"/>
                      <w:szCs w:val="16"/>
                    </w:rPr>
                  </w:pPr>
                </w:p>
              </w:tc>
            </w:tr>
            <w:tr w:rsidR="006E50FF" w:rsidRPr="006E50FF" w14:paraId="6E167377" w14:textId="77777777" w:rsidTr="0088638B">
              <w:trPr>
                <w:trHeight w:val="184"/>
                <w:jc w:val="center"/>
              </w:trPr>
              <w:tc>
                <w:tcPr>
                  <w:tcW w:w="4677" w:type="dxa"/>
                  <w:tcBorders>
                    <w:left w:val="double" w:sz="6" w:space="0" w:color="000000"/>
                  </w:tcBorders>
                </w:tcPr>
                <w:p w14:paraId="0E71243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Polyethylene</w:t>
                  </w:r>
                  <w:r w:rsidRPr="006E50FF">
                    <w:rPr>
                      <w:spacing w:val="-8"/>
                      <w:sz w:val="16"/>
                      <w:szCs w:val="16"/>
                    </w:rPr>
                    <w:t xml:space="preserve"> </w:t>
                  </w:r>
                  <w:r w:rsidRPr="006E50FF">
                    <w:rPr>
                      <w:sz w:val="16"/>
                      <w:szCs w:val="16"/>
                    </w:rPr>
                    <w:t>(PE)</w:t>
                  </w:r>
                  <w:r w:rsidRPr="006E50FF">
                    <w:rPr>
                      <w:spacing w:val="-6"/>
                      <w:sz w:val="16"/>
                      <w:szCs w:val="16"/>
                    </w:rPr>
                    <w:t xml:space="preserve"> </w:t>
                  </w:r>
                  <w:r w:rsidRPr="006E50FF">
                    <w:rPr>
                      <w:sz w:val="16"/>
                      <w:szCs w:val="16"/>
                    </w:rPr>
                    <w:t>plastic</w:t>
                  </w:r>
                </w:p>
              </w:tc>
              <w:tc>
                <w:tcPr>
                  <w:tcW w:w="2236" w:type="dxa"/>
                  <w:tcBorders>
                    <w:right w:val="double" w:sz="6" w:space="0" w:color="000000"/>
                  </w:tcBorders>
                </w:tcPr>
                <w:p w14:paraId="25880437"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CSA B137.1 </w:t>
                  </w:r>
                </w:p>
              </w:tc>
            </w:tr>
            <w:tr w:rsidR="006E50FF" w:rsidRPr="006E50FF" w14:paraId="001114C1" w14:textId="77777777" w:rsidTr="0088638B">
              <w:trPr>
                <w:trHeight w:val="184"/>
                <w:jc w:val="center"/>
              </w:trPr>
              <w:tc>
                <w:tcPr>
                  <w:tcW w:w="4677" w:type="dxa"/>
                  <w:tcBorders>
                    <w:left w:val="double" w:sz="6" w:space="0" w:color="000000"/>
                  </w:tcBorders>
                </w:tcPr>
                <w:p w14:paraId="6E5892F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Fittings for polyethylene of raised  </w:t>
                  </w:r>
                </w:p>
              </w:tc>
              <w:tc>
                <w:tcPr>
                  <w:tcW w:w="2236" w:type="dxa"/>
                  <w:tcBorders>
                    <w:right w:val="double" w:sz="6" w:space="0" w:color="000000"/>
                  </w:tcBorders>
                </w:tcPr>
                <w:p w14:paraId="570BF05D"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1807; ASTM F2098; </w:t>
                  </w:r>
                </w:p>
              </w:tc>
            </w:tr>
            <w:tr w:rsidR="006E50FF" w:rsidRPr="006E50FF" w14:paraId="025092C5" w14:textId="77777777" w:rsidTr="0088638B">
              <w:trPr>
                <w:trHeight w:val="184"/>
                <w:jc w:val="center"/>
              </w:trPr>
              <w:tc>
                <w:tcPr>
                  <w:tcW w:w="4677" w:type="dxa"/>
                  <w:tcBorders>
                    <w:left w:val="double" w:sz="6" w:space="0" w:color="000000"/>
                  </w:tcBorders>
                </w:tcPr>
                <w:p w14:paraId="2A55D1F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temperature (PE-RT) plastic tubing</w:t>
                  </w:r>
                </w:p>
              </w:tc>
              <w:tc>
                <w:tcPr>
                  <w:tcW w:w="2236" w:type="dxa"/>
                  <w:tcBorders>
                    <w:right w:val="double" w:sz="6" w:space="0" w:color="000000"/>
                  </w:tcBorders>
                </w:tcPr>
                <w:p w14:paraId="396567EC"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2159; ASTM F 2735 </w:t>
                  </w:r>
                </w:p>
              </w:tc>
            </w:tr>
            <w:tr w:rsidR="006E50FF" w:rsidRPr="006E50FF" w14:paraId="0C063CB2" w14:textId="77777777" w:rsidTr="0088638B">
              <w:trPr>
                <w:trHeight w:val="184"/>
                <w:jc w:val="center"/>
              </w:trPr>
              <w:tc>
                <w:tcPr>
                  <w:tcW w:w="4677" w:type="dxa"/>
                  <w:tcBorders>
                    <w:left w:val="double" w:sz="6" w:space="0" w:color="000000"/>
                  </w:tcBorders>
                </w:tcPr>
                <w:p w14:paraId="681B2E5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Polypropylene CPP) plastic pipe or tubing</w:t>
                  </w:r>
                </w:p>
              </w:tc>
              <w:tc>
                <w:tcPr>
                  <w:tcW w:w="2236" w:type="dxa"/>
                  <w:tcBorders>
                    <w:right w:val="double" w:sz="6" w:space="0" w:color="000000"/>
                  </w:tcBorders>
                </w:tcPr>
                <w:p w14:paraId="75CE725C"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2389; CSA B 137.11 </w:t>
                  </w:r>
                </w:p>
              </w:tc>
            </w:tr>
            <w:tr w:rsidR="006E50FF" w:rsidRPr="006E50FF" w14:paraId="06932644" w14:textId="77777777" w:rsidTr="0088638B">
              <w:trPr>
                <w:trHeight w:val="184"/>
                <w:jc w:val="center"/>
              </w:trPr>
              <w:tc>
                <w:tcPr>
                  <w:tcW w:w="4677" w:type="dxa"/>
                  <w:tcBorders>
                    <w:left w:val="double" w:sz="6" w:space="0" w:color="000000"/>
                  </w:tcBorders>
                </w:tcPr>
                <w:p w14:paraId="66532325"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Polyvinyl chloride (PYC) plastic</w:t>
                  </w:r>
                </w:p>
              </w:tc>
              <w:tc>
                <w:tcPr>
                  <w:tcW w:w="2236" w:type="dxa"/>
                  <w:tcBorders>
                    <w:right w:val="double" w:sz="6" w:space="0" w:color="000000"/>
                  </w:tcBorders>
                </w:tcPr>
                <w:p w14:paraId="1E784245"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D 2464; ASTM D </w:t>
                  </w:r>
                </w:p>
              </w:tc>
            </w:tr>
            <w:tr w:rsidR="006E50FF" w:rsidRPr="006E50FF" w14:paraId="614EE58F" w14:textId="77777777" w:rsidTr="0088638B">
              <w:trPr>
                <w:trHeight w:val="184"/>
                <w:jc w:val="center"/>
              </w:trPr>
              <w:tc>
                <w:tcPr>
                  <w:tcW w:w="4677" w:type="dxa"/>
                  <w:tcBorders>
                    <w:left w:val="double" w:sz="6" w:space="0" w:color="000000"/>
                  </w:tcBorders>
                </w:tcPr>
                <w:p w14:paraId="562F9FF8" w14:textId="77777777" w:rsidR="006E50FF" w:rsidRPr="006E50FF" w:rsidRDefault="006E50FF" w:rsidP="006E50FF">
                  <w:pPr>
                    <w:widowControl w:val="0"/>
                    <w:autoSpaceDE w:val="0"/>
                    <w:autoSpaceDN w:val="0"/>
                    <w:spacing w:line="164" w:lineRule="exact"/>
                    <w:ind w:left="91" w:right="90"/>
                    <w:rPr>
                      <w:sz w:val="16"/>
                      <w:szCs w:val="16"/>
                    </w:rPr>
                  </w:pPr>
                </w:p>
              </w:tc>
              <w:tc>
                <w:tcPr>
                  <w:tcW w:w="2236" w:type="dxa"/>
                  <w:tcBorders>
                    <w:right w:val="double" w:sz="6" w:space="0" w:color="000000"/>
                  </w:tcBorders>
                </w:tcPr>
                <w:p w14:paraId="7C18DFCE"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2466; ASTM D 2467; CSA </w:t>
                  </w:r>
                </w:p>
              </w:tc>
            </w:tr>
            <w:tr w:rsidR="006E50FF" w:rsidRPr="006E50FF" w14:paraId="1B1D031C" w14:textId="77777777" w:rsidTr="0088638B">
              <w:trPr>
                <w:trHeight w:val="184"/>
                <w:jc w:val="center"/>
              </w:trPr>
              <w:tc>
                <w:tcPr>
                  <w:tcW w:w="4677" w:type="dxa"/>
                  <w:tcBorders>
                    <w:left w:val="double" w:sz="6" w:space="0" w:color="000000"/>
                  </w:tcBorders>
                </w:tcPr>
                <w:p w14:paraId="2AC98561" w14:textId="77777777" w:rsidR="006E50FF" w:rsidRPr="006E50FF" w:rsidRDefault="006E50FF" w:rsidP="006E50FF">
                  <w:pPr>
                    <w:widowControl w:val="0"/>
                    <w:autoSpaceDE w:val="0"/>
                    <w:autoSpaceDN w:val="0"/>
                    <w:spacing w:line="164" w:lineRule="exact"/>
                    <w:ind w:left="91" w:right="90"/>
                    <w:rPr>
                      <w:sz w:val="16"/>
                      <w:szCs w:val="16"/>
                    </w:rPr>
                  </w:pPr>
                </w:p>
              </w:tc>
              <w:tc>
                <w:tcPr>
                  <w:tcW w:w="2236" w:type="dxa"/>
                  <w:tcBorders>
                    <w:right w:val="double" w:sz="6" w:space="0" w:color="000000"/>
                  </w:tcBorders>
                </w:tcPr>
                <w:p w14:paraId="100E9955"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B 137.2; </w:t>
                  </w:r>
                </w:p>
              </w:tc>
            </w:tr>
            <w:tr w:rsidR="006E50FF" w:rsidRPr="006E50FF" w14:paraId="54FD084B" w14:textId="77777777" w:rsidTr="0088638B">
              <w:trPr>
                <w:trHeight w:val="184"/>
                <w:jc w:val="center"/>
              </w:trPr>
              <w:tc>
                <w:tcPr>
                  <w:tcW w:w="4677" w:type="dxa"/>
                  <w:tcBorders>
                    <w:left w:val="double" w:sz="6" w:space="0" w:color="000000"/>
                  </w:tcBorders>
                </w:tcPr>
                <w:p w14:paraId="430D099C" w14:textId="77777777" w:rsidR="006E50FF" w:rsidRPr="006E50FF" w:rsidRDefault="006E50FF" w:rsidP="006E50FF">
                  <w:pPr>
                    <w:widowControl w:val="0"/>
                    <w:autoSpaceDE w:val="0"/>
                    <w:autoSpaceDN w:val="0"/>
                    <w:spacing w:line="164" w:lineRule="exact"/>
                    <w:ind w:left="91" w:right="90"/>
                    <w:rPr>
                      <w:sz w:val="16"/>
                      <w:szCs w:val="16"/>
                    </w:rPr>
                  </w:pPr>
                </w:p>
              </w:tc>
              <w:tc>
                <w:tcPr>
                  <w:tcW w:w="2236" w:type="dxa"/>
                  <w:tcBorders>
                    <w:right w:val="double" w:sz="6" w:space="0" w:color="000000"/>
                  </w:tcBorders>
                </w:tcPr>
                <w:p w14:paraId="6636879A"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CSA B137.3 </w:t>
                  </w:r>
                </w:p>
              </w:tc>
            </w:tr>
            <w:tr w:rsidR="006E50FF" w:rsidRPr="006E50FF" w14:paraId="45DAF980" w14:textId="77777777" w:rsidTr="0088638B">
              <w:trPr>
                <w:trHeight w:val="187"/>
                <w:jc w:val="center"/>
              </w:trPr>
              <w:tc>
                <w:tcPr>
                  <w:tcW w:w="4677" w:type="dxa"/>
                  <w:tcBorders>
                    <w:left w:val="double" w:sz="6" w:space="0" w:color="000000"/>
                  </w:tcBorders>
                </w:tcPr>
                <w:p w14:paraId="0A340DE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304/304L) pipe</w:t>
                  </w:r>
                </w:p>
              </w:tc>
              <w:tc>
                <w:tcPr>
                  <w:tcW w:w="2236" w:type="dxa"/>
                  <w:tcBorders>
                    <w:right w:val="double" w:sz="6" w:space="0" w:color="000000"/>
                  </w:tcBorders>
                </w:tcPr>
                <w:p w14:paraId="0A06E710" w14:textId="77777777" w:rsidR="006E50FF" w:rsidRPr="006E50FF" w:rsidRDefault="006E50FF" w:rsidP="006E50FF">
                  <w:pPr>
                    <w:widowControl w:val="0"/>
                    <w:autoSpaceDE w:val="0"/>
                    <w:autoSpaceDN w:val="0"/>
                    <w:spacing w:before="1" w:line="167" w:lineRule="exact"/>
                    <w:ind w:left="91" w:right="55"/>
                    <w:rPr>
                      <w:sz w:val="16"/>
                      <w:szCs w:val="16"/>
                    </w:rPr>
                  </w:pPr>
                  <w:r w:rsidRPr="006E50FF">
                    <w:rPr>
                      <w:sz w:val="16"/>
                      <w:szCs w:val="16"/>
                    </w:rPr>
                    <w:t xml:space="preserve">ASTM A 312; ASTM A 778 </w:t>
                  </w:r>
                </w:p>
              </w:tc>
            </w:tr>
            <w:tr w:rsidR="006E50FF" w:rsidRPr="006E50FF" w14:paraId="74DF03EB" w14:textId="77777777" w:rsidTr="0088638B">
              <w:trPr>
                <w:trHeight w:val="187"/>
                <w:jc w:val="center"/>
              </w:trPr>
              <w:tc>
                <w:tcPr>
                  <w:tcW w:w="4677" w:type="dxa"/>
                  <w:tcBorders>
                    <w:left w:val="double" w:sz="6" w:space="0" w:color="000000"/>
                  </w:tcBorders>
                </w:tcPr>
                <w:p w14:paraId="7CA26F2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316/316L) pipe</w:t>
                  </w:r>
                </w:p>
              </w:tc>
              <w:tc>
                <w:tcPr>
                  <w:tcW w:w="2236" w:type="dxa"/>
                  <w:tcBorders>
                    <w:right w:val="double" w:sz="6" w:space="0" w:color="000000"/>
                  </w:tcBorders>
                </w:tcPr>
                <w:p w14:paraId="7E8FFCB7" w14:textId="77777777" w:rsidR="006E50FF" w:rsidRPr="006E50FF" w:rsidRDefault="006E50FF" w:rsidP="006E50FF">
                  <w:pPr>
                    <w:widowControl w:val="0"/>
                    <w:autoSpaceDE w:val="0"/>
                    <w:autoSpaceDN w:val="0"/>
                    <w:spacing w:line="168" w:lineRule="exact"/>
                    <w:ind w:left="91" w:right="55"/>
                    <w:rPr>
                      <w:sz w:val="16"/>
                      <w:szCs w:val="16"/>
                    </w:rPr>
                  </w:pPr>
                  <w:r w:rsidRPr="006E50FF">
                    <w:rPr>
                      <w:sz w:val="16"/>
                      <w:szCs w:val="16"/>
                    </w:rPr>
                    <w:t xml:space="preserve">ASTM A 312; ASTM A 778 </w:t>
                  </w:r>
                </w:p>
              </w:tc>
            </w:tr>
            <w:tr w:rsidR="006E50FF" w:rsidRPr="006E50FF" w14:paraId="5A0E1731" w14:textId="77777777" w:rsidTr="0088638B">
              <w:trPr>
                <w:trHeight w:val="187"/>
                <w:jc w:val="center"/>
              </w:trPr>
              <w:tc>
                <w:tcPr>
                  <w:tcW w:w="4677" w:type="dxa"/>
                  <w:tcBorders>
                    <w:left w:val="double" w:sz="6" w:space="0" w:color="000000"/>
                  </w:tcBorders>
                </w:tcPr>
                <w:p w14:paraId="2AA64FEC"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Steel</w:t>
                  </w:r>
                </w:p>
              </w:tc>
              <w:tc>
                <w:tcPr>
                  <w:tcW w:w="2236" w:type="dxa"/>
                  <w:tcBorders>
                    <w:right w:val="double" w:sz="6" w:space="0" w:color="000000"/>
                  </w:tcBorders>
                </w:tcPr>
                <w:p w14:paraId="4954ECD2" w14:textId="77777777" w:rsidR="006E50FF" w:rsidRPr="006E50FF" w:rsidRDefault="006E50FF" w:rsidP="006E50FF">
                  <w:pPr>
                    <w:widowControl w:val="0"/>
                    <w:autoSpaceDE w:val="0"/>
                    <w:autoSpaceDN w:val="0"/>
                    <w:spacing w:line="180" w:lineRule="exact"/>
                    <w:ind w:left="91" w:right="55"/>
                    <w:rPr>
                      <w:sz w:val="16"/>
                      <w:szCs w:val="16"/>
                    </w:rPr>
                  </w:pPr>
                  <w:r w:rsidRPr="006E50FF">
                    <w:rPr>
                      <w:sz w:val="16"/>
                      <w:szCs w:val="16"/>
                    </w:rPr>
                    <w:t xml:space="preserve">ASME B 16.9; ASME BI6.11; </w:t>
                  </w:r>
                </w:p>
              </w:tc>
            </w:tr>
            <w:tr w:rsidR="006E50FF" w:rsidRPr="006E50FF" w14:paraId="53C232C7" w14:textId="77777777" w:rsidTr="0088638B">
              <w:trPr>
                <w:trHeight w:val="187"/>
                <w:jc w:val="center"/>
              </w:trPr>
              <w:tc>
                <w:tcPr>
                  <w:tcW w:w="4677" w:type="dxa"/>
                  <w:tcBorders>
                    <w:left w:val="double" w:sz="6" w:space="0" w:color="000000"/>
                    <w:bottom w:val="double" w:sz="6" w:space="0" w:color="000000"/>
                  </w:tcBorders>
                </w:tcPr>
                <w:p w14:paraId="699CAA02"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bottom w:val="double" w:sz="6" w:space="0" w:color="000000"/>
                    <w:right w:val="double" w:sz="6" w:space="0" w:color="000000"/>
                  </w:tcBorders>
                </w:tcPr>
                <w:p w14:paraId="3A330E8E" w14:textId="77777777" w:rsidR="006E50FF" w:rsidRPr="006E50FF" w:rsidRDefault="006E50FF" w:rsidP="006E50FF">
                  <w:pPr>
                    <w:widowControl w:val="0"/>
                    <w:autoSpaceDE w:val="0"/>
                    <w:autoSpaceDN w:val="0"/>
                    <w:spacing w:line="180" w:lineRule="exact"/>
                    <w:ind w:left="91" w:right="55"/>
                    <w:rPr>
                      <w:sz w:val="16"/>
                      <w:szCs w:val="16"/>
                    </w:rPr>
                  </w:pPr>
                  <w:r w:rsidRPr="006E50FF">
                    <w:rPr>
                      <w:sz w:val="16"/>
                      <w:szCs w:val="16"/>
                    </w:rPr>
                    <w:t>ASMEBI6.28</w:t>
                  </w:r>
                </w:p>
              </w:tc>
            </w:tr>
          </w:tbl>
          <w:p w14:paraId="5C22EA49" w14:textId="77777777" w:rsidR="006E50FF" w:rsidRPr="006E50FF" w:rsidRDefault="006E50FF" w:rsidP="006E50FF">
            <w:pPr>
              <w:widowControl w:val="0"/>
              <w:autoSpaceDE w:val="0"/>
              <w:autoSpaceDN w:val="0"/>
              <w:ind w:left="91" w:right="90"/>
              <w:rPr>
                <w:sz w:val="16"/>
                <w:szCs w:val="16"/>
              </w:rPr>
            </w:pPr>
          </w:p>
          <w:p w14:paraId="4282E53C" w14:textId="77777777" w:rsidR="006E50FF" w:rsidRPr="006E50FF" w:rsidRDefault="006E50FF" w:rsidP="006E50FF">
            <w:pPr>
              <w:widowControl w:val="0"/>
              <w:autoSpaceDE w:val="0"/>
              <w:autoSpaceDN w:val="0"/>
              <w:ind w:left="91" w:right="90"/>
              <w:rPr>
                <w:sz w:val="16"/>
                <w:szCs w:val="16"/>
              </w:rPr>
            </w:pPr>
          </w:p>
        </w:tc>
      </w:tr>
      <w:tr w:rsidR="006E50FF" w:rsidRPr="006E50FF" w14:paraId="25AD7B1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75C40CE"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92F1CB7" w14:textId="77777777" w:rsidR="006E50FF" w:rsidRPr="006E50FF" w:rsidRDefault="006E50FF" w:rsidP="006E50FF">
            <w:pPr>
              <w:widowControl w:val="0"/>
              <w:autoSpaceDE w:val="0"/>
              <w:autoSpaceDN w:val="0"/>
              <w:ind w:left="91"/>
              <w:rPr>
                <w:sz w:val="16"/>
                <w:szCs w:val="16"/>
              </w:rPr>
            </w:pPr>
            <w:r w:rsidRPr="006E50FF">
              <w:rPr>
                <w:sz w:val="16"/>
                <w:szCs w:val="16"/>
              </w:rPr>
              <w:t>Section 605.13.7, Push-fit joints</w:t>
            </w:r>
          </w:p>
        </w:tc>
        <w:tc>
          <w:tcPr>
            <w:tcW w:w="7043" w:type="dxa"/>
            <w:gridSpan w:val="2"/>
            <w:tcBorders>
              <w:top w:val="single" w:sz="6" w:space="0" w:color="000000"/>
              <w:left w:val="single" w:sz="6" w:space="0" w:color="000000"/>
              <w:bottom w:val="single" w:sz="6" w:space="0" w:color="000000"/>
              <w:right w:val="single" w:sz="6" w:space="0" w:color="000000"/>
            </w:tcBorders>
          </w:tcPr>
          <w:p w14:paraId="7F6D784F"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Push-fit joints shall conform to ASSE 1061, shall be installed in accordance with the manufacturer’s instructions and shall be of the permanent non-removable type.</w:t>
            </w:r>
          </w:p>
        </w:tc>
      </w:tr>
      <w:tr w:rsidR="006E50FF" w:rsidRPr="006E50FF" w14:paraId="61EC8BE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B58F0AA"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E155729" w14:textId="77777777" w:rsidR="006E50FF" w:rsidRPr="006E50FF" w:rsidRDefault="006E50FF" w:rsidP="006E50FF">
            <w:pPr>
              <w:widowControl w:val="0"/>
              <w:autoSpaceDE w:val="0"/>
              <w:autoSpaceDN w:val="0"/>
              <w:ind w:left="91"/>
              <w:rPr>
                <w:sz w:val="16"/>
                <w:szCs w:val="16"/>
              </w:rPr>
            </w:pPr>
            <w:r w:rsidRPr="006E50FF">
              <w:rPr>
                <w:sz w:val="16"/>
                <w:szCs w:val="16"/>
              </w:rPr>
              <w:t>Section 605.14.4, Push- fit joints.</w:t>
            </w:r>
          </w:p>
        </w:tc>
        <w:tc>
          <w:tcPr>
            <w:tcW w:w="7043" w:type="dxa"/>
            <w:gridSpan w:val="2"/>
            <w:tcBorders>
              <w:top w:val="single" w:sz="6" w:space="0" w:color="000000"/>
              <w:left w:val="single" w:sz="6" w:space="0" w:color="000000"/>
              <w:bottom w:val="single" w:sz="6" w:space="0" w:color="000000"/>
              <w:right w:val="single" w:sz="6" w:space="0" w:color="000000"/>
            </w:tcBorders>
          </w:tcPr>
          <w:p w14:paraId="43BDC2F2"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Push-fit joints shall conform to ASSE 1061, shall be installed in accordance with the manufacturer’s instructions and shall be of the permanent non-removable type.</w:t>
            </w:r>
          </w:p>
        </w:tc>
      </w:tr>
      <w:tr w:rsidR="006E50FF" w:rsidRPr="006E50FF" w14:paraId="1CE5EDF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AC06D38"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32AD5AF" w14:textId="77777777" w:rsidR="006E50FF" w:rsidRPr="006E50FF" w:rsidRDefault="006E50FF" w:rsidP="006E50FF">
            <w:pPr>
              <w:widowControl w:val="0"/>
              <w:autoSpaceDE w:val="0"/>
              <w:autoSpaceDN w:val="0"/>
              <w:ind w:left="91"/>
              <w:rPr>
                <w:sz w:val="16"/>
                <w:szCs w:val="16"/>
              </w:rPr>
            </w:pPr>
            <w:r w:rsidRPr="006E50FF">
              <w:rPr>
                <w:sz w:val="16"/>
                <w:szCs w:val="16"/>
              </w:rPr>
              <w:t>Section 605.16.3, Push-fit joints.</w:t>
            </w:r>
          </w:p>
        </w:tc>
        <w:tc>
          <w:tcPr>
            <w:tcW w:w="7043" w:type="dxa"/>
            <w:gridSpan w:val="2"/>
            <w:tcBorders>
              <w:top w:val="single" w:sz="6" w:space="0" w:color="000000"/>
              <w:left w:val="single" w:sz="6" w:space="0" w:color="000000"/>
              <w:bottom w:val="single" w:sz="6" w:space="0" w:color="000000"/>
              <w:right w:val="single" w:sz="6" w:space="0" w:color="000000"/>
            </w:tcBorders>
          </w:tcPr>
          <w:p w14:paraId="2D547A56"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Push-fit joints shall conform to ASSE 1061, shall be installed in accordance with the manufacturer’s instructions and shall be of the permanent non-removable type.</w:t>
            </w:r>
          </w:p>
        </w:tc>
      </w:tr>
      <w:tr w:rsidR="006E50FF" w:rsidRPr="006E50FF" w14:paraId="3BA438B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BE6E377"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3B111B1" w14:textId="77777777" w:rsidR="006E50FF" w:rsidRPr="006E50FF" w:rsidRDefault="006E50FF" w:rsidP="006E50FF">
            <w:pPr>
              <w:widowControl w:val="0"/>
              <w:autoSpaceDE w:val="0"/>
              <w:autoSpaceDN w:val="0"/>
              <w:ind w:left="91"/>
              <w:rPr>
                <w:sz w:val="16"/>
                <w:szCs w:val="16"/>
              </w:rPr>
            </w:pPr>
            <w:r w:rsidRPr="006E50FF">
              <w:rPr>
                <w:sz w:val="16"/>
                <w:szCs w:val="16"/>
              </w:rPr>
              <w:t>Section 606.5.5, Low- Pressure Cutoff Required on Booster Pumps.</w:t>
            </w:r>
          </w:p>
        </w:tc>
        <w:tc>
          <w:tcPr>
            <w:tcW w:w="7043" w:type="dxa"/>
            <w:gridSpan w:val="2"/>
            <w:tcBorders>
              <w:top w:val="single" w:sz="6" w:space="0" w:color="000000"/>
              <w:left w:val="single" w:sz="6" w:space="0" w:color="000000"/>
              <w:bottom w:val="single" w:sz="6" w:space="0" w:color="000000"/>
              <w:right w:val="single" w:sz="6" w:space="0" w:color="000000"/>
            </w:tcBorders>
          </w:tcPr>
          <w:p w14:paraId="5B007563"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A low-pressure cutoff shall be installed on all booster pumps in a water pressure booster system to prevent creation of a vacuum or negative pressure on the suction side of the pump when a positive pressure of 20 psi (137.9 kPa) or less occurs on the suction side of the pump.</w:t>
            </w:r>
          </w:p>
        </w:tc>
      </w:tr>
      <w:tr w:rsidR="006E50FF" w:rsidRPr="006E50FF" w14:paraId="705C362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621D2CD"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AA0CD06" w14:textId="77777777" w:rsidR="006E50FF" w:rsidRPr="006E50FF" w:rsidRDefault="006E50FF" w:rsidP="006E50FF">
            <w:pPr>
              <w:widowControl w:val="0"/>
              <w:autoSpaceDE w:val="0"/>
              <w:autoSpaceDN w:val="0"/>
              <w:ind w:left="91"/>
              <w:rPr>
                <w:sz w:val="16"/>
                <w:szCs w:val="16"/>
              </w:rPr>
            </w:pPr>
            <w:r w:rsidRPr="006E50FF">
              <w:rPr>
                <w:sz w:val="16"/>
                <w:szCs w:val="16"/>
              </w:rPr>
              <w:t>Section 607.2, Hot or tempered water supply to fixtures.</w:t>
            </w:r>
          </w:p>
        </w:tc>
        <w:tc>
          <w:tcPr>
            <w:tcW w:w="7043" w:type="dxa"/>
            <w:gridSpan w:val="2"/>
            <w:tcBorders>
              <w:top w:val="single" w:sz="6" w:space="0" w:color="000000"/>
              <w:left w:val="single" w:sz="6" w:space="0" w:color="000000"/>
              <w:bottom w:val="single" w:sz="6" w:space="0" w:color="000000"/>
              <w:right w:val="single" w:sz="6" w:space="0" w:color="000000"/>
            </w:tcBorders>
          </w:tcPr>
          <w:p w14:paraId="05E6551F"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developed length of hot or tempered water piping, from the source of hot water to the fixtures that require hot or tempered water, shall not exceed 100. Recirculating system piping and heat-traced piping shall be considered to be sources of hot or tempered water.</w:t>
            </w:r>
          </w:p>
        </w:tc>
      </w:tr>
      <w:tr w:rsidR="006E50FF" w:rsidRPr="006E50FF" w14:paraId="635EEF1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C95DF8B"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CAD90AB" w14:textId="77777777" w:rsidR="006E50FF" w:rsidRPr="006E50FF" w:rsidRDefault="006E50FF" w:rsidP="006E50FF">
            <w:pPr>
              <w:widowControl w:val="0"/>
              <w:autoSpaceDE w:val="0"/>
              <w:autoSpaceDN w:val="0"/>
              <w:ind w:left="91"/>
              <w:rPr>
                <w:sz w:val="16"/>
                <w:szCs w:val="16"/>
              </w:rPr>
            </w:pPr>
            <w:r w:rsidRPr="006E50FF">
              <w:rPr>
                <w:sz w:val="16"/>
                <w:szCs w:val="16"/>
              </w:rPr>
              <w:t>Section 608.1, General.</w:t>
            </w:r>
          </w:p>
        </w:tc>
        <w:tc>
          <w:tcPr>
            <w:tcW w:w="7043" w:type="dxa"/>
            <w:gridSpan w:val="2"/>
            <w:tcBorders>
              <w:top w:val="single" w:sz="6" w:space="0" w:color="000000"/>
              <w:left w:val="single" w:sz="6" w:space="0" w:color="000000"/>
              <w:bottom w:val="single" w:sz="6" w:space="0" w:color="000000"/>
              <w:right w:val="single" w:sz="6" w:space="0" w:color="000000"/>
            </w:tcBorders>
          </w:tcPr>
          <w:p w14:paraId="6993BA4C"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A potable water supply system shall be designed, installed and maintained in such a manner so as to prevent contamination from non-potable liquids, solids or gases being introduced into the potable water supply through cross-connections or any other piping connections to the system. Backflow preventers shall conform to the applicable standard referenced in Table 608.1. Backflow preventer applications shall conform to Table 608.1, except as specifically stated in Sections 608.2 through 608.16.27 and Sections 608.18 through 608.18.2.</w:t>
            </w:r>
          </w:p>
        </w:tc>
      </w:tr>
      <w:tr w:rsidR="006E50FF" w:rsidRPr="006E50FF" w14:paraId="0836C0F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C0649E0"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84CE307" w14:textId="77777777" w:rsidR="006E50FF" w:rsidRPr="006E50FF" w:rsidRDefault="006E50FF" w:rsidP="006E50FF">
            <w:pPr>
              <w:widowControl w:val="0"/>
              <w:autoSpaceDE w:val="0"/>
              <w:autoSpaceDN w:val="0"/>
              <w:ind w:left="91"/>
              <w:rPr>
                <w:sz w:val="16"/>
                <w:szCs w:val="16"/>
              </w:rPr>
            </w:pPr>
            <w:r w:rsidRPr="006E50FF">
              <w:rPr>
                <w:sz w:val="16"/>
                <w:szCs w:val="16"/>
              </w:rPr>
              <w:t>Section 608.9,</w:t>
            </w:r>
          </w:p>
          <w:p w14:paraId="28AE566A" w14:textId="77777777" w:rsidR="006E50FF" w:rsidRPr="006E50FF" w:rsidRDefault="006E50FF" w:rsidP="006E50FF">
            <w:pPr>
              <w:widowControl w:val="0"/>
              <w:autoSpaceDE w:val="0"/>
              <w:autoSpaceDN w:val="0"/>
              <w:ind w:left="91"/>
              <w:rPr>
                <w:sz w:val="16"/>
                <w:szCs w:val="16"/>
              </w:rPr>
            </w:pPr>
            <w:r w:rsidRPr="006E50FF">
              <w:rPr>
                <w:sz w:val="16"/>
                <w:szCs w:val="16"/>
              </w:rPr>
              <w:t>Identification of Nonpotable Water.</w:t>
            </w:r>
          </w:p>
        </w:tc>
        <w:tc>
          <w:tcPr>
            <w:tcW w:w="7043" w:type="dxa"/>
            <w:gridSpan w:val="2"/>
            <w:tcBorders>
              <w:top w:val="single" w:sz="6" w:space="0" w:color="000000"/>
              <w:left w:val="single" w:sz="6" w:space="0" w:color="000000"/>
              <w:bottom w:val="single" w:sz="6" w:space="0" w:color="000000"/>
              <w:right w:val="single" w:sz="6" w:space="0" w:color="000000"/>
            </w:tcBorders>
          </w:tcPr>
          <w:p w14:paraId="4335F64D"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Where nonpotable water systems are installed, the piping conveying the nonpotable water shall be identified either by color marking, metal tags or tape in accordance with Sections 608.8.1 through 608.8.3.</w:t>
            </w:r>
          </w:p>
        </w:tc>
      </w:tr>
      <w:tr w:rsidR="006E50FF" w:rsidRPr="006E50FF" w14:paraId="3619F87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7967BA8"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312BC64" w14:textId="77777777" w:rsidR="006E50FF" w:rsidRPr="006E50FF" w:rsidRDefault="006E50FF" w:rsidP="006E50FF">
            <w:pPr>
              <w:widowControl w:val="0"/>
              <w:autoSpaceDE w:val="0"/>
              <w:autoSpaceDN w:val="0"/>
              <w:ind w:left="91"/>
              <w:rPr>
                <w:sz w:val="16"/>
                <w:szCs w:val="16"/>
              </w:rPr>
            </w:pPr>
            <w:r w:rsidRPr="006E50FF">
              <w:rPr>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20D2126F" w14:textId="77777777" w:rsidR="006E50FF" w:rsidRPr="006E50FF" w:rsidRDefault="006E50FF" w:rsidP="006E50FF">
            <w:pPr>
              <w:widowControl w:val="0"/>
              <w:autoSpaceDE w:val="0"/>
              <w:autoSpaceDN w:val="0"/>
              <w:ind w:left="91" w:right="90" w:firstLine="1"/>
              <w:rPr>
                <w:sz w:val="16"/>
                <w:szCs w:val="16"/>
              </w:rPr>
            </w:pPr>
          </w:p>
        </w:tc>
      </w:tr>
      <w:tr w:rsidR="006E50FF" w:rsidRPr="006E50FF" w14:paraId="5154487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D5D4299"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D0B3DD" w14:textId="77777777" w:rsidR="006E50FF" w:rsidRPr="006E50FF" w:rsidRDefault="006E50FF" w:rsidP="006E50FF">
            <w:pPr>
              <w:widowControl w:val="0"/>
              <w:autoSpaceDE w:val="0"/>
              <w:autoSpaceDN w:val="0"/>
              <w:ind w:left="91"/>
              <w:rPr>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A90D550"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 xml:space="preserve">1. Overall Exception to this Section (§608.8 of this code). Pursuant to R.S. 40:4.12, industrial-type </w:t>
            </w:r>
            <w:r w:rsidRPr="006E50FF">
              <w:rPr>
                <w:sz w:val="16"/>
                <w:szCs w:val="16"/>
              </w:rPr>
              <w:lastRenderedPageBreak/>
              <w:t>facilities listed therein shall not be required to comply with this section (§608.8 of this code) provided that such facilities have a potable water distribution identification plan in conformity with the requirements of R.S. 40:4.12. The required formal cross-connection control survey of the facility referenced in R.S. 40:4.12 shall be performed by an individual holding a valid cross-connection control surveyor certificate issued under the requirements of ASSE 5120, or other individuals holding a surveyor certificate from a nationally recognized backflow certification organization approved by the state health officer.</w:t>
            </w:r>
          </w:p>
        </w:tc>
      </w:tr>
      <w:tr w:rsidR="006E50FF" w:rsidRPr="006E50FF" w14:paraId="39CDCFD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6CAE03"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lastRenderedPageBreak/>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95C6615" w14:textId="77777777" w:rsidR="006E50FF" w:rsidRPr="006E50FF" w:rsidRDefault="006E50FF" w:rsidP="006E50FF">
            <w:pPr>
              <w:widowControl w:val="0"/>
              <w:autoSpaceDE w:val="0"/>
              <w:autoSpaceDN w:val="0"/>
              <w:ind w:left="91"/>
              <w:rPr>
                <w:sz w:val="16"/>
                <w:szCs w:val="16"/>
              </w:rPr>
            </w:pPr>
            <w:r w:rsidRPr="006E50FF">
              <w:rPr>
                <w:sz w:val="16"/>
                <w:szCs w:val="16"/>
              </w:rPr>
              <w:t>Section 608.15, Location of Backflow Preventers.</w:t>
            </w:r>
          </w:p>
        </w:tc>
        <w:tc>
          <w:tcPr>
            <w:tcW w:w="7043" w:type="dxa"/>
            <w:gridSpan w:val="2"/>
            <w:tcBorders>
              <w:top w:val="single" w:sz="6" w:space="0" w:color="000000"/>
              <w:left w:val="single" w:sz="6" w:space="0" w:color="000000"/>
              <w:bottom w:val="single" w:sz="6" w:space="0" w:color="000000"/>
              <w:right w:val="single" w:sz="6" w:space="0" w:color="000000"/>
            </w:tcBorders>
          </w:tcPr>
          <w:p w14:paraId="78C507EC"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Access shall be provided to backflow preventers as specified by the manufacturer’s instructions for the required testing, maintenance and repair. A minimum of 1 foot of clearance shall be provided between the lowest portion of the assembly and grade or platform. Elevated installations exceeding 5-feet above grade (g) shall be provided with a suitably located permanent platform capable of supporting the installer, tester, or repairer. Reduced pressure principal type backflow preventers, and other types of backflow preventers with atmospheric ports and/or test cocks (e.g., atmospheric type vacuum breakers, double check valve assemblies, pressure type vacuum breaker assemblies, etc.), shall not be installed below grade (in vaults or pits) where the potential for a relief valve, an atmospheric port, or a test cock being submerged exists.</w:t>
            </w:r>
          </w:p>
        </w:tc>
      </w:tr>
      <w:tr w:rsidR="006E50FF" w:rsidRPr="006E50FF" w14:paraId="13AE360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7AB1C2F"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A650FF0" w14:textId="77777777" w:rsidR="006E50FF" w:rsidRPr="006E50FF" w:rsidRDefault="006E50FF" w:rsidP="006E50FF">
            <w:pPr>
              <w:widowControl w:val="0"/>
              <w:autoSpaceDE w:val="0"/>
              <w:autoSpaceDN w:val="0"/>
              <w:ind w:left="91"/>
              <w:rPr>
                <w:sz w:val="16"/>
                <w:szCs w:val="16"/>
              </w:rPr>
            </w:pPr>
            <w:r w:rsidRPr="006E50FF">
              <w:rPr>
                <w:sz w:val="16"/>
                <w:szCs w:val="16"/>
              </w:rPr>
              <w:t>Section 608.16.4, Protection by a Vacuum Breaker.</w:t>
            </w:r>
          </w:p>
        </w:tc>
        <w:tc>
          <w:tcPr>
            <w:tcW w:w="7043" w:type="dxa"/>
            <w:gridSpan w:val="2"/>
            <w:tcBorders>
              <w:top w:val="single" w:sz="6" w:space="0" w:color="000000"/>
              <w:left w:val="single" w:sz="6" w:space="0" w:color="000000"/>
              <w:bottom w:val="single" w:sz="6" w:space="0" w:color="000000"/>
              <w:right w:val="single" w:sz="6" w:space="0" w:color="000000"/>
            </w:tcBorders>
          </w:tcPr>
          <w:p w14:paraId="4221545C"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Openings and outlets shall be protected by atmospheric-type or pressure-type vacuum breakers. The critical level of atmospheric type vacuum breakers shall be installed not less than 6 inches (152 mm) above all downstream piping and not less than 6 inches (152 mm) above the flood-level rim of the fixture receptor or device served. Shutoff or control valves shall not be installed downstream from an atmospheric vacuum breaker. Atmospheric vacuum breakers including, but not limited to, hose bibb vacuum breakers shall not be subjected to continuous water pressure. The critical level of pressure type vacuum breakers shall be installed not less than 12 inches (305 mm) above all downstream piping and not less than 12 inches (305 mm) above the flood-level rim of the fixture receptor or device served. Fill valves shall be set in accordance with Section 425.3.1. Vacuum breakers shall not be installed under exhaust hoods or similar locations that will contain toxic fumes or vapors.</w:t>
            </w:r>
          </w:p>
        </w:tc>
      </w:tr>
      <w:tr w:rsidR="006E50FF" w:rsidRPr="006E50FF" w14:paraId="2EF40D1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D5B4D89"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2BA53F0" w14:textId="77777777" w:rsidR="006E50FF" w:rsidRPr="006E50FF" w:rsidRDefault="006E50FF" w:rsidP="006E50FF">
            <w:pPr>
              <w:widowControl w:val="0"/>
              <w:autoSpaceDE w:val="0"/>
              <w:autoSpaceDN w:val="0"/>
              <w:ind w:left="91"/>
              <w:rPr>
                <w:sz w:val="16"/>
                <w:szCs w:val="16"/>
              </w:rPr>
            </w:pPr>
            <w:r w:rsidRPr="006E50FF">
              <w:rPr>
                <w:sz w:val="16"/>
                <w:szCs w:val="16"/>
              </w:rPr>
              <w:t>Section 608.17, Connections to the Potable Water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51330FDA"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Connections to the potable water system shall conform to Sections 608.17.1 through 608.17.27. These Sections (608.17.1-608.17.27) are not inclusive of all potential contamination sources which may need fixture isolation protection. For potential contamination sources not listed in Sections 608.17.1 through 608.17.27, backflow prevention methods or devices shall be utilized in accordance with Table B1 of CAN/CSA B64.10-1994. When a potential contamination source and its associated backflow prevention method or device is not identified in this code or Table B1 of CAN/CSA B64.10-1994, backflow prevention methods or devices shall be utilized as directed by the building official.</w:t>
            </w:r>
          </w:p>
        </w:tc>
      </w:tr>
      <w:tr w:rsidR="006E50FF" w:rsidRPr="006E50FF" w14:paraId="4279D3B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3A6FE99"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8822C38" w14:textId="77777777" w:rsidR="006E50FF" w:rsidRPr="006E50FF" w:rsidRDefault="006E50FF" w:rsidP="006E50FF">
            <w:pPr>
              <w:widowControl w:val="0"/>
              <w:autoSpaceDE w:val="0"/>
              <w:autoSpaceDN w:val="0"/>
              <w:ind w:left="91"/>
              <w:rPr>
                <w:sz w:val="16"/>
                <w:szCs w:val="16"/>
              </w:rPr>
            </w:pPr>
            <w:r w:rsidRPr="006E50FF">
              <w:rPr>
                <w:sz w:val="16"/>
                <w:szCs w:val="16"/>
              </w:rPr>
              <w:t>Section 608.17.5, Connections to Lawn/Landscape Irrigation Systems.</w:t>
            </w:r>
          </w:p>
        </w:tc>
        <w:tc>
          <w:tcPr>
            <w:tcW w:w="7043" w:type="dxa"/>
            <w:gridSpan w:val="2"/>
            <w:tcBorders>
              <w:top w:val="single" w:sz="6" w:space="0" w:color="000000"/>
              <w:left w:val="single" w:sz="6" w:space="0" w:color="000000"/>
              <w:bottom w:val="single" w:sz="6" w:space="0" w:color="000000"/>
              <w:right w:val="single" w:sz="6" w:space="0" w:color="000000"/>
            </w:tcBorders>
          </w:tcPr>
          <w:p w14:paraId="54E724C1"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lawn/landscape irrigation systems shall be protected against backflow by an atmospheric vacuum breaker, a pressure vacuum breaker assembly or a reduced pressure principle backflow prevention assembly. Shutoff or control valves shall not be installed downstream from an atmospheric vacuum breaker. When a lawn/landscape sprinkler system is provided with separate zones, the potable water supply shall be protected by a pressure vacuum breaker or reduced pressure principal backflow prevention assembly. Atmospheric vacuum breakers shall be installed at least 6 inches (152 mm) above the highest point of usage (i.e., 6 inches (152 mm) above all downstream piping and highest sprinkler head). Pressure type vacuum breakers shall be installed at least 12 inches (305 mm) above the highest point of usage (i.e., 12 inches (305 mm) above all downstream piping and the highest sprinkler head). Where chemicals are introduced into the system, the potable water supply shall be protected against backflow by a reduced pressure principle backflow prevention assembly.</w:t>
            </w:r>
          </w:p>
        </w:tc>
      </w:tr>
      <w:tr w:rsidR="006E50FF" w:rsidRPr="006E50FF" w14:paraId="5EDA974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BCA20C"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DA17C88"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608.17.8, Portable Cleaning Equipment.</w:t>
            </w:r>
          </w:p>
        </w:tc>
        <w:tc>
          <w:tcPr>
            <w:tcW w:w="7043" w:type="dxa"/>
            <w:gridSpan w:val="2"/>
            <w:tcBorders>
              <w:top w:val="single" w:sz="6" w:space="0" w:color="000000"/>
              <w:left w:val="single" w:sz="6" w:space="0" w:color="000000"/>
              <w:bottom w:val="single" w:sz="6" w:space="0" w:color="000000"/>
              <w:right w:val="single" w:sz="6" w:space="0" w:color="000000"/>
            </w:tcBorders>
          </w:tcPr>
          <w:p w14:paraId="57331C89"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Where the portable cleaning equipment connects to the water distribution system, the water supply system shall be protected against backflow in accordance with Section 608.14.1, 608.14.2, 608.14.3, 608.14.7, or 608.14.8. The type of backflow preventer shall be selected based upon the application in accordance with Table 608.1.</w:t>
            </w:r>
          </w:p>
        </w:tc>
      </w:tr>
      <w:tr w:rsidR="006E50FF" w:rsidRPr="006E50FF" w14:paraId="78484CA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2EA3AAA"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ED94440" w14:textId="77777777" w:rsidR="006E50FF" w:rsidRPr="006E50FF" w:rsidRDefault="006E50FF" w:rsidP="006E50FF">
            <w:pPr>
              <w:widowControl w:val="0"/>
              <w:autoSpaceDE w:val="0"/>
              <w:autoSpaceDN w:val="0"/>
              <w:ind w:left="91"/>
              <w:rPr>
                <w:sz w:val="16"/>
                <w:szCs w:val="16"/>
              </w:rPr>
            </w:pPr>
            <w:r w:rsidRPr="006E50FF">
              <w:rPr>
                <w:sz w:val="16"/>
                <w:szCs w:val="16"/>
              </w:rPr>
              <w:t>Section 608.17.11, Cooling Towers.</w:t>
            </w:r>
          </w:p>
        </w:tc>
        <w:tc>
          <w:tcPr>
            <w:tcW w:w="7043" w:type="dxa"/>
            <w:gridSpan w:val="2"/>
            <w:tcBorders>
              <w:top w:val="single" w:sz="6" w:space="0" w:color="000000"/>
              <w:left w:val="single" w:sz="6" w:space="0" w:color="000000"/>
              <w:bottom w:val="single" w:sz="6" w:space="0" w:color="000000"/>
              <w:right w:val="single" w:sz="6" w:space="0" w:color="000000"/>
            </w:tcBorders>
          </w:tcPr>
          <w:p w14:paraId="201C49CF"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cooling towers shall be protected against backflow by an air gap.</w:t>
            </w:r>
          </w:p>
        </w:tc>
      </w:tr>
      <w:tr w:rsidR="006E50FF" w:rsidRPr="006E50FF" w14:paraId="3274598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8B1CDA8"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82B6CFD" w14:textId="77777777" w:rsidR="006E50FF" w:rsidRPr="006E50FF" w:rsidRDefault="006E50FF" w:rsidP="006E50FF">
            <w:pPr>
              <w:widowControl w:val="0"/>
              <w:autoSpaceDE w:val="0"/>
              <w:autoSpaceDN w:val="0"/>
              <w:ind w:left="91"/>
              <w:rPr>
                <w:sz w:val="16"/>
                <w:szCs w:val="16"/>
              </w:rPr>
            </w:pPr>
            <w:r w:rsidRPr="006E50FF">
              <w:rPr>
                <w:sz w:val="16"/>
                <w:szCs w:val="16"/>
              </w:rPr>
              <w:t>Section 608.17.12, Chemical Tanks.</w:t>
            </w:r>
          </w:p>
        </w:tc>
        <w:tc>
          <w:tcPr>
            <w:tcW w:w="7043" w:type="dxa"/>
            <w:gridSpan w:val="2"/>
            <w:tcBorders>
              <w:top w:val="single" w:sz="6" w:space="0" w:color="000000"/>
              <w:left w:val="single" w:sz="6" w:space="0" w:color="000000"/>
              <w:bottom w:val="single" w:sz="6" w:space="0" w:color="000000"/>
              <w:right w:val="single" w:sz="6" w:space="0" w:color="000000"/>
            </w:tcBorders>
          </w:tcPr>
          <w:p w14:paraId="25010047"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chemical tanks shall be protected against backflow by an air gap.</w:t>
            </w:r>
          </w:p>
        </w:tc>
      </w:tr>
      <w:tr w:rsidR="006E50FF" w:rsidRPr="006E50FF" w14:paraId="6A658E1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49AFFDC"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9566BC5" w14:textId="77777777" w:rsidR="006E50FF" w:rsidRPr="006E50FF" w:rsidRDefault="006E50FF" w:rsidP="006E50FF">
            <w:pPr>
              <w:widowControl w:val="0"/>
              <w:autoSpaceDE w:val="0"/>
              <w:autoSpaceDN w:val="0"/>
              <w:ind w:left="91"/>
              <w:rPr>
                <w:sz w:val="16"/>
                <w:szCs w:val="16"/>
              </w:rPr>
            </w:pPr>
            <w:r w:rsidRPr="006E50FF">
              <w:rPr>
                <w:sz w:val="16"/>
                <w:szCs w:val="16"/>
              </w:rPr>
              <w:t>Section 608.17.13, Commercial Dishwashers in Commercial Establishments.</w:t>
            </w:r>
          </w:p>
        </w:tc>
        <w:tc>
          <w:tcPr>
            <w:tcW w:w="7043" w:type="dxa"/>
            <w:gridSpan w:val="2"/>
            <w:tcBorders>
              <w:top w:val="single" w:sz="6" w:space="0" w:color="000000"/>
              <w:left w:val="single" w:sz="6" w:space="0" w:color="000000"/>
              <w:bottom w:val="single" w:sz="6" w:space="0" w:color="000000"/>
              <w:right w:val="single" w:sz="6" w:space="0" w:color="000000"/>
            </w:tcBorders>
          </w:tcPr>
          <w:p w14:paraId="43713E08"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commercial dishwashers in commercial establishments shall be protected against backflow by an air gap, atmospheric vacuum breaker, or pressure vacuum breaker. Vacuum breakers shall meet the requirements of Section 608.16.4.</w:t>
            </w:r>
          </w:p>
        </w:tc>
      </w:tr>
      <w:tr w:rsidR="006E50FF" w:rsidRPr="006E50FF" w14:paraId="5FB7CCC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5094313"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F5F229E" w14:textId="77777777" w:rsidR="006E50FF" w:rsidRPr="006E50FF" w:rsidRDefault="006E50FF" w:rsidP="006E50FF">
            <w:pPr>
              <w:widowControl w:val="0"/>
              <w:autoSpaceDE w:val="0"/>
              <w:autoSpaceDN w:val="0"/>
              <w:ind w:left="91"/>
              <w:rPr>
                <w:sz w:val="16"/>
                <w:szCs w:val="16"/>
              </w:rPr>
            </w:pPr>
            <w:r w:rsidRPr="006E50FF">
              <w:rPr>
                <w:sz w:val="16"/>
                <w:szCs w:val="16"/>
              </w:rPr>
              <w:t>Section 608.17.14, Ornamental Fountains.</w:t>
            </w:r>
          </w:p>
        </w:tc>
        <w:tc>
          <w:tcPr>
            <w:tcW w:w="7043" w:type="dxa"/>
            <w:gridSpan w:val="2"/>
            <w:tcBorders>
              <w:top w:val="single" w:sz="6" w:space="0" w:color="000000"/>
              <w:left w:val="single" w:sz="6" w:space="0" w:color="000000"/>
              <w:bottom w:val="single" w:sz="6" w:space="0" w:color="000000"/>
              <w:right w:val="single" w:sz="6" w:space="0" w:color="000000"/>
            </w:tcBorders>
          </w:tcPr>
          <w:p w14:paraId="5FBFE4C2"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ornamental fountains shall be protected against backflow by an air gap.</w:t>
            </w:r>
          </w:p>
        </w:tc>
      </w:tr>
      <w:tr w:rsidR="006E50FF" w:rsidRPr="006E50FF" w14:paraId="4AA48F1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36DFA2"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92E0353" w14:textId="77777777" w:rsidR="006E50FF" w:rsidRPr="006E50FF" w:rsidRDefault="006E50FF" w:rsidP="006E50FF">
            <w:pPr>
              <w:widowControl w:val="0"/>
              <w:autoSpaceDE w:val="0"/>
              <w:autoSpaceDN w:val="0"/>
              <w:ind w:left="91"/>
              <w:rPr>
                <w:sz w:val="16"/>
                <w:szCs w:val="16"/>
              </w:rPr>
            </w:pPr>
            <w:r w:rsidRPr="006E50FF">
              <w:rPr>
                <w:sz w:val="16"/>
                <w:szCs w:val="16"/>
              </w:rPr>
              <w:t>Section 608.17.15, Swimming Pools, Spas, Hot Tubs.</w:t>
            </w:r>
          </w:p>
        </w:tc>
        <w:tc>
          <w:tcPr>
            <w:tcW w:w="7043" w:type="dxa"/>
            <w:gridSpan w:val="2"/>
            <w:tcBorders>
              <w:top w:val="single" w:sz="6" w:space="0" w:color="000000"/>
              <w:left w:val="single" w:sz="6" w:space="0" w:color="000000"/>
              <w:bottom w:val="single" w:sz="6" w:space="0" w:color="000000"/>
              <w:right w:val="single" w:sz="6" w:space="0" w:color="000000"/>
            </w:tcBorders>
          </w:tcPr>
          <w:p w14:paraId="354246D8"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swimming pools, spas, or hot tubs shall be protected against backflow by an air gap or reduced pressure principal backflow prevention assembly.</w:t>
            </w:r>
          </w:p>
        </w:tc>
      </w:tr>
      <w:tr w:rsidR="006E50FF" w:rsidRPr="006E50FF" w14:paraId="224511C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611DE77"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69039CC" w14:textId="77777777" w:rsidR="006E50FF" w:rsidRPr="006E50FF" w:rsidRDefault="006E50FF" w:rsidP="006E50FF">
            <w:pPr>
              <w:widowControl w:val="0"/>
              <w:autoSpaceDE w:val="0"/>
              <w:autoSpaceDN w:val="0"/>
              <w:ind w:left="91"/>
              <w:rPr>
                <w:sz w:val="16"/>
                <w:szCs w:val="16"/>
              </w:rPr>
            </w:pPr>
            <w:r w:rsidRPr="006E50FF">
              <w:rPr>
                <w:sz w:val="16"/>
                <w:szCs w:val="16"/>
              </w:rPr>
              <w:t>Section 608.17.16, Baptismal Fonts.</w:t>
            </w:r>
          </w:p>
        </w:tc>
        <w:tc>
          <w:tcPr>
            <w:tcW w:w="7043" w:type="dxa"/>
            <w:gridSpan w:val="2"/>
            <w:tcBorders>
              <w:top w:val="single" w:sz="6" w:space="0" w:color="000000"/>
              <w:left w:val="single" w:sz="6" w:space="0" w:color="000000"/>
              <w:bottom w:val="single" w:sz="6" w:space="0" w:color="000000"/>
              <w:right w:val="single" w:sz="6" w:space="0" w:color="000000"/>
            </w:tcBorders>
          </w:tcPr>
          <w:p w14:paraId="36061449"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baptismal fonts shall be protected against backflow by an air gap.</w:t>
            </w:r>
          </w:p>
        </w:tc>
      </w:tr>
      <w:tr w:rsidR="006E50FF" w:rsidRPr="006E50FF" w14:paraId="2DE2BEC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EC8EB25"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CF1C615" w14:textId="77777777" w:rsidR="006E50FF" w:rsidRPr="006E50FF" w:rsidRDefault="006E50FF" w:rsidP="006E50FF">
            <w:pPr>
              <w:widowControl w:val="0"/>
              <w:autoSpaceDE w:val="0"/>
              <w:autoSpaceDN w:val="0"/>
              <w:ind w:left="91"/>
              <w:rPr>
                <w:sz w:val="16"/>
                <w:szCs w:val="16"/>
              </w:rPr>
            </w:pPr>
            <w:r w:rsidRPr="006E50FF">
              <w:rPr>
                <w:sz w:val="16"/>
                <w:szCs w:val="16"/>
              </w:rPr>
              <w:t>Section 608.17.17, Animal Watering Troughs.</w:t>
            </w:r>
          </w:p>
        </w:tc>
        <w:tc>
          <w:tcPr>
            <w:tcW w:w="7043" w:type="dxa"/>
            <w:gridSpan w:val="2"/>
            <w:tcBorders>
              <w:top w:val="single" w:sz="6" w:space="0" w:color="000000"/>
              <w:left w:val="single" w:sz="6" w:space="0" w:color="000000"/>
              <w:bottom w:val="single" w:sz="6" w:space="0" w:color="000000"/>
              <w:right w:val="single" w:sz="6" w:space="0" w:color="000000"/>
            </w:tcBorders>
          </w:tcPr>
          <w:p w14:paraId="3248CCBA"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animal watering troughs shall be protected against backflow by an air gap.</w:t>
            </w:r>
          </w:p>
        </w:tc>
      </w:tr>
      <w:tr w:rsidR="006E50FF" w:rsidRPr="006E50FF" w14:paraId="424696D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EBDD5DF"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3C2B657" w14:textId="77777777" w:rsidR="006E50FF" w:rsidRPr="006E50FF" w:rsidRDefault="006E50FF" w:rsidP="006E50FF">
            <w:pPr>
              <w:widowControl w:val="0"/>
              <w:autoSpaceDE w:val="0"/>
              <w:autoSpaceDN w:val="0"/>
              <w:ind w:left="91"/>
              <w:rPr>
                <w:sz w:val="16"/>
                <w:szCs w:val="16"/>
              </w:rPr>
            </w:pPr>
            <w:r w:rsidRPr="006E50FF">
              <w:rPr>
                <w:sz w:val="16"/>
                <w:szCs w:val="16"/>
              </w:rPr>
              <w:t>Section 608.17.18, Agricultural Chemical Mixing Tanks.</w:t>
            </w:r>
          </w:p>
        </w:tc>
        <w:tc>
          <w:tcPr>
            <w:tcW w:w="7043" w:type="dxa"/>
            <w:gridSpan w:val="2"/>
            <w:tcBorders>
              <w:top w:val="single" w:sz="6" w:space="0" w:color="000000"/>
              <w:left w:val="single" w:sz="6" w:space="0" w:color="000000"/>
              <w:bottom w:val="single" w:sz="6" w:space="0" w:color="000000"/>
              <w:right w:val="single" w:sz="6" w:space="0" w:color="000000"/>
            </w:tcBorders>
          </w:tcPr>
          <w:p w14:paraId="5FD9D17D"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agricultural chemical mixing tanks shall be protected against backflow by an air gap.</w:t>
            </w:r>
          </w:p>
        </w:tc>
      </w:tr>
      <w:tr w:rsidR="006E50FF" w:rsidRPr="006E50FF" w14:paraId="2113BF6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161F5C"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0BDD10E" w14:textId="77777777" w:rsidR="006E50FF" w:rsidRPr="006E50FF" w:rsidRDefault="006E50FF" w:rsidP="006E50FF">
            <w:pPr>
              <w:widowControl w:val="0"/>
              <w:autoSpaceDE w:val="0"/>
              <w:autoSpaceDN w:val="0"/>
              <w:ind w:left="91"/>
              <w:rPr>
                <w:sz w:val="16"/>
                <w:szCs w:val="16"/>
              </w:rPr>
            </w:pPr>
            <w:r w:rsidRPr="006E50FF">
              <w:rPr>
                <w:sz w:val="16"/>
                <w:szCs w:val="16"/>
              </w:rPr>
              <w:t>Section 608.17.19, Water Hauling Trucks.</w:t>
            </w:r>
          </w:p>
        </w:tc>
        <w:tc>
          <w:tcPr>
            <w:tcW w:w="7043" w:type="dxa"/>
            <w:gridSpan w:val="2"/>
            <w:tcBorders>
              <w:top w:val="single" w:sz="6" w:space="0" w:color="000000"/>
              <w:left w:val="single" w:sz="6" w:space="0" w:color="000000"/>
              <w:bottom w:val="single" w:sz="6" w:space="0" w:color="000000"/>
              <w:right w:val="single" w:sz="6" w:space="0" w:color="000000"/>
            </w:tcBorders>
          </w:tcPr>
          <w:p w14:paraId="1D09EE9D"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water hauling trucks/tankers shall be protected against backflow by an air gap when filled from above. When allowed to be filled from below, they shall be protected by a reduced pressure principle backflow prevention assembly. When a tanker truck is designated for the hauling of food grade products (and has been cleaned utilizing food grade cleaning procedures) and is allowed to be filled from below, a double check valve assembly shall be acceptable.</w:t>
            </w:r>
          </w:p>
        </w:tc>
      </w:tr>
      <w:tr w:rsidR="006E50FF" w:rsidRPr="006E50FF" w14:paraId="4E53891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DA36987"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1142AF8"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608.17.20, Air Conditioning Chilled Water Systems and/or Condenser Water Systems.</w:t>
            </w:r>
          </w:p>
        </w:tc>
        <w:tc>
          <w:tcPr>
            <w:tcW w:w="7043" w:type="dxa"/>
            <w:gridSpan w:val="2"/>
            <w:tcBorders>
              <w:top w:val="single" w:sz="6" w:space="0" w:color="000000"/>
              <w:left w:val="single" w:sz="6" w:space="0" w:color="000000"/>
              <w:bottom w:val="single" w:sz="6" w:space="0" w:color="000000"/>
              <w:right w:val="single" w:sz="6" w:space="0" w:color="000000"/>
            </w:tcBorders>
          </w:tcPr>
          <w:p w14:paraId="0DC15E83"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air conditioning chilled water systems and condenser water systems shall be protected against backflow by a reduced pressure principal backflow prevention assembly.</w:t>
            </w:r>
          </w:p>
        </w:tc>
      </w:tr>
      <w:tr w:rsidR="006E50FF" w:rsidRPr="006E50FF" w14:paraId="08463F4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5BE94A9"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B5A13C7"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608.17.21, Pot-</w:t>
            </w:r>
          </w:p>
          <w:p w14:paraId="39B580DA" w14:textId="77777777" w:rsidR="006E50FF" w:rsidRPr="006E50FF" w:rsidRDefault="006E50FF" w:rsidP="006E50FF">
            <w:pPr>
              <w:widowControl w:val="0"/>
              <w:autoSpaceDE w:val="0"/>
              <w:autoSpaceDN w:val="0"/>
              <w:ind w:left="91" w:right="58"/>
              <w:rPr>
                <w:sz w:val="16"/>
                <w:szCs w:val="16"/>
              </w:rPr>
            </w:pPr>
            <w:r w:rsidRPr="006E50FF">
              <w:rPr>
                <w:sz w:val="16"/>
                <w:szCs w:val="16"/>
              </w:rPr>
              <w:t>Type Chemical Feeders</w:t>
            </w:r>
          </w:p>
        </w:tc>
        <w:tc>
          <w:tcPr>
            <w:tcW w:w="7043" w:type="dxa"/>
            <w:gridSpan w:val="2"/>
            <w:tcBorders>
              <w:top w:val="single" w:sz="6" w:space="0" w:color="000000"/>
              <w:left w:val="single" w:sz="6" w:space="0" w:color="000000"/>
              <w:bottom w:val="single" w:sz="6" w:space="0" w:color="000000"/>
              <w:right w:val="single" w:sz="6" w:space="0" w:color="000000"/>
            </w:tcBorders>
          </w:tcPr>
          <w:p w14:paraId="031CF095"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pot-type chemical feeders shall be protected against backflow by a reduced pressure principal backflow prevention assembly.</w:t>
            </w:r>
          </w:p>
        </w:tc>
      </w:tr>
      <w:tr w:rsidR="006E50FF" w:rsidRPr="006E50FF" w14:paraId="3FA5101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9F539CC"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FB6EC6B"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608.17.22, Food Processing Steam Kettles</w:t>
            </w:r>
          </w:p>
        </w:tc>
        <w:tc>
          <w:tcPr>
            <w:tcW w:w="7043" w:type="dxa"/>
            <w:gridSpan w:val="2"/>
            <w:tcBorders>
              <w:top w:val="single" w:sz="6" w:space="0" w:color="000000"/>
              <w:left w:val="single" w:sz="6" w:space="0" w:color="000000"/>
              <w:bottom w:val="single" w:sz="6" w:space="0" w:color="000000"/>
              <w:right w:val="single" w:sz="6" w:space="0" w:color="000000"/>
            </w:tcBorders>
          </w:tcPr>
          <w:p w14:paraId="47987A9F"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food processing steam kettles shall be protected against backflow by a double check valve backflow prevention assembly.</w:t>
            </w:r>
          </w:p>
        </w:tc>
      </w:tr>
      <w:tr w:rsidR="006E50FF" w:rsidRPr="006E50FF" w14:paraId="5B59069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A66EC2B"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97EEEBD" w14:textId="77777777" w:rsidR="006E50FF" w:rsidRPr="006E50FF" w:rsidRDefault="006E50FF" w:rsidP="006E50FF">
            <w:pPr>
              <w:widowControl w:val="0"/>
              <w:autoSpaceDE w:val="0"/>
              <w:autoSpaceDN w:val="0"/>
              <w:ind w:left="91" w:right="58"/>
              <w:rPr>
                <w:sz w:val="16"/>
                <w:szCs w:val="16"/>
              </w:rPr>
            </w:pPr>
            <w:r w:rsidRPr="006E50FF">
              <w:rPr>
                <w:sz w:val="16"/>
                <w:szCs w:val="16"/>
              </w:rPr>
              <w:t xml:space="preserve">Section 608.17.23, Individual </w:t>
            </w:r>
            <w:r w:rsidRPr="006E50FF">
              <w:rPr>
                <w:sz w:val="16"/>
                <w:szCs w:val="16"/>
              </w:rPr>
              <w:lastRenderedPageBreak/>
              <w:t>Travel Trailer Pads</w:t>
            </w:r>
          </w:p>
        </w:tc>
        <w:tc>
          <w:tcPr>
            <w:tcW w:w="7043" w:type="dxa"/>
            <w:gridSpan w:val="2"/>
            <w:tcBorders>
              <w:top w:val="single" w:sz="6" w:space="0" w:color="000000"/>
              <w:left w:val="single" w:sz="6" w:space="0" w:color="000000"/>
              <w:bottom w:val="single" w:sz="6" w:space="0" w:color="000000"/>
              <w:right w:val="single" w:sz="6" w:space="0" w:color="000000"/>
            </w:tcBorders>
          </w:tcPr>
          <w:p w14:paraId="35997638" w14:textId="77777777" w:rsidR="006E50FF" w:rsidRPr="006E50FF" w:rsidRDefault="006E50FF" w:rsidP="006E50FF">
            <w:pPr>
              <w:widowControl w:val="0"/>
              <w:autoSpaceDE w:val="0"/>
              <w:autoSpaceDN w:val="0"/>
              <w:ind w:left="91" w:right="90"/>
              <w:rPr>
                <w:sz w:val="16"/>
                <w:szCs w:val="16"/>
              </w:rPr>
            </w:pPr>
            <w:r w:rsidRPr="006E50FF">
              <w:rPr>
                <w:sz w:val="16"/>
                <w:szCs w:val="16"/>
              </w:rPr>
              <w:lastRenderedPageBreak/>
              <w:t xml:space="preserve">The potable water supply to individual travel trailer pads shall be protected against backflow by a dual </w:t>
            </w:r>
            <w:r w:rsidRPr="006E50FF">
              <w:rPr>
                <w:sz w:val="16"/>
                <w:szCs w:val="16"/>
              </w:rPr>
              <w:lastRenderedPageBreak/>
              <w:t>check valve backflow prevention assembly.</w:t>
            </w:r>
          </w:p>
        </w:tc>
      </w:tr>
      <w:tr w:rsidR="006E50FF" w:rsidRPr="006E50FF" w14:paraId="1ED8FB4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15F2DFF" w14:textId="77777777" w:rsidR="006E50FF" w:rsidRPr="006E50FF" w:rsidRDefault="006E50FF" w:rsidP="006E50FF">
            <w:pPr>
              <w:widowControl w:val="0"/>
              <w:autoSpaceDE w:val="0"/>
              <w:autoSpaceDN w:val="0"/>
              <w:rPr>
                <w:spacing w:val="-2"/>
                <w:sz w:val="16"/>
                <w:szCs w:val="16"/>
              </w:rPr>
            </w:pPr>
            <w:r w:rsidRPr="006E50FF">
              <w:rPr>
                <w:spacing w:val="-2"/>
                <w:sz w:val="16"/>
                <w:szCs w:val="16"/>
              </w:rPr>
              <w:lastRenderedPageBreak/>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B744044"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608.17.24, Laboratory and/or Medical Aspirators</w:t>
            </w:r>
          </w:p>
        </w:tc>
        <w:tc>
          <w:tcPr>
            <w:tcW w:w="7043" w:type="dxa"/>
            <w:gridSpan w:val="2"/>
            <w:tcBorders>
              <w:top w:val="single" w:sz="6" w:space="0" w:color="000000"/>
              <w:left w:val="single" w:sz="6" w:space="0" w:color="000000"/>
              <w:bottom w:val="single" w:sz="6" w:space="0" w:color="000000"/>
              <w:right w:val="single" w:sz="6" w:space="0" w:color="000000"/>
            </w:tcBorders>
          </w:tcPr>
          <w:p w14:paraId="75D2461F"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laboratory and/or medical aspirators shall be protected against backflow by an atmospheric or pressure vacuum breaker installed in accordance with Sections 608.3.1 and 608.15.4.</w:t>
            </w:r>
          </w:p>
        </w:tc>
      </w:tr>
      <w:tr w:rsidR="006E50FF" w:rsidRPr="006E50FF" w14:paraId="6F79F36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52C17AE"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79515A1"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608.17.25, Laboratory or other Sinks with Threaded or</w:t>
            </w:r>
          </w:p>
          <w:p w14:paraId="7D6B636D" w14:textId="77777777" w:rsidR="006E50FF" w:rsidRPr="006E50FF" w:rsidRDefault="006E50FF" w:rsidP="006E50FF">
            <w:pPr>
              <w:widowControl w:val="0"/>
              <w:autoSpaceDE w:val="0"/>
              <w:autoSpaceDN w:val="0"/>
              <w:ind w:left="91" w:right="58"/>
              <w:rPr>
                <w:sz w:val="16"/>
                <w:szCs w:val="16"/>
              </w:rPr>
            </w:pPr>
            <w:r w:rsidRPr="006E50FF">
              <w:rPr>
                <w:sz w:val="16"/>
                <w:szCs w:val="16"/>
              </w:rPr>
              <w:t>Serrated Nozzles.</w:t>
            </w:r>
          </w:p>
        </w:tc>
        <w:tc>
          <w:tcPr>
            <w:tcW w:w="7043" w:type="dxa"/>
            <w:gridSpan w:val="2"/>
            <w:tcBorders>
              <w:top w:val="single" w:sz="6" w:space="0" w:color="000000"/>
              <w:left w:val="single" w:sz="6" w:space="0" w:color="000000"/>
              <w:bottom w:val="single" w:sz="6" w:space="0" w:color="000000"/>
              <w:right w:val="single" w:sz="6" w:space="0" w:color="000000"/>
            </w:tcBorders>
          </w:tcPr>
          <w:p w14:paraId="1BD257AB"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laboratory sinks or other sinks with threaded or serrated nozzles shall be protected against backflow by an atmospheric or pressure vacuum breaker installed in accordance with Sections 608.3.1 and 608.16.4.</w:t>
            </w:r>
          </w:p>
        </w:tc>
      </w:tr>
      <w:tr w:rsidR="006E50FF" w:rsidRPr="006E50FF" w14:paraId="2E42542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47B2CFA"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795127"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608.17.26, Mortuary/Embalming Aspirators</w:t>
            </w:r>
          </w:p>
        </w:tc>
        <w:tc>
          <w:tcPr>
            <w:tcW w:w="7043" w:type="dxa"/>
            <w:gridSpan w:val="2"/>
            <w:tcBorders>
              <w:top w:val="single" w:sz="6" w:space="0" w:color="000000"/>
              <w:left w:val="single" w:sz="6" w:space="0" w:color="000000"/>
              <w:bottom w:val="single" w:sz="6" w:space="0" w:color="000000"/>
              <w:right w:val="single" w:sz="6" w:space="0" w:color="000000"/>
            </w:tcBorders>
          </w:tcPr>
          <w:p w14:paraId="6D2B394E"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mortuary/embalming aspirators shall be protected against backflow by a pressure vacuum breaker installed in the supply line serving the aspirator. The critical level of the vacuum breaker shall be installed a minimum of 12 inches higher than the aspirator. The aspirator shall be installed at least 6 inches above the highest level at which suction may be taken. An air gap shall be provided between the outlet of the discharge pipe and the overflow rim of the receiving fixture.</w:t>
            </w:r>
          </w:p>
        </w:tc>
      </w:tr>
      <w:tr w:rsidR="006E50FF" w:rsidRPr="006E50FF" w14:paraId="032CDCF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1A34EE2"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1161177" w14:textId="77777777" w:rsidR="006E50FF" w:rsidRPr="006E50FF" w:rsidRDefault="006E50FF" w:rsidP="006E50FF">
            <w:pPr>
              <w:widowControl w:val="0"/>
              <w:autoSpaceDE w:val="0"/>
              <w:autoSpaceDN w:val="0"/>
              <w:ind w:left="91"/>
              <w:rPr>
                <w:sz w:val="16"/>
                <w:szCs w:val="16"/>
              </w:rPr>
            </w:pPr>
            <w:r w:rsidRPr="006E50FF">
              <w:rPr>
                <w:sz w:val="16"/>
                <w:szCs w:val="16"/>
              </w:rPr>
              <w:t>Section 608.17.27, Room(s) or other Sub- Unit(s) of a Premise or Facility Receiving Water where Access is Prohibited</w:t>
            </w:r>
          </w:p>
        </w:tc>
        <w:tc>
          <w:tcPr>
            <w:tcW w:w="7043" w:type="dxa"/>
            <w:gridSpan w:val="2"/>
            <w:tcBorders>
              <w:top w:val="single" w:sz="6" w:space="0" w:color="000000"/>
              <w:left w:val="single" w:sz="6" w:space="0" w:color="000000"/>
              <w:bottom w:val="single" w:sz="6" w:space="0" w:color="000000"/>
              <w:right w:val="single" w:sz="6" w:space="0" w:color="000000"/>
            </w:tcBorders>
          </w:tcPr>
          <w:p w14:paraId="36A8C225" w14:textId="77777777" w:rsidR="006E50FF" w:rsidRPr="006E50FF" w:rsidRDefault="006E50FF" w:rsidP="006E50FF">
            <w:pPr>
              <w:widowControl w:val="0"/>
              <w:autoSpaceDE w:val="0"/>
              <w:autoSpaceDN w:val="0"/>
              <w:ind w:left="91" w:right="90"/>
              <w:rPr>
                <w:sz w:val="16"/>
                <w:szCs w:val="16"/>
              </w:rPr>
            </w:pPr>
            <w:r w:rsidRPr="006E50FF">
              <w:rPr>
                <w:sz w:val="16"/>
                <w:szCs w:val="16"/>
              </w:rPr>
              <w:t>When access is prohibited to particular areas, rooms, or other sub-units of a premise or facility which is receiving water, the potable water supply serving those areas shall be protected against backflow by a reduced pressure principal backflow protection assembly.</w:t>
            </w:r>
          </w:p>
        </w:tc>
      </w:tr>
      <w:tr w:rsidR="006E50FF" w:rsidRPr="006E50FF" w14:paraId="48C7D43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2582D6" w14:textId="77777777" w:rsidR="006E50FF" w:rsidRPr="006E50FF" w:rsidRDefault="006E50FF" w:rsidP="006E50FF">
            <w:pPr>
              <w:widowControl w:val="0"/>
              <w:autoSpaceDE w:val="0"/>
              <w:autoSpaceDN w:val="0"/>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91931CD" w14:textId="77777777" w:rsidR="006E50FF" w:rsidRPr="006E50FF" w:rsidRDefault="006E50FF" w:rsidP="006E50FF">
            <w:pPr>
              <w:widowControl w:val="0"/>
              <w:autoSpaceDE w:val="0"/>
              <w:autoSpaceDN w:val="0"/>
              <w:ind w:left="91"/>
              <w:rPr>
                <w:sz w:val="16"/>
                <w:szCs w:val="16"/>
              </w:rPr>
            </w:pPr>
            <w:r w:rsidRPr="006E50FF">
              <w:rPr>
                <w:sz w:val="16"/>
                <w:szCs w:val="16"/>
              </w:rPr>
              <w:t>Section 608.18, Protection of Individual Water Supplies</w:t>
            </w:r>
          </w:p>
        </w:tc>
        <w:tc>
          <w:tcPr>
            <w:tcW w:w="7043" w:type="dxa"/>
            <w:gridSpan w:val="2"/>
            <w:tcBorders>
              <w:top w:val="single" w:sz="6" w:space="0" w:color="000000"/>
              <w:left w:val="single" w:sz="6" w:space="0" w:color="000000"/>
              <w:bottom w:val="single" w:sz="6" w:space="0" w:color="000000"/>
              <w:right w:val="single" w:sz="6" w:space="0" w:color="000000"/>
            </w:tcBorders>
          </w:tcPr>
          <w:p w14:paraId="769838CC" w14:textId="77777777" w:rsidR="006E50FF" w:rsidRPr="006E50FF" w:rsidRDefault="006E50FF" w:rsidP="006E50FF">
            <w:pPr>
              <w:widowControl w:val="0"/>
              <w:autoSpaceDE w:val="0"/>
              <w:autoSpaceDN w:val="0"/>
              <w:ind w:left="91" w:right="90"/>
              <w:rPr>
                <w:sz w:val="16"/>
                <w:szCs w:val="16"/>
              </w:rPr>
            </w:pPr>
            <w:r w:rsidRPr="006E50FF">
              <w:rPr>
                <w:sz w:val="16"/>
                <w:szCs w:val="16"/>
              </w:rPr>
              <w:t>An individual water supply shall be located and constructed so as to be safeguarded against contamination in accordance with the applicable requirements of LAC 51:XII (Water Supplies) and LAC 56:I (Water Wells).</w:t>
            </w:r>
          </w:p>
        </w:tc>
      </w:tr>
      <w:tr w:rsidR="006E50FF" w:rsidRPr="006E50FF" w14:paraId="49789C2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524D6E3" w14:textId="77777777" w:rsidR="006E50FF" w:rsidRPr="006E50FF" w:rsidRDefault="006E50FF" w:rsidP="006E50FF">
            <w:pPr>
              <w:widowControl w:val="0"/>
              <w:autoSpaceDE w:val="0"/>
              <w:autoSpaceDN w:val="0"/>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61548FF0" w14:textId="77777777" w:rsidR="006E50FF" w:rsidRPr="006E50FF" w:rsidRDefault="006E50FF" w:rsidP="006E50FF">
            <w:pPr>
              <w:widowControl w:val="0"/>
              <w:autoSpaceDE w:val="0"/>
              <w:autoSpaceDN w:val="0"/>
              <w:ind w:left="91" w:right="58"/>
              <w:rPr>
                <w:sz w:val="16"/>
                <w:szCs w:val="16"/>
              </w:rPr>
            </w:pPr>
            <w:r w:rsidRPr="006E50FF">
              <w:rPr>
                <w:sz w:val="16"/>
                <w:szCs w:val="16"/>
              </w:rPr>
              <w:t>Sections 608.18.1 through 608.18.8 including Table 608.18.1</w:t>
            </w:r>
          </w:p>
        </w:tc>
        <w:tc>
          <w:tcPr>
            <w:tcW w:w="7043" w:type="dxa"/>
            <w:gridSpan w:val="2"/>
            <w:tcBorders>
              <w:top w:val="single" w:sz="6" w:space="0" w:color="000000"/>
              <w:left w:val="single" w:sz="6" w:space="0" w:color="000000"/>
              <w:bottom w:val="single" w:sz="6" w:space="0" w:color="000000"/>
              <w:right w:val="single" w:sz="6" w:space="0" w:color="000000"/>
            </w:tcBorders>
          </w:tcPr>
          <w:p w14:paraId="0422E35A" w14:textId="77777777" w:rsidR="006E50FF" w:rsidRPr="006E50FF" w:rsidRDefault="006E50FF" w:rsidP="006E50FF">
            <w:pPr>
              <w:widowControl w:val="0"/>
              <w:autoSpaceDE w:val="0"/>
              <w:autoSpaceDN w:val="0"/>
              <w:ind w:left="91" w:right="90"/>
              <w:rPr>
                <w:sz w:val="16"/>
                <w:szCs w:val="16"/>
              </w:rPr>
            </w:pPr>
            <w:r w:rsidRPr="006E50FF">
              <w:rPr>
                <w:sz w:val="16"/>
                <w:szCs w:val="16"/>
              </w:rPr>
              <w:t>Delete Sections 608.18.1 through 608.18.8 including Table 608.18.1.</w:t>
            </w:r>
          </w:p>
        </w:tc>
      </w:tr>
      <w:tr w:rsidR="006E50FF" w:rsidRPr="006E50FF" w14:paraId="743BD26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30B87AB"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C607C7E" w14:textId="77777777" w:rsidR="006E50FF" w:rsidRPr="006E50FF" w:rsidRDefault="006E50FF" w:rsidP="006E50FF">
            <w:pPr>
              <w:widowControl w:val="0"/>
              <w:autoSpaceDE w:val="0"/>
              <w:autoSpaceDN w:val="0"/>
              <w:ind w:left="91"/>
              <w:rPr>
                <w:sz w:val="16"/>
                <w:szCs w:val="16"/>
              </w:rPr>
            </w:pPr>
            <w:r w:rsidRPr="006E50FF">
              <w:rPr>
                <w:sz w:val="16"/>
                <w:szCs w:val="16"/>
              </w:rPr>
              <w:t>Section 608.19, Containment Practices</w:t>
            </w:r>
          </w:p>
        </w:tc>
        <w:tc>
          <w:tcPr>
            <w:tcW w:w="7043" w:type="dxa"/>
            <w:gridSpan w:val="2"/>
            <w:tcBorders>
              <w:top w:val="single" w:sz="6" w:space="0" w:color="000000"/>
              <w:left w:val="single" w:sz="6" w:space="0" w:color="000000"/>
              <w:bottom w:val="single" w:sz="6" w:space="0" w:color="000000"/>
              <w:right w:val="single" w:sz="6" w:space="0" w:color="000000"/>
            </w:tcBorders>
          </w:tcPr>
          <w:p w14:paraId="7C94D1A6" w14:textId="77777777" w:rsidR="006E50FF" w:rsidRPr="006E50FF" w:rsidRDefault="006E50FF" w:rsidP="006E50FF">
            <w:pPr>
              <w:widowControl w:val="0"/>
              <w:autoSpaceDE w:val="0"/>
              <w:autoSpaceDN w:val="0"/>
              <w:ind w:left="91" w:right="90"/>
              <w:rPr>
                <w:sz w:val="16"/>
                <w:szCs w:val="16"/>
              </w:rPr>
            </w:pPr>
            <w:r w:rsidRPr="006E50FF">
              <w:rPr>
                <w:sz w:val="16"/>
                <w:szCs w:val="16"/>
              </w:rPr>
              <w:t>Backflow prevention methods or devices shall be utilized as directed by the water supplier or code official to isolate specific water supply system customers from the water supply system's mains when such action is deemed necessary to protect the water supply system against potential contamination caused by backflow of water from that part of the water system owned and maintained by the customer (for example, the piping downstream of the water meter, if provided). Minimum requirements shall be in accordance with Section 608.19.1 through 608.19.2.</w:t>
            </w:r>
          </w:p>
        </w:tc>
      </w:tr>
      <w:tr w:rsidR="006E50FF" w:rsidRPr="006E50FF" w14:paraId="7943FB7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6029D7E"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60C4EA" w14:textId="77777777" w:rsidR="006E50FF" w:rsidRPr="006E50FF" w:rsidRDefault="006E50FF" w:rsidP="006E50FF">
            <w:pPr>
              <w:widowControl w:val="0"/>
              <w:autoSpaceDE w:val="0"/>
              <w:autoSpaceDN w:val="0"/>
              <w:ind w:left="91"/>
              <w:rPr>
                <w:sz w:val="16"/>
                <w:szCs w:val="16"/>
              </w:rPr>
            </w:pPr>
            <w:r w:rsidRPr="006E50FF">
              <w:rPr>
                <w:sz w:val="16"/>
                <w:szCs w:val="16"/>
              </w:rPr>
              <w:t>Section 608.19.1,</w:t>
            </w:r>
          </w:p>
          <w:p w14:paraId="246F0C31" w14:textId="77777777" w:rsidR="006E50FF" w:rsidRPr="006E50FF" w:rsidRDefault="006E50FF" w:rsidP="006E50FF">
            <w:pPr>
              <w:widowControl w:val="0"/>
              <w:autoSpaceDE w:val="0"/>
              <w:autoSpaceDN w:val="0"/>
              <w:ind w:left="91"/>
              <w:rPr>
                <w:sz w:val="16"/>
                <w:szCs w:val="16"/>
              </w:rPr>
            </w:pPr>
            <w:r w:rsidRPr="006E50FF">
              <w:rPr>
                <w:sz w:val="16"/>
                <w:szCs w:val="16"/>
              </w:rPr>
              <w:t>Containment Requirements.</w:t>
            </w:r>
          </w:p>
        </w:tc>
        <w:tc>
          <w:tcPr>
            <w:tcW w:w="7043" w:type="dxa"/>
            <w:gridSpan w:val="2"/>
            <w:tcBorders>
              <w:top w:val="single" w:sz="6" w:space="0" w:color="000000"/>
              <w:left w:val="single" w:sz="6" w:space="0" w:color="000000"/>
              <w:bottom w:val="single" w:sz="6" w:space="0" w:color="000000"/>
              <w:right w:val="single" w:sz="6" w:space="0" w:color="000000"/>
            </w:tcBorders>
          </w:tcPr>
          <w:p w14:paraId="53337CB5" w14:textId="77777777" w:rsidR="006E50FF" w:rsidRPr="006E50FF" w:rsidRDefault="006E50FF" w:rsidP="006E50FF">
            <w:pPr>
              <w:widowControl w:val="0"/>
              <w:autoSpaceDE w:val="0"/>
              <w:autoSpaceDN w:val="0"/>
              <w:ind w:left="91" w:right="90"/>
              <w:rPr>
                <w:sz w:val="16"/>
                <w:szCs w:val="16"/>
              </w:rPr>
            </w:pPr>
            <w:r w:rsidRPr="006E50FF">
              <w:rPr>
                <w:sz w:val="16"/>
                <w:szCs w:val="16"/>
              </w:rPr>
              <w:t>As a minimum, the following types of backflow prevention assemblies or methods shall be installed and maintained by water supply system customers immediately downstream of the water meter (if provided) or on the water service pipe prior to any branch line or connections serving the listed customer types and categories.</w:t>
            </w:r>
          </w:p>
        </w:tc>
      </w:tr>
      <w:tr w:rsidR="006E50FF" w:rsidRPr="006E50FF" w14:paraId="2D91DED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0135B5A" w14:textId="77777777" w:rsidR="006E50FF" w:rsidRPr="006E50FF" w:rsidRDefault="006E50FF" w:rsidP="006E50FF">
            <w:pPr>
              <w:widowControl w:val="0"/>
              <w:autoSpaceDE w:val="0"/>
              <w:autoSpaceDN w:val="0"/>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1A4520E" w14:textId="77777777" w:rsidR="006E50FF" w:rsidRPr="006E50FF" w:rsidRDefault="006E50FF" w:rsidP="006E50FF">
            <w:pPr>
              <w:widowControl w:val="0"/>
              <w:autoSpaceDE w:val="0"/>
              <w:autoSpaceDN w:val="0"/>
              <w:ind w:left="91"/>
              <w:rPr>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7ECAC11" w14:textId="77777777" w:rsidR="006E50FF" w:rsidRPr="006E50FF" w:rsidRDefault="006E50FF" w:rsidP="006E50FF">
            <w:pPr>
              <w:widowControl w:val="0"/>
              <w:autoSpaceDE w:val="0"/>
              <w:autoSpaceDN w:val="0"/>
              <w:ind w:left="91" w:right="90"/>
              <w:rPr>
                <w:sz w:val="16"/>
                <w:szCs w:val="16"/>
              </w:rPr>
            </w:pPr>
            <w:r w:rsidRPr="006E50FF">
              <w:rPr>
                <w:sz w:val="16"/>
                <w:szCs w:val="16"/>
              </w:rPr>
              <w:t>Table 608.19.1, Containment Requirements.</w:t>
            </w:r>
          </w:p>
        </w:tc>
      </w:tr>
      <w:tr w:rsidR="006E50FF" w:rsidRPr="006E50FF" w14:paraId="6EAA969B" w14:textId="77777777" w:rsidTr="0088638B">
        <w:trPr>
          <w:trHeight w:val="183"/>
        </w:trPr>
        <w:tc>
          <w:tcPr>
            <w:tcW w:w="10530" w:type="dxa"/>
            <w:gridSpan w:val="5"/>
            <w:tcBorders>
              <w:bottom w:val="nil"/>
            </w:tcBorders>
          </w:tcPr>
          <w:p w14:paraId="501FCA8E" w14:textId="77777777" w:rsidR="006E50FF" w:rsidRPr="006E50FF" w:rsidRDefault="006E50FF" w:rsidP="006E50FF">
            <w:pPr>
              <w:widowControl w:val="0"/>
              <w:autoSpaceDE w:val="0"/>
              <w:autoSpaceDN w:val="0"/>
              <w:ind w:left="91" w:right="90"/>
              <w:rPr>
                <w:sz w:val="16"/>
                <w:szCs w:val="16"/>
              </w:rPr>
            </w:pPr>
          </w:p>
        </w:tc>
      </w:tr>
      <w:tr w:rsidR="006E50FF" w:rsidRPr="006E50FF" w14:paraId="6DEEA7EE" w14:textId="77777777" w:rsidTr="0088638B">
        <w:trPr>
          <w:trHeight w:val="183"/>
        </w:trPr>
        <w:tc>
          <w:tcPr>
            <w:tcW w:w="1260" w:type="dxa"/>
            <w:gridSpan w:val="2"/>
            <w:vMerge w:val="restart"/>
            <w:tcBorders>
              <w:top w:val="nil"/>
              <w:right w:val="double" w:sz="6" w:space="0" w:color="000000"/>
            </w:tcBorders>
          </w:tcPr>
          <w:p w14:paraId="21609D2A" w14:textId="77777777" w:rsidR="006E50FF" w:rsidRPr="006E50FF" w:rsidRDefault="006E50FF" w:rsidP="006E50FF">
            <w:pPr>
              <w:widowControl w:val="0"/>
              <w:autoSpaceDE w:val="0"/>
              <w:autoSpaceDN w:val="0"/>
              <w:rPr>
                <w:sz w:val="16"/>
                <w:szCs w:val="16"/>
              </w:rPr>
            </w:pPr>
          </w:p>
        </w:tc>
        <w:tc>
          <w:tcPr>
            <w:tcW w:w="8190" w:type="dxa"/>
            <w:gridSpan w:val="2"/>
            <w:tcBorders>
              <w:top w:val="double" w:sz="6" w:space="0" w:color="000000"/>
              <w:left w:val="double" w:sz="6" w:space="0" w:color="000000"/>
              <w:right w:val="double" w:sz="6" w:space="0" w:color="000000"/>
            </w:tcBorders>
            <w:shd w:val="clear" w:color="auto" w:fill="BEBEBE"/>
          </w:tcPr>
          <w:p w14:paraId="127A1A9E" w14:textId="77777777" w:rsidR="006E50FF" w:rsidRPr="006E50FF" w:rsidRDefault="006E50FF" w:rsidP="006E50FF">
            <w:pPr>
              <w:widowControl w:val="0"/>
              <w:autoSpaceDE w:val="0"/>
              <w:autoSpaceDN w:val="0"/>
              <w:spacing w:line="164" w:lineRule="exact"/>
              <w:ind w:left="91"/>
              <w:jc w:val="center"/>
              <w:rPr>
                <w:b/>
                <w:sz w:val="16"/>
                <w:szCs w:val="16"/>
              </w:rPr>
            </w:pPr>
            <w:r w:rsidRPr="006E50FF">
              <w:rPr>
                <w:b/>
                <w:sz w:val="16"/>
                <w:szCs w:val="16"/>
              </w:rPr>
              <w:t xml:space="preserve">Air </w:t>
            </w:r>
            <w:r w:rsidRPr="006E50FF">
              <w:rPr>
                <w:b/>
                <w:spacing w:val="-5"/>
                <w:sz w:val="16"/>
                <w:szCs w:val="16"/>
              </w:rPr>
              <w:t>Gap</w:t>
            </w:r>
          </w:p>
        </w:tc>
        <w:tc>
          <w:tcPr>
            <w:tcW w:w="1080" w:type="dxa"/>
            <w:vMerge w:val="restart"/>
            <w:tcBorders>
              <w:top w:val="nil"/>
              <w:left w:val="double" w:sz="6" w:space="0" w:color="000000"/>
            </w:tcBorders>
          </w:tcPr>
          <w:p w14:paraId="715BE860" w14:textId="77777777" w:rsidR="006E50FF" w:rsidRPr="006E50FF" w:rsidRDefault="006E50FF" w:rsidP="006E50FF">
            <w:pPr>
              <w:widowControl w:val="0"/>
              <w:autoSpaceDE w:val="0"/>
              <w:autoSpaceDN w:val="0"/>
              <w:ind w:left="91" w:right="90"/>
              <w:rPr>
                <w:sz w:val="16"/>
                <w:szCs w:val="16"/>
              </w:rPr>
            </w:pPr>
          </w:p>
        </w:tc>
      </w:tr>
      <w:tr w:rsidR="006E50FF" w:rsidRPr="006E50FF" w14:paraId="0EB54A7F" w14:textId="77777777" w:rsidTr="0088638B">
        <w:trPr>
          <w:trHeight w:val="184"/>
        </w:trPr>
        <w:tc>
          <w:tcPr>
            <w:tcW w:w="1260" w:type="dxa"/>
            <w:gridSpan w:val="2"/>
            <w:vMerge/>
            <w:tcBorders>
              <w:top w:val="nil"/>
              <w:right w:val="double" w:sz="6" w:space="0" w:color="000000"/>
            </w:tcBorders>
          </w:tcPr>
          <w:p w14:paraId="77AD3571"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AE8241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w:t>
            </w:r>
            <w:r w:rsidRPr="006E50FF">
              <w:rPr>
                <w:spacing w:val="66"/>
                <w:sz w:val="16"/>
                <w:szCs w:val="16"/>
              </w:rPr>
              <w:t xml:space="preserve"> </w:t>
            </w:r>
            <w:r w:rsidRPr="006E50FF">
              <w:rPr>
                <w:sz w:val="16"/>
                <w:szCs w:val="16"/>
              </w:rPr>
              <w:t>Fire</w:t>
            </w:r>
            <w:r w:rsidRPr="006E50FF">
              <w:rPr>
                <w:spacing w:val="-6"/>
                <w:sz w:val="16"/>
                <w:szCs w:val="16"/>
              </w:rPr>
              <w:t xml:space="preserve"> </w:t>
            </w:r>
            <w:r w:rsidRPr="006E50FF">
              <w:rPr>
                <w:sz w:val="16"/>
                <w:szCs w:val="16"/>
              </w:rPr>
              <w:t>Protection/Sprinkler</w:t>
            </w:r>
            <w:r w:rsidRPr="006E50FF">
              <w:rPr>
                <w:spacing w:val="-6"/>
                <w:sz w:val="16"/>
                <w:szCs w:val="16"/>
              </w:rPr>
              <w:t xml:space="preserve"> </w:t>
            </w:r>
            <w:r w:rsidRPr="006E50FF">
              <w:rPr>
                <w:sz w:val="16"/>
                <w:szCs w:val="16"/>
              </w:rPr>
              <w:t>System</w:t>
            </w:r>
            <w:r w:rsidRPr="006E50FF">
              <w:rPr>
                <w:spacing w:val="-4"/>
                <w:sz w:val="16"/>
                <w:szCs w:val="16"/>
              </w:rPr>
              <w:t xml:space="preserve"> </w:t>
            </w:r>
            <w:r w:rsidRPr="006E50FF">
              <w:rPr>
                <w:sz w:val="16"/>
                <w:szCs w:val="16"/>
              </w:rPr>
              <w:t>utilizing</w:t>
            </w:r>
            <w:r w:rsidRPr="006E50FF">
              <w:rPr>
                <w:spacing w:val="-7"/>
                <w:sz w:val="16"/>
                <w:szCs w:val="16"/>
              </w:rPr>
              <w:t xml:space="preserve"> </w:t>
            </w:r>
            <w:r w:rsidRPr="006E50FF">
              <w:rPr>
                <w:sz w:val="16"/>
                <w:szCs w:val="16"/>
              </w:rPr>
              <w:t>non-potable</w:t>
            </w:r>
            <w:r w:rsidRPr="006E50FF">
              <w:rPr>
                <w:spacing w:val="-6"/>
                <w:sz w:val="16"/>
                <w:szCs w:val="16"/>
              </w:rPr>
              <w:t xml:space="preserve"> </w:t>
            </w:r>
            <w:r w:rsidRPr="006E50FF">
              <w:rPr>
                <w:sz w:val="16"/>
                <w:szCs w:val="16"/>
              </w:rPr>
              <w:t>water</w:t>
            </w:r>
            <w:r w:rsidRPr="006E50FF">
              <w:rPr>
                <w:spacing w:val="-6"/>
                <w:sz w:val="16"/>
                <w:szCs w:val="16"/>
              </w:rPr>
              <w:t xml:space="preserve"> </w:t>
            </w:r>
            <w:r w:rsidRPr="006E50FF">
              <w:rPr>
                <w:sz w:val="16"/>
                <w:szCs w:val="16"/>
              </w:rPr>
              <w:t>as</w:t>
            </w:r>
            <w:r w:rsidRPr="006E50FF">
              <w:rPr>
                <w:spacing w:val="-4"/>
                <w:sz w:val="16"/>
                <w:szCs w:val="16"/>
              </w:rPr>
              <w:t xml:space="preserve"> </w:t>
            </w:r>
            <w:r w:rsidRPr="006E50FF">
              <w:rPr>
                <w:sz w:val="16"/>
                <w:szCs w:val="16"/>
              </w:rPr>
              <w:t>an</w:t>
            </w:r>
            <w:r w:rsidRPr="006E50FF">
              <w:rPr>
                <w:spacing w:val="-6"/>
                <w:sz w:val="16"/>
                <w:szCs w:val="16"/>
              </w:rPr>
              <w:t xml:space="preserve"> </w:t>
            </w:r>
            <w:r w:rsidRPr="006E50FF">
              <w:rPr>
                <w:sz w:val="16"/>
                <w:szCs w:val="16"/>
              </w:rPr>
              <w:t>alternative</w:t>
            </w:r>
            <w:r w:rsidRPr="006E50FF">
              <w:rPr>
                <w:spacing w:val="-6"/>
                <w:sz w:val="16"/>
                <w:szCs w:val="16"/>
              </w:rPr>
              <w:t xml:space="preserve"> </w:t>
            </w:r>
            <w:r w:rsidRPr="006E50FF">
              <w:rPr>
                <w:sz w:val="16"/>
                <w:szCs w:val="16"/>
              </w:rPr>
              <w:t>or</w:t>
            </w:r>
            <w:r w:rsidRPr="006E50FF">
              <w:rPr>
                <w:spacing w:val="-5"/>
                <w:sz w:val="16"/>
                <w:szCs w:val="16"/>
              </w:rPr>
              <w:t xml:space="preserve"> </w:t>
            </w:r>
            <w:r w:rsidRPr="006E50FF">
              <w:rPr>
                <w:sz w:val="16"/>
                <w:szCs w:val="16"/>
              </w:rPr>
              <w:t>primary</w:t>
            </w:r>
            <w:r w:rsidRPr="006E50FF">
              <w:rPr>
                <w:spacing w:val="-8"/>
                <w:sz w:val="16"/>
                <w:szCs w:val="16"/>
              </w:rPr>
              <w:t xml:space="preserve"> </w:t>
            </w:r>
            <w:r w:rsidRPr="006E50FF">
              <w:rPr>
                <w:sz w:val="16"/>
                <w:szCs w:val="16"/>
              </w:rPr>
              <w:t>source</w:t>
            </w:r>
            <w:r w:rsidRPr="006E50FF">
              <w:rPr>
                <w:spacing w:val="-6"/>
                <w:sz w:val="16"/>
                <w:szCs w:val="16"/>
              </w:rPr>
              <w:t xml:space="preserve"> </w:t>
            </w:r>
            <w:r w:rsidRPr="006E50FF">
              <w:rPr>
                <w:sz w:val="16"/>
                <w:szCs w:val="16"/>
              </w:rPr>
              <w:t>of</w:t>
            </w:r>
            <w:r w:rsidRPr="006E50FF">
              <w:rPr>
                <w:spacing w:val="-2"/>
                <w:sz w:val="16"/>
                <w:szCs w:val="16"/>
              </w:rPr>
              <w:t xml:space="preserve"> water</w:t>
            </w:r>
          </w:p>
        </w:tc>
        <w:tc>
          <w:tcPr>
            <w:tcW w:w="1080" w:type="dxa"/>
            <w:vMerge/>
            <w:tcBorders>
              <w:top w:val="nil"/>
              <w:left w:val="double" w:sz="6" w:space="0" w:color="000000"/>
            </w:tcBorders>
          </w:tcPr>
          <w:p w14:paraId="46BE5450" w14:textId="77777777" w:rsidR="006E50FF" w:rsidRPr="006E50FF" w:rsidRDefault="006E50FF" w:rsidP="006E50FF">
            <w:pPr>
              <w:spacing w:line="278" w:lineRule="auto"/>
              <w:ind w:left="91" w:right="90"/>
              <w:rPr>
                <w:rFonts w:eastAsia="Aptos"/>
                <w:kern w:val="2"/>
                <w:sz w:val="16"/>
                <w:szCs w:val="16"/>
              </w:rPr>
            </w:pPr>
          </w:p>
        </w:tc>
      </w:tr>
      <w:tr w:rsidR="006E50FF" w:rsidRPr="006E50FF" w14:paraId="66BE387A" w14:textId="77777777" w:rsidTr="0088638B">
        <w:trPr>
          <w:trHeight w:val="184"/>
        </w:trPr>
        <w:tc>
          <w:tcPr>
            <w:tcW w:w="1260" w:type="dxa"/>
            <w:gridSpan w:val="2"/>
            <w:vMerge/>
            <w:tcBorders>
              <w:top w:val="nil"/>
              <w:right w:val="double" w:sz="6" w:space="0" w:color="000000"/>
            </w:tcBorders>
          </w:tcPr>
          <w:p w14:paraId="5BF79DE9"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shd w:val="clear" w:color="auto" w:fill="BEBEBE"/>
          </w:tcPr>
          <w:p w14:paraId="4571E131" w14:textId="77777777" w:rsidR="006E50FF" w:rsidRPr="006E50FF" w:rsidRDefault="006E50FF" w:rsidP="006E50FF">
            <w:pPr>
              <w:widowControl w:val="0"/>
              <w:autoSpaceDE w:val="0"/>
              <w:autoSpaceDN w:val="0"/>
              <w:spacing w:line="165" w:lineRule="exact"/>
              <w:ind w:left="91" w:right="4"/>
              <w:jc w:val="center"/>
              <w:rPr>
                <w:b/>
                <w:sz w:val="16"/>
                <w:szCs w:val="16"/>
              </w:rPr>
            </w:pPr>
            <w:r w:rsidRPr="006E50FF">
              <w:rPr>
                <w:b/>
                <w:sz w:val="16"/>
                <w:szCs w:val="16"/>
              </w:rPr>
              <w:t>Reduced</w:t>
            </w:r>
            <w:r w:rsidRPr="006E50FF">
              <w:rPr>
                <w:b/>
                <w:spacing w:val="-8"/>
                <w:sz w:val="16"/>
                <w:szCs w:val="16"/>
              </w:rPr>
              <w:t xml:space="preserve"> </w:t>
            </w:r>
            <w:r w:rsidRPr="006E50FF">
              <w:rPr>
                <w:b/>
                <w:sz w:val="16"/>
                <w:szCs w:val="16"/>
              </w:rPr>
              <w:t>Pressure</w:t>
            </w:r>
            <w:r w:rsidRPr="006E50FF">
              <w:rPr>
                <w:b/>
                <w:spacing w:val="-8"/>
                <w:sz w:val="16"/>
                <w:szCs w:val="16"/>
              </w:rPr>
              <w:t xml:space="preserve"> </w:t>
            </w:r>
            <w:r w:rsidRPr="006E50FF">
              <w:rPr>
                <w:b/>
                <w:sz w:val="16"/>
                <w:szCs w:val="16"/>
              </w:rPr>
              <w:t>Principle</w:t>
            </w:r>
            <w:r w:rsidRPr="006E50FF">
              <w:rPr>
                <w:b/>
                <w:spacing w:val="-9"/>
                <w:sz w:val="16"/>
                <w:szCs w:val="16"/>
              </w:rPr>
              <w:t xml:space="preserve"> </w:t>
            </w:r>
            <w:r w:rsidRPr="006E50FF">
              <w:rPr>
                <w:b/>
                <w:sz w:val="16"/>
                <w:szCs w:val="16"/>
              </w:rPr>
              <w:t>Backflow</w:t>
            </w:r>
            <w:r w:rsidRPr="006E50FF">
              <w:rPr>
                <w:b/>
                <w:spacing w:val="-6"/>
                <w:sz w:val="16"/>
                <w:szCs w:val="16"/>
              </w:rPr>
              <w:t xml:space="preserve"> </w:t>
            </w:r>
            <w:r w:rsidRPr="006E50FF">
              <w:rPr>
                <w:b/>
                <w:sz w:val="16"/>
                <w:szCs w:val="16"/>
              </w:rPr>
              <w:t>Prevention</w:t>
            </w:r>
            <w:r w:rsidRPr="006E50FF">
              <w:rPr>
                <w:b/>
                <w:spacing w:val="-7"/>
                <w:sz w:val="16"/>
                <w:szCs w:val="16"/>
              </w:rPr>
              <w:t xml:space="preserve"> </w:t>
            </w:r>
            <w:r w:rsidRPr="006E50FF">
              <w:rPr>
                <w:b/>
                <w:spacing w:val="-2"/>
                <w:sz w:val="16"/>
                <w:szCs w:val="16"/>
              </w:rPr>
              <w:t>Assembly</w:t>
            </w:r>
          </w:p>
        </w:tc>
        <w:tc>
          <w:tcPr>
            <w:tcW w:w="1080" w:type="dxa"/>
            <w:vMerge/>
            <w:tcBorders>
              <w:top w:val="nil"/>
              <w:left w:val="double" w:sz="6" w:space="0" w:color="000000"/>
            </w:tcBorders>
          </w:tcPr>
          <w:p w14:paraId="3CD8DDB5" w14:textId="77777777" w:rsidR="006E50FF" w:rsidRPr="006E50FF" w:rsidRDefault="006E50FF" w:rsidP="006E50FF">
            <w:pPr>
              <w:spacing w:line="278" w:lineRule="auto"/>
              <w:ind w:left="91" w:right="90"/>
              <w:rPr>
                <w:rFonts w:eastAsia="Aptos"/>
                <w:kern w:val="2"/>
                <w:sz w:val="16"/>
                <w:szCs w:val="16"/>
              </w:rPr>
            </w:pPr>
          </w:p>
        </w:tc>
      </w:tr>
      <w:tr w:rsidR="006E50FF" w:rsidRPr="006E50FF" w14:paraId="6EA2420D" w14:textId="77777777" w:rsidTr="0088638B">
        <w:trPr>
          <w:trHeight w:val="184"/>
        </w:trPr>
        <w:tc>
          <w:tcPr>
            <w:tcW w:w="1260" w:type="dxa"/>
            <w:gridSpan w:val="2"/>
            <w:vMerge/>
            <w:tcBorders>
              <w:top w:val="nil"/>
              <w:right w:val="double" w:sz="6" w:space="0" w:color="000000"/>
            </w:tcBorders>
          </w:tcPr>
          <w:p w14:paraId="2A89845A"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78A736FA"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w:t>
            </w:r>
            <w:r w:rsidRPr="006E50FF">
              <w:rPr>
                <w:spacing w:val="60"/>
                <w:sz w:val="16"/>
                <w:szCs w:val="16"/>
              </w:rPr>
              <w:t xml:space="preserve"> </w:t>
            </w:r>
            <w:r w:rsidRPr="006E50FF">
              <w:rPr>
                <w:sz w:val="16"/>
                <w:szCs w:val="16"/>
              </w:rPr>
              <w:t>Hospitals,</w:t>
            </w:r>
            <w:r w:rsidRPr="006E50FF">
              <w:rPr>
                <w:spacing w:val="-4"/>
                <w:sz w:val="16"/>
                <w:szCs w:val="16"/>
              </w:rPr>
              <w:t xml:space="preserve"> </w:t>
            </w:r>
            <w:r w:rsidRPr="006E50FF">
              <w:rPr>
                <w:sz w:val="16"/>
                <w:szCs w:val="16"/>
              </w:rPr>
              <w:t>Out-Patient</w:t>
            </w:r>
            <w:r w:rsidRPr="006E50FF">
              <w:rPr>
                <w:spacing w:val="-7"/>
                <w:sz w:val="16"/>
                <w:szCs w:val="16"/>
              </w:rPr>
              <w:t xml:space="preserve"> </w:t>
            </w:r>
            <w:r w:rsidRPr="006E50FF">
              <w:rPr>
                <w:sz w:val="16"/>
                <w:szCs w:val="16"/>
              </w:rPr>
              <w:t>Surgical</w:t>
            </w:r>
            <w:r w:rsidRPr="006E50FF">
              <w:rPr>
                <w:spacing w:val="-6"/>
                <w:sz w:val="16"/>
                <w:szCs w:val="16"/>
              </w:rPr>
              <w:t xml:space="preserve"> </w:t>
            </w:r>
            <w:r w:rsidRPr="006E50FF">
              <w:rPr>
                <w:sz w:val="16"/>
                <w:szCs w:val="16"/>
              </w:rPr>
              <w:t>Facilities,</w:t>
            </w:r>
            <w:r w:rsidRPr="006E50FF">
              <w:rPr>
                <w:spacing w:val="-5"/>
                <w:sz w:val="16"/>
                <w:szCs w:val="16"/>
              </w:rPr>
              <w:t xml:space="preserve"> </w:t>
            </w:r>
            <w:r w:rsidRPr="006E50FF">
              <w:rPr>
                <w:sz w:val="16"/>
                <w:szCs w:val="16"/>
              </w:rPr>
              <w:t>Renal</w:t>
            </w:r>
            <w:r w:rsidRPr="006E50FF">
              <w:rPr>
                <w:spacing w:val="-7"/>
                <w:sz w:val="16"/>
                <w:szCs w:val="16"/>
              </w:rPr>
              <w:t xml:space="preserve"> </w:t>
            </w:r>
            <w:r w:rsidRPr="006E50FF">
              <w:rPr>
                <w:sz w:val="16"/>
                <w:szCs w:val="16"/>
              </w:rPr>
              <w:t>Dialysis</w:t>
            </w:r>
            <w:r w:rsidRPr="006E50FF">
              <w:rPr>
                <w:spacing w:val="-5"/>
                <w:sz w:val="16"/>
                <w:szCs w:val="16"/>
              </w:rPr>
              <w:t xml:space="preserve"> </w:t>
            </w:r>
            <w:r w:rsidRPr="006E50FF">
              <w:rPr>
                <w:sz w:val="16"/>
                <w:szCs w:val="16"/>
              </w:rPr>
              <w:t>Facilities,</w:t>
            </w:r>
            <w:r w:rsidRPr="006E50FF">
              <w:rPr>
                <w:spacing w:val="-5"/>
                <w:sz w:val="16"/>
                <w:szCs w:val="16"/>
              </w:rPr>
              <w:t xml:space="preserve"> </w:t>
            </w:r>
            <w:r w:rsidRPr="006E50FF">
              <w:rPr>
                <w:sz w:val="16"/>
                <w:szCs w:val="16"/>
              </w:rPr>
              <w:t>Veterinary</w:t>
            </w:r>
            <w:r w:rsidRPr="006E50FF">
              <w:rPr>
                <w:spacing w:val="-8"/>
                <w:sz w:val="16"/>
                <w:szCs w:val="16"/>
              </w:rPr>
              <w:t xml:space="preserve"> </w:t>
            </w:r>
            <w:r w:rsidRPr="006E50FF">
              <w:rPr>
                <w:spacing w:val="-2"/>
                <w:sz w:val="16"/>
                <w:szCs w:val="16"/>
              </w:rPr>
              <w:t>Clinics</w:t>
            </w:r>
          </w:p>
        </w:tc>
        <w:tc>
          <w:tcPr>
            <w:tcW w:w="1080" w:type="dxa"/>
            <w:vMerge/>
            <w:tcBorders>
              <w:top w:val="nil"/>
              <w:left w:val="double" w:sz="6" w:space="0" w:color="000000"/>
            </w:tcBorders>
          </w:tcPr>
          <w:p w14:paraId="41F4FD32" w14:textId="77777777" w:rsidR="006E50FF" w:rsidRPr="006E50FF" w:rsidRDefault="006E50FF" w:rsidP="006E50FF">
            <w:pPr>
              <w:spacing w:line="278" w:lineRule="auto"/>
              <w:ind w:left="91" w:right="90"/>
              <w:rPr>
                <w:rFonts w:eastAsia="Aptos"/>
                <w:kern w:val="2"/>
                <w:sz w:val="16"/>
                <w:szCs w:val="16"/>
              </w:rPr>
            </w:pPr>
          </w:p>
        </w:tc>
      </w:tr>
      <w:tr w:rsidR="006E50FF" w:rsidRPr="006E50FF" w14:paraId="505E8EAE" w14:textId="77777777" w:rsidTr="0088638B">
        <w:trPr>
          <w:trHeight w:val="184"/>
        </w:trPr>
        <w:tc>
          <w:tcPr>
            <w:tcW w:w="1260" w:type="dxa"/>
            <w:gridSpan w:val="2"/>
            <w:vMerge/>
            <w:tcBorders>
              <w:top w:val="nil"/>
              <w:right w:val="double" w:sz="6" w:space="0" w:color="000000"/>
            </w:tcBorders>
          </w:tcPr>
          <w:p w14:paraId="61CCD339"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09D01E22"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2.</w:t>
            </w:r>
            <w:r w:rsidRPr="006E50FF">
              <w:rPr>
                <w:spacing w:val="72"/>
                <w:sz w:val="16"/>
                <w:szCs w:val="16"/>
              </w:rPr>
              <w:t xml:space="preserve"> </w:t>
            </w:r>
            <w:r w:rsidRPr="006E50FF">
              <w:rPr>
                <w:sz w:val="16"/>
                <w:szCs w:val="16"/>
              </w:rPr>
              <w:t>Funeral</w:t>
            </w:r>
            <w:r w:rsidRPr="006E50FF">
              <w:rPr>
                <w:spacing w:val="-4"/>
                <w:sz w:val="16"/>
                <w:szCs w:val="16"/>
              </w:rPr>
              <w:t xml:space="preserve"> </w:t>
            </w:r>
            <w:r w:rsidRPr="006E50FF">
              <w:rPr>
                <w:sz w:val="16"/>
                <w:szCs w:val="16"/>
              </w:rPr>
              <w:t>Homes,</w:t>
            </w:r>
            <w:r w:rsidRPr="006E50FF">
              <w:rPr>
                <w:spacing w:val="-1"/>
                <w:sz w:val="16"/>
                <w:szCs w:val="16"/>
              </w:rPr>
              <w:t xml:space="preserve"> </w:t>
            </w:r>
            <w:r w:rsidRPr="006E50FF">
              <w:rPr>
                <w:spacing w:val="-2"/>
                <w:sz w:val="16"/>
                <w:szCs w:val="16"/>
              </w:rPr>
              <w:t>Mortuaries</w:t>
            </w:r>
          </w:p>
        </w:tc>
        <w:tc>
          <w:tcPr>
            <w:tcW w:w="1080" w:type="dxa"/>
            <w:vMerge/>
            <w:tcBorders>
              <w:top w:val="nil"/>
              <w:left w:val="double" w:sz="6" w:space="0" w:color="000000"/>
            </w:tcBorders>
          </w:tcPr>
          <w:p w14:paraId="1020AB76" w14:textId="77777777" w:rsidR="006E50FF" w:rsidRPr="006E50FF" w:rsidRDefault="006E50FF" w:rsidP="006E50FF">
            <w:pPr>
              <w:spacing w:line="278" w:lineRule="auto"/>
              <w:ind w:left="91" w:right="90"/>
              <w:rPr>
                <w:rFonts w:eastAsia="Aptos"/>
                <w:kern w:val="2"/>
                <w:sz w:val="16"/>
                <w:szCs w:val="16"/>
              </w:rPr>
            </w:pPr>
          </w:p>
        </w:tc>
      </w:tr>
      <w:tr w:rsidR="006E50FF" w:rsidRPr="006E50FF" w14:paraId="765C0F38" w14:textId="77777777" w:rsidTr="0088638B">
        <w:trPr>
          <w:trHeight w:val="184"/>
        </w:trPr>
        <w:tc>
          <w:tcPr>
            <w:tcW w:w="1260" w:type="dxa"/>
            <w:gridSpan w:val="2"/>
            <w:vMerge/>
            <w:tcBorders>
              <w:top w:val="nil"/>
              <w:right w:val="double" w:sz="6" w:space="0" w:color="000000"/>
            </w:tcBorders>
          </w:tcPr>
          <w:p w14:paraId="5694879F"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B23B382"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3.</w:t>
            </w:r>
            <w:r w:rsidRPr="006E50FF">
              <w:rPr>
                <w:spacing w:val="73"/>
                <w:sz w:val="16"/>
                <w:szCs w:val="16"/>
              </w:rPr>
              <w:t xml:space="preserve"> </w:t>
            </w:r>
            <w:r w:rsidRPr="006E50FF">
              <w:rPr>
                <w:sz w:val="16"/>
                <w:szCs w:val="16"/>
              </w:rPr>
              <w:t>Car</w:t>
            </w:r>
            <w:r w:rsidRPr="006E50FF">
              <w:rPr>
                <w:spacing w:val="-2"/>
                <w:sz w:val="16"/>
                <w:szCs w:val="16"/>
              </w:rPr>
              <w:t xml:space="preserve"> </w:t>
            </w:r>
            <w:r w:rsidRPr="006E50FF">
              <w:rPr>
                <w:sz w:val="16"/>
                <w:szCs w:val="16"/>
              </w:rPr>
              <w:t>Wash</w:t>
            </w:r>
            <w:r w:rsidRPr="006E50FF">
              <w:rPr>
                <w:spacing w:val="-1"/>
                <w:sz w:val="16"/>
                <w:szCs w:val="16"/>
              </w:rPr>
              <w:t xml:space="preserve"> </w:t>
            </w:r>
            <w:r w:rsidRPr="006E50FF">
              <w:rPr>
                <w:spacing w:val="-2"/>
                <w:sz w:val="16"/>
                <w:szCs w:val="16"/>
              </w:rPr>
              <w:t>Systems</w:t>
            </w:r>
          </w:p>
        </w:tc>
        <w:tc>
          <w:tcPr>
            <w:tcW w:w="1080" w:type="dxa"/>
            <w:vMerge/>
            <w:tcBorders>
              <w:top w:val="nil"/>
              <w:left w:val="double" w:sz="6" w:space="0" w:color="000000"/>
            </w:tcBorders>
          </w:tcPr>
          <w:p w14:paraId="43AA4669" w14:textId="77777777" w:rsidR="006E50FF" w:rsidRPr="006E50FF" w:rsidRDefault="006E50FF" w:rsidP="006E50FF">
            <w:pPr>
              <w:spacing w:line="278" w:lineRule="auto"/>
              <w:ind w:left="91" w:right="90"/>
              <w:rPr>
                <w:rFonts w:eastAsia="Aptos"/>
                <w:kern w:val="2"/>
                <w:sz w:val="16"/>
                <w:szCs w:val="16"/>
              </w:rPr>
            </w:pPr>
          </w:p>
        </w:tc>
      </w:tr>
      <w:tr w:rsidR="006E50FF" w:rsidRPr="006E50FF" w14:paraId="46CC24C8" w14:textId="77777777" w:rsidTr="0088638B">
        <w:trPr>
          <w:trHeight w:val="184"/>
        </w:trPr>
        <w:tc>
          <w:tcPr>
            <w:tcW w:w="1260" w:type="dxa"/>
            <w:gridSpan w:val="2"/>
            <w:vMerge/>
            <w:tcBorders>
              <w:top w:val="nil"/>
              <w:right w:val="double" w:sz="6" w:space="0" w:color="000000"/>
            </w:tcBorders>
          </w:tcPr>
          <w:p w14:paraId="44C0D8D2"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354AC555"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4.</w:t>
            </w:r>
            <w:r w:rsidRPr="006E50FF">
              <w:rPr>
                <w:spacing w:val="73"/>
                <w:sz w:val="16"/>
                <w:szCs w:val="16"/>
              </w:rPr>
              <w:t xml:space="preserve"> </w:t>
            </w:r>
            <w:r w:rsidRPr="006E50FF">
              <w:rPr>
                <w:sz w:val="16"/>
                <w:szCs w:val="16"/>
              </w:rPr>
              <w:t>Sewage</w:t>
            </w:r>
            <w:r w:rsidRPr="006E50FF">
              <w:rPr>
                <w:spacing w:val="-1"/>
                <w:sz w:val="16"/>
                <w:szCs w:val="16"/>
              </w:rPr>
              <w:t xml:space="preserve"> </w:t>
            </w:r>
            <w:r w:rsidRPr="006E50FF">
              <w:rPr>
                <w:spacing w:val="-2"/>
                <w:sz w:val="16"/>
                <w:szCs w:val="16"/>
              </w:rPr>
              <w:t>Facilities</w:t>
            </w:r>
          </w:p>
        </w:tc>
        <w:tc>
          <w:tcPr>
            <w:tcW w:w="1080" w:type="dxa"/>
            <w:vMerge/>
            <w:tcBorders>
              <w:top w:val="nil"/>
              <w:left w:val="double" w:sz="6" w:space="0" w:color="000000"/>
            </w:tcBorders>
          </w:tcPr>
          <w:p w14:paraId="10812DF1" w14:textId="77777777" w:rsidR="006E50FF" w:rsidRPr="006E50FF" w:rsidRDefault="006E50FF" w:rsidP="006E50FF">
            <w:pPr>
              <w:spacing w:line="278" w:lineRule="auto"/>
              <w:ind w:left="91" w:right="90"/>
              <w:rPr>
                <w:rFonts w:eastAsia="Aptos"/>
                <w:kern w:val="2"/>
                <w:sz w:val="16"/>
                <w:szCs w:val="16"/>
              </w:rPr>
            </w:pPr>
          </w:p>
        </w:tc>
      </w:tr>
      <w:tr w:rsidR="006E50FF" w:rsidRPr="006E50FF" w14:paraId="2E508BBC" w14:textId="77777777" w:rsidTr="0088638B">
        <w:trPr>
          <w:trHeight w:val="184"/>
        </w:trPr>
        <w:tc>
          <w:tcPr>
            <w:tcW w:w="1260" w:type="dxa"/>
            <w:gridSpan w:val="2"/>
            <w:vMerge/>
            <w:tcBorders>
              <w:top w:val="nil"/>
              <w:right w:val="double" w:sz="6" w:space="0" w:color="000000"/>
            </w:tcBorders>
          </w:tcPr>
          <w:p w14:paraId="20ABE945"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7E20C305"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5.</w:t>
            </w:r>
            <w:r w:rsidRPr="006E50FF">
              <w:rPr>
                <w:spacing w:val="68"/>
                <w:sz w:val="16"/>
                <w:szCs w:val="16"/>
              </w:rPr>
              <w:t xml:space="preserve"> </w:t>
            </w:r>
            <w:r w:rsidRPr="006E50FF">
              <w:rPr>
                <w:sz w:val="16"/>
                <w:szCs w:val="16"/>
              </w:rPr>
              <w:t>Chemical</w:t>
            </w:r>
            <w:r w:rsidRPr="006E50FF">
              <w:rPr>
                <w:spacing w:val="-4"/>
                <w:sz w:val="16"/>
                <w:szCs w:val="16"/>
              </w:rPr>
              <w:t xml:space="preserve"> </w:t>
            </w:r>
            <w:r w:rsidRPr="006E50FF">
              <w:rPr>
                <w:sz w:val="16"/>
                <w:szCs w:val="16"/>
              </w:rPr>
              <w:t>or</w:t>
            </w:r>
            <w:r w:rsidRPr="006E50FF">
              <w:rPr>
                <w:spacing w:val="-4"/>
                <w:sz w:val="16"/>
                <w:szCs w:val="16"/>
              </w:rPr>
              <w:t xml:space="preserve"> </w:t>
            </w:r>
            <w:r w:rsidRPr="006E50FF">
              <w:rPr>
                <w:sz w:val="16"/>
                <w:szCs w:val="16"/>
              </w:rPr>
              <w:t>Petroleum</w:t>
            </w:r>
            <w:r w:rsidRPr="006E50FF">
              <w:rPr>
                <w:spacing w:val="-3"/>
                <w:sz w:val="16"/>
                <w:szCs w:val="16"/>
              </w:rPr>
              <w:t xml:space="preserve"> </w:t>
            </w:r>
            <w:r w:rsidRPr="006E50FF">
              <w:rPr>
                <w:sz w:val="16"/>
                <w:szCs w:val="16"/>
              </w:rPr>
              <w:t>Processing</w:t>
            </w:r>
            <w:r w:rsidRPr="006E50FF">
              <w:rPr>
                <w:spacing w:val="-4"/>
                <w:sz w:val="16"/>
                <w:szCs w:val="16"/>
              </w:rPr>
              <w:t xml:space="preserve"> </w:t>
            </w:r>
            <w:r w:rsidRPr="006E50FF">
              <w:rPr>
                <w:spacing w:val="-2"/>
                <w:sz w:val="16"/>
                <w:szCs w:val="16"/>
              </w:rPr>
              <w:t>Plants</w:t>
            </w:r>
          </w:p>
        </w:tc>
        <w:tc>
          <w:tcPr>
            <w:tcW w:w="1080" w:type="dxa"/>
            <w:vMerge/>
            <w:tcBorders>
              <w:top w:val="nil"/>
              <w:left w:val="double" w:sz="6" w:space="0" w:color="000000"/>
            </w:tcBorders>
          </w:tcPr>
          <w:p w14:paraId="49E6978B" w14:textId="77777777" w:rsidR="006E50FF" w:rsidRPr="006E50FF" w:rsidRDefault="006E50FF" w:rsidP="006E50FF">
            <w:pPr>
              <w:spacing w:line="278" w:lineRule="auto"/>
              <w:ind w:left="91" w:right="90"/>
              <w:rPr>
                <w:rFonts w:eastAsia="Aptos"/>
                <w:kern w:val="2"/>
                <w:sz w:val="16"/>
                <w:szCs w:val="16"/>
              </w:rPr>
            </w:pPr>
          </w:p>
        </w:tc>
      </w:tr>
      <w:tr w:rsidR="006E50FF" w:rsidRPr="006E50FF" w14:paraId="1130F3B8" w14:textId="77777777" w:rsidTr="0088638B">
        <w:trPr>
          <w:trHeight w:val="184"/>
        </w:trPr>
        <w:tc>
          <w:tcPr>
            <w:tcW w:w="1260" w:type="dxa"/>
            <w:gridSpan w:val="2"/>
            <w:vMerge/>
            <w:tcBorders>
              <w:top w:val="nil"/>
              <w:right w:val="double" w:sz="6" w:space="0" w:color="000000"/>
            </w:tcBorders>
          </w:tcPr>
          <w:p w14:paraId="630D75C6"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66C1BE7"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6.</w:t>
            </w:r>
            <w:r w:rsidRPr="006E50FF">
              <w:rPr>
                <w:spacing w:val="66"/>
                <w:sz w:val="16"/>
                <w:szCs w:val="16"/>
              </w:rPr>
              <w:t xml:space="preserve"> </w:t>
            </w:r>
            <w:r w:rsidRPr="006E50FF">
              <w:rPr>
                <w:sz w:val="16"/>
                <w:szCs w:val="16"/>
              </w:rPr>
              <w:t>Animal/Poultry</w:t>
            </w:r>
            <w:r w:rsidRPr="006E50FF">
              <w:rPr>
                <w:spacing w:val="-5"/>
                <w:sz w:val="16"/>
                <w:szCs w:val="16"/>
              </w:rPr>
              <w:t xml:space="preserve"> </w:t>
            </w:r>
            <w:r w:rsidRPr="006E50FF">
              <w:rPr>
                <w:sz w:val="16"/>
                <w:szCs w:val="16"/>
              </w:rPr>
              <w:t>Feedlots</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Brooding</w:t>
            </w:r>
            <w:r w:rsidRPr="006E50FF">
              <w:rPr>
                <w:spacing w:val="-5"/>
                <w:sz w:val="16"/>
                <w:szCs w:val="16"/>
              </w:rPr>
              <w:t xml:space="preserve"> </w:t>
            </w:r>
            <w:r w:rsidRPr="006E50FF">
              <w:rPr>
                <w:spacing w:val="-2"/>
                <w:sz w:val="16"/>
                <w:szCs w:val="16"/>
              </w:rPr>
              <w:t>Facilities</w:t>
            </w:r>
          </w:p>
        </w:tc>
        <w:tc>
          <w:tcPr>
            <w:tcW w:w="1080" w:type="dxa"/>
            <w:vMerge/>
            <w:tcBorders>
              <w:top w:val="nil"/>
              <w:left w:val="double" w:sz="6" w:space="0" w:color="000000"/>
            </w:tcBorders>
          </w:tcPr>
          <w:p w14:paraId="4C7720C5" w14:textId="77777777" w:rsidR="006E50FF" w:rsidRPr="006E50FF" w:rsidRDefault="006E50FF" w:rsidP="006E50FF">
            <w:pPr>
              <w:spacing w:line="278" w:lineRule="auto"/>
              <w:ind w:left="91" w:right="90"/>
              <w:rPr>
                <w:rFonts w:eastAsia="Aptos"/>
                <w:kern w:val="2"/>
                <w:sz w:val="16"/>
                <w:szCs w:val="16"/>
              </w:rPr>
            </w:pPr>
          </w:p>
        </w:tc>
      </w:tr>
      <w:tr w:rsidR="006E50FF" w:rsidRPr="006E50FF" w14:paraId="37146D0B" w14:textId="77777777" w:rsidTr="0088638B">
        <w:trPr>
          <w:trHeight w:val="181"/>
        </w:trPr>
        <w:tc>
          <w:tcPr>
            <w:tcW w:w="1260" w:type="dxa"/>
            <w:gridSpan w:val="2"/>
            <w:vMerge/>
            <w:tcBorders>
              <w:top w:val="nil"/>
              <w:right w:val="double" w:sz="6" w:space="0" w:color="000000"/>
            </w:tcBorders>
          </w:tcPr>
          <w:p w14:paraId="1E029EA1"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658C5696"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7.</w:t>
            </w:r>
            <w:r w:rsidRPr="006E50FF">
              <w:rPr>
                <w:spacing w:val="72"/>
                <w:sz w:val="16"/>
                <w:szCs w:val="16"/>
              </w:rPr>
              <w:t xml:space="preserve"> </w:t>
            </w:r>
            <w:r w:rsidRPr="006E50FF">
              <w:rPr>
                <w:sz w:val="16"/>
                <w:szCs w:val="16"/>
              </w:rPr>
              <w:t>Meat</w:t>
            </w:r>
            <w:r w:rsidRPr="006E50FF">
              <w:rPr>
                <w:spacing w:val="-2"/>
                <w:sz w:val="16"/>
                <w:szCs w:val="16"/>
              </w:rPr>
              <w:t xml:space="preserve"> </w:t>
            </w:r>
            <w:r w:rsidRPr="006E50FF">
              <w:rPr>
                <w:sz w:val="16"/>
                <w:szCs w:val="16"/>
              </w:rPr>
              <w:t>Processing</w:t>
            </w:r>
            <w:r w:rsidRPr="006E50FF">
              <w:rPr>
                <w:spacing w:val="-2"/>
                <w:sz w:val="16"/>
                <w:szCs w:val="16"/>
              </w:rPr>
              <w:t xml:space="preserve"> Plants</w:t>
            </w:r>
          </w:p>
        </w:tc>
        <w:tc>
          <w:tcPr>
            <w:tcW w:w="1080" w:type="dxa"/>
            <w:vMerge/>
            <w:tcBorders>
              <w:top w:val="nil"/>
              <w:left w:val="double" w:sz="6" w:space="0" w:color="000000"/>
            </w:tcBorders>
          </w:tcPr>
          <w:p w14:paraId="53E29900" w14:textId="77777777" w:rsidR="006E50FF" w:rsidRPr="006E50FF" w:rsidRDefault="006E50FF" w:rsidP="006E50FF">
            <w:pPr>
              <w:spacing w:line="278" w:lineRule="auto"/>
              <w:ind w:left="91" w:right="90"/>
              <w:rPr>
                <w:rFonts w:eastAsia="Aptos"/>
                <w:kern w:val="2"/>
                <w:sz w:val="16"/>
                <w:szCs w:val="16"/>
              </w:rPr>
            </w:pPr>
          </w:p>
        </w:tc>
      </w:tr>
      <w:tr w:rsidR="006E50FF" w:rsidRPr="006E50FF" w14:paraId="1FE71C5F" w14:textId="77777777" w:rsidTr="0088638B">
        <w:trPr>
          <w:trHeight w:val="184"/>
        </w:trPr>
        <w:tc>
          <w:tcPr>
            <w:tcW w:w="1260" w:type="dxa"/>
            <w:gridSpan w:val="2"/>
            <w:vMerge/>
            <w:tcBorders>
              <w:top w:val="nil"/>
              <w:right w:val="double" w:sz="6" w:space="0" w:color="000000"/>
            </w:tcBorders>
          </w:tcPr>
          <w:p w14:paraId="25A802E2"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3983614F"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8.</w:t>
            </w:r>
            <w:r w:rsidRPr="006E50FF">
              <w:rPr>
                <w:spacing w:val="73"/>
                <w:sz w:val="16"/>
                <w:szCs w:val="16"/>
              </w:rPr>
              <w:t xml:space="preserve"> </w:t>
            </w:r>
            <w:r w:rsidRPr="006E50FF">
              <w:rPr>
                <w:sz w:val="16"/>
                <w:szCs w:val="16"/>
              </w:rPr>
              <w:t>Metal</w:t>
            </w:r>
            <w:r w:rsidRPr="006E50FF">
              <w:rPr>
                <w:spacing w:val="-2"/>
                <w:sz w:val="16"/>
                <w:szCs w:val="16"/>
              </w:rPr>
              <w:t xml:space="preserve"> </w:t>
            </w:r>
            <w:r w:rsidRPr="006E50FF">
              <w:rPr>
                <w:sz w:val="16"/>
                <w:szCs w:val="16"/>
              </w:rPr>
              <w:t>Plating</w:t>
            </w:r>
            <w:r w:rsidRPr="006E50FF">
              <w:rPr>
                <w:spacing w:val="-2"/>
                <w:sz w:val="16"/>
                <w:szCs w:val="16"/>
              </w:rPr>
              <w:t xml:space="preserve"> Plants</w:t>
            </w:r>
          </w:p>
        </w:tc>
        <w:tc>
          <w:tcPr>
            <w:tcW w:w="1080" w:type="dxa"/>
            <w:vMerge/>
            <w:tcBorders>
              <w:top w:val="nil"/>
              <w:left w:val="double" w:sz="6" w:space="0" w:color="000000"/>
            </w:tcBorders>
          </w:tcPr>
          <w:p w14:paraId="0038D8F0" w14:textId="77777777" w:rsidR="006E50FF" w:rsidRPr="006E50FF" w:rsidRDefault="006E50FF" w:rsidP="006E50FF">
            <w:pPr>
              <w:spacing w:line="278" w:lineRule="auto"/>
              <w:ind w:left="91" w:right="90"/>
              <w:rPr>
                <w:rFonts w:eastAsia="Aptos"/>
                <w:kern w:val="2"/>
                <w:sz w:val="16"/>
                <w:szCs w:val="16"/>
              </w:rPr>
            </w:pPr>
          </w:p>
        </w:tc>
      </w:tr>
      <w:tr w:rsidR="006E50FF" w:rsidRPr="006E50FF" w14:paraId="4D42CFDF" w14:textId="77777777" w:rsidTr="0088638B">
        <w:trPr>
          <w:trHeight w:val="184"/>
        </w:trPr>
        <w:tc>
          <w:tcPr>
            <w:tcW w:w="1260" w:type="dxa"/>
            <w:gridSpan w:val="2"/>
            <w:vMerge/>
            <w:tcBorders>
              <w:top w:val="nil"/>
              <w:right w:val="double" w:sz="6" w:space="0" w:color="000000"/>
            </w:tcBorders>
          </w:tcPr>
          <w:p w14:paraId="0038304C"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06A195E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9.</w:t>
            </w:r>
            <w:r w:rsidRPr="006E50FF">
              <w:rPr>
                <w:spacing w:val="67"/>
                <w:sz w:val="16"/>
                <w:szCs w:val="16"/>
              </w:rPr>
              <w:t xml:space="preserve"> </w:t>
            </w:r>
            <w:r w:rsidRPr="006E50FF">
              <w:rPr>
                <w:sz w:val="16"/>
                <w:szCs w:val="16"/>
              </w:rPr>
              <w:t>Food</w:t>
            </w:r>
            <w:r w:rsidRPr="006E50FF">
              <w:rPr>
                <w:spacing w:val="-4"/>
                <w:sz w:val="16"/>
                <w:szCs w:val="16"/>
              </w:rPr>
              <w:t xml:space="preserve"> </w:t>
            </w:r>
            <w:r w:rsidRPr="006E50FF">
              <w:rPr>
                <w:sz w:val="16"/>
                <w:szCs w:val="16"/>
              </w:rPr>
              <w:t>Processing</w:t>
            </w:r>
            <w:r w:rsidRPr="006E50FF">
              <w:rPr>
                <w:spacing w:val="-5"/>
                <w:sz w:val="16"/>
                <w:szCs w:val="16"/>
              </w:rPr>
              <w:t xml:space="preserve"> </w:t>
            </w:r>
            <w:r w:rsidRPr="006E50FF">
              <w:rPr>
                <w:sz w:val="16"/>
                <w:szCs w:val="16"/>
              </w:rPr>
              <w:t>Plants,</w:t>
            </w:r>
            <w:r w:rsidRPr="006E50FF">
              <w:rPr>
                <w:spacing w:val="-6"/>
                <w:sz w:val="16"/>
                <w:szCs w:val="16"/>
              </w:rPr>
              <w:t xml:space="preserve"> </w:t>
            </w:r>
            <w:r w:rsidRPr="006E50FF">
              <w:rPr>
                <w:sz w:val="16"/>
                <w:szCs w:val="16"/>
              </w:rPr>
              <w:t>Beverage</w:t>
            </w:r>
            <w:r w:rsidRPr="006E50FF">
              <w:rPr>
                <w:spacing w:val="-3"/>
                <w:sz w:val="16"/>
                <w:szCs w:val="16"/>
              </w:rPr>
              <w:t xml:space="preserve"> </w:t>
            </w:r>
            <w:r w:rsidRPr="006E50FF">
              <w:rPr>
                <w:sz w:val="16"/>
                <w:szCs w:val="16"/>
              </w:rPr>
              <w:t>Processing</w:t>
            </w:r>
            <w:r w:rsidRPr="006E50FF">
              <w:rPr>
                <w:spacing w:val="-5"/>
                <w:sz w:val="16"/>
                <w:szCs w:val="16"/>
              </w:rPr>
              <w:t xml:space="preserve"> </w:t>
            </w:r>
            <w:r w:rsidRPr="006E50FF">
              <w:rPr>
                <w:spacing w:val="-2"/>
                <w:sz w:val="16"/>
                <w:szCs w:val="16"/>
              </w:rPr>
              <w:t>Plants</w:t>
            </w:r>
          </w:p>
        </w:tc>
        <w:tc>
          <w:tcPr>
            <w:tcW w:w="1080" w:type="dxa"/>
            <w:vMerge/>
            <w:tcBorders>
              <w:top w:val="nil"/>
              <w:left w:val="double" w:sz="6" w:space="0" w:color="000000"/>
            </w:tcBorders>
          </w:tcPr>
          <w:p w14:paraId="00014F10" w14:textId="77777777" w:rsidR="006E50FF" w:rsidRPr="006E50FF" w:rsidRDefault="006E50FF" w:rsidP="006E50FF">
            <w:pPr>
              <w:spacing w:line="278" w:lineRule="auto"/>
              <w:ind w:left="91" w:right="90"/>
              <w:rPr>
                <w:rFonts w:eastAsia="Aptos"/>
                <w:kern w:val="2"/>
                <w:sz w:val="16"/>
                <w:szCs w:val="16"/>
              </w:rPr>
            </w:pPr>
          </w:p>
        </w:tc>
      </w:tr>
      <w:tr w:rsidR="006E50FF" w:rsidRPr="006E50FF" w14:paraId="053CE8EE" w14:textId="77777777" w:rsidTr="0088638B">
        <w:trPr>
          <w:trHeight w:val="369"/>
        </w:trPr>
        <w:tc>
          <w:tcPr>
            <w:tcW w:w="1260" w:type="dxa"/>
            <w:gridSpan w:val="2"/>
            <w:vMerge/>
            <w:tcBorders>
              <w:top w:val="nil"/>
              <w:right w:val="double" w:sz="6" w:space="0" w:color="000000"/>
            </w:tcBorders>
          </w:tcPr>
          <w:p w14:paraId="172D7460"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5D649B6"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10.</w:t>
            </w:r>
            <w:r w:rsidRPr="006E50FF">
              <w:rPr>
                <w:spacing w:val="-7"/>
                <w:sz w:val="16"/>
                <w:szCs w:val="16"/>
              </w:rPr>
              <w:t xml:space="preserve"> </w:t>
            </w:r>
            <w:r w:rsidRPr="006E50FF">
              <w:rPr>
                <w:sz w:val="16"/>
                <w:szCs w:val="16"/>
              </w:rPr>
              <w:t>Fire</w:t>
            </w:r>
            <w:r w:rsidRPr="006E50FF">
              <w:rPr>
                <w:spacing w:val="-7"/>
                <w:sz w:val="16"/>
                <w:szCs w:val="16"/>
              </w:rPr>
              <w:t xml:space="preserve"> </w:t>
            </w:r>
            <w:r w:rsidRPr="006E50FF">
              <w:rPr>
                <w:sz w:val="16"/>
                <w:szCs w:val="16"/>
              </w:rPr>
              <w:t>Protection/Sprinkler</w:t>
            </w:r>
            <w:r w:rsidRPr="006E50FF">
              <w:rPr>
                <w:spacing w:val="-5"/>
                <w:sz w:val="16"/>
                <w:szCs w:val="16"/>
              </w:rPr>
              <w:t xml:space="preserve"> </w:t>
            </w:r>
            <w:r w:rsidRPr="006E50FF">
              <w:rPr>
                <w:sz w:val="16"/>
                <w:szCs w:val="16"/>
              </w:rPr>
              <w:t>Systems</w:t>
            </w:r>
            <w:r w:rsidRPr="006E50FF">
              <w:rPr>
                <w:spacing w:val="-6"/>
                <w:sz w:val="16"/>
                <w:szCs w:val="16"/>
              </w:rPr>
              <w:t xml:space="preserve"> </w:t>
            </w:r>
            <w:r w:rsidRPr="006E50FF">
              <w:rPr>
                <w:sz w:val="16"/>
                <w:szCs w:val="16"/>
              </w:rPr>
              <w:t>using</w:t>
            </w:r>
            <w:r w:rsidRPr="006E50FF">
              <w:rPr>
                <w:spacing w:val="-5"/>
                <w:sz w:val="16"/>
                <w:szCs w:val="16"/>
              </w:rPr>
              <w:t xml:space="preserve"> </w:t>
            </w:r>
            <w:r w:rsidRPr="006E50FF">
              <w:rPr>
                <w:sz w:val="16"/>
                <w:szCs w:val="16"/>
              </w:rPr>
              <w:t>antifreeze</w:t>
            </w:r>
            <w:r w:rsidRPr="006E50FF">
              <w:rPr>
                <w:spacing w:val="-7"/>
                <w:sz w:val="16"/>
                <w:szCs w:val="16"/>
              </w:rPr>
              <w:t xml:space="preserve"> </w:t>
            </w:r>
            <w:r w:rsidRPr="006E50FF">
              <w:rPr>
                <w:sz w:val="16"/>
                <w:szCs w:val="16"/>
              </w:rPr>
              <w:t>in</w:t>
            </w:r>
            <w:r w:rsidRPr="006E50FF">
              <w:rPr>
                <w:spacing w:val="-4"/>
                <w:sz w:val="16"/>
                <w:szCs w:val="16"/>
              </w:rPr>
              <w:t xml:space="preserve"> </w:t>
            </w:r>
            <w:r w:rsidRPr="006E50FF">
              <w:rPr>
                <w:sz w:val="16"/>
                <w:szCs w:val="16"/>
              </w:rPr>
              <w:t>such</w:t>
            </w:r>
            <w:r w:rsidRPr="006E50FF">
              <w:rPr>
                <w:spacing w:val="-5"/>
                <w:sz w:val="16"/>
                <w:szCs w:val="16"/>
              </w:rPr>
              <w:t xml:space="preserve"> </w:t>
            </w:r>
            <w:r w:rsidRPr="006E50FF">
              <w:rPr>
                <w:sz w:val="16"/>
                <w:szCs w:val="16"/>
              </w:rPr>
              <w:t>system</w:t>
            </w:r>
            <w:r w:rsidRPr="006E50FF">
              <w:rPr>
                <w:spacing w:val="-5"/>
                <w:sz w:val="16"/>
                <w:szCs w:val="16"/>
              </w:rPr>
              <w:t xml:space="preserve"> </w:t>
            </w:r>
            <w:r w:rsidRPr="006E50FF">
              <w:rPr>
                <w:sz w:val="16"/>
                <w:szCs w:val="16"/>
              </w:rPr>
              <w:t>(a</w:t>
            </w:r>
            <w:r w:rsidRPr="006E50FF">
              <w:rPr>
                <w:spacing w:val="-5"/>
                <w:sz w:val="16"/>
                <w:szCs w:val="16"/>
              </w:rPr>
              <w:t xml:space="preserve"> </w:t>
            </w:r>
            <w:r w:rsidRPr="006E50FF">
              <w:rPr>
                <w:sz w:val="16"/>
                <w:szCs w:val="16"/>
              </w:rPr>
              <w:t>detector</w:t>
            </w:r>
            <w:r w:rsidRPr="006E50FF">
              <w:rPr>
                <w:spacing w:val="-6"/>
                <w:sz w:val="16"/>
                <w:szCs w:val="16"/>
              </w:rPr>
              <w:t xml:space="preserve"> </w:t>
            </w:r>
            <w:r w:rsidRPr="006E50FF">
              <w:rPr>
                <w:sz w:val="16"/>
                <w:szCs w:val="16"/>
              </w:rPr>
              <w:t>type</w:t>
            </w:r>
            <w:r w:rsidRPr="006E50FF">
              <w:rPr>
                <w:spacing w:val="-7"/>
                <w:sz w:val="16"/>
                <w:szCs w:val="16"/>
              </w:rPr>
              <w:t xml:space="preserve"> </w:t>
            </w:r>
            <w:r w:rsidRPr="006E50FF">
              <w:rPr>
                <w:sz w:val="16"/>
                <w:szCs w:val="16"/>
              </w:rPr>
              <w:t>assembly</w:t>
            </w:r>
            <w:r w:rsidRPr="006E50FF">
              <w:rPr>
                <w:spacing w:val="-7"/>
                <w:sz w:val="16"/>
                <w:szCs w:val="16"/>
              </w:rPr>
              <w:t xml:space="preserve"> </w:t>
            </w:r>
            <w:r w:rsidRPr="006E50FF">
              <w:rPr>
                <w:sz w:val="16"/>
                <w:szCs w:val="16"/>
              </w:rPr>
              <w:t>is</w:t>
            </w:r>
            <w:r w:rsidRPr="006E50FF">
              <w:rPr>
                <w:spacing w:val="-5"/>
                <w:sz w:val="16"/>
                <w:szCs w:val="16"/>
              </w:rPr>
              <w:t xml:space="preserve"> </w:t>
            </w:r>
            <w:r w:rsidRPr="006E50FF">
              <w:rPr>
                <w:sz w:val="16"/>
                <w:szCs w:val="16"/>
              </w:rPr>
              <w:t>required</w:t>
            </w:r>
            <w:r w:rsidRPr="006E50FF">
              <w:rPr>
                <w:spacing w:val="-5"/>
                <w:sz w:val="16"/>
                <w:szCs w:val="16"/>
              </w:rPr>
              <w:t xml:space="preserve"> </w:t>
            </w:r>
            <w:r w:rsidRPr="006E50FF">
              <w:rPr>
                <w:sz w:val="16"/>
                <w:szCs w:val="16"/>
              </w:rPr>
              <w:t>on</w:t>
            </w:r>
            <w:r w:rsidRPr="006E50FF">
              <w:rPr>
                <w:spacing w:val="-5"/>
                <w:sz w:val="16"/>
                <w:szCs w:val="16"/>
              </w:rPr>
              <w:t xml:space="preserve"> </w:t>
            </w:r>
            <w:r w:rsidRPr="006E50FF">
              <w:rPr>
                <w:spacing w:val="-2"/>
                <w:sz w:val="16"/>
                <w:szCs w:val="16"/>
              </w:rPr>
              <w:t>unmetered</w:t>
            </w:r>
          </w:p>
          <w:p w14:paraId="48D6A5DB" w14:textId="77777777" w:rsidR="006E50FF" w:rsidRPr="006E50FF" w:rsidRDefault="006E50FF" w:rsidP="006E50FF">
            <w:pPr>
              <w:widowControl w:val="0"/>
              <w:autoSpaceDE w:val="0"/>
              <w:autoSpaceDN w:val="0"/>
              <w:spacing w:before="1" w:line="167" w:lineRule="exact"/>
              <w:ind w:left="91"/>
              <w:rPr>
                <w:sz w:val="16"/>
                <w:szCs w:val="16"/>
              </w:rPr>
            </w:pPr>
            <w:r w:rsidRPr="006E50FF">
              <w:rPr>
                <w:sz w:val="16"/>
                <w:szCs w:val="16"/>
              </w:rPr>
              <w:t>fire</w:t>
            </w:r>
            <w:r w:rsidRPr="006E50FF">
              <w:rPr>
                <w:spacing w:val="-4"/>
                <w:sz w:val="16"/>
                <w:szCs w:val="16"/>
              </w:rPr>
              <w:t xml:space="preserve"> </w:t>
            </w:r>
            <w:r w:rsidRPr="006E50FF">
              <w:rPr>
                <w:spacing w:val="-2"/>
                <w:sz w:val="16"/>
                <w:szCs w:val="16"/>
              </w:rPr>
              <w:t>lines)</w:t>
            </w:r>
          </w:p>
        </w:tc>
        <w:tc>
          <w:tcPr>
            <w:tcW w:w="1080" w:type="dxa"/>
            <w:vMerge/>
            <w:tcBorders>
              <w:top w:val="nil"/>
              <w:left w:val="double" w:sz="6" w:space="0" w:color="000000"/>
            </w:tcBorders>
          </w:tcPr>
          <w:p w14:paraId="6DA59B1F" w14:textId="77777777" w:rsidR="006E50FF" w:rsidRPr="006E50FF" w:rsidRDefault="006E50FF" w:rsidP="006E50FF">
            <w:pPr>
              <w:spacing w:line="278" w:lineRule="auto"/>
              <w:ind w:left="91" w:right="90"/>
              <w:rPr>
                <w:rFonts w:eastAsia="Aptos"/>
                <w:kern w:val="2"/>
                <w:sz w:val="16"/>
                <w:szCs w:val="16"/>
              </w:rPr>
            </w:pPr>
          </w:p>
        </w:tc>
      </w:tr>
      <w:tr w:rsidR="006E50FF" w:rsidRPr="006E50FF" w14:paraId="665E863A" w14:textId="77777777" w:rsidTr="0088638B">
        <w:trPr>
          <w:trHeight w:val="184"/>
        </w:trPr>
        <w:tc>
          <w:tcPr>
            <w:tcW w:w="1260" w:type="dxa"/>
            <w:gridSpan w:val="2"/>
            <w:vMerge/>
            <w:tcBorders>
              <w:top w:val="nil"/>
              <w:right w:val="double" w:sz="6" w:space="0" w:color="000000"/>
            </w:tcBorders>
          </w:tcPr>
          <w:p w14:paraId="0CC09EE6"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549C8604"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11.</w:t>
            </w:r>
            <w:r w:rsidRPr="006E50FF">
              <w:rPr>
                <w:spacing w:val="26"/>
                <w:sz w:val="16"/>
                <w:szCs w:val="16"/>
              </w:rPr>
              <w:t xml:space="preserve"> </w:t>
            </w:r>
            <w:r w:rsidRPr="006E50FF">
              <w:rPr>
                <w:sz w:val="16"/>
                <w:szCs w:val="16"/>
              </w:rPr>
              <w:t>Irrigation/Lawn</w:t>
            </w:r>
            <w:r w:rsidRPr="006E50FF">
              <w:rPr>
                <w:spacing w:val="-6"/>
                <w:sz w:val="16"/>
                <w:szCs w:val="16"/>
              </w:rPr>
              <w:t xml:space="preserve"> </w:t>
            </w:r>
            <w:r w:rsidRPr="006E50FF">
              <w:rPr>
                <w:sz w:val="16"/>
                <w:szCs w:val="16"/>
              </w:rPr>
              <w:t>Sprinkler</w:t>
            </w:r>
            <w:r w:rsidRPr="006E50FF">
              <w:rPr>
                <w:spacing w:val="-8"/>
                <w:sz w:val="16"/>
                <w:szCs w:val="16"/>
              </w:rPr>
              <w:t xml:space="preserve"> </w:t>
            </w:r>
            <w:r w:rsidRPr="006E50FF">
              <w:rPr>
                <w:sz w:val="16"/>
                <w:szCs w:val="16"/>
              </w:rPr>
              <w:t>Systems</w:t>
            </w:r>
            <w:r w:rsidRPr="006E50FF">
              <w:rPr>
                <w:spacing w:val="-8"/>
                <w:sz w:val="16"/>
                <w:szCs w:val="16"/>
              </w:rPr>
              <w:t xml:space="preserve"> </w:t>
            </w:r>
            <w:r w:rsidRPr="006E50FF">
              <w:rPr>
                <w:sz w:val="16"/>
                <w:szCs w:val="16"/>
              </w:rPr>
              <w:t>with</w:t>
            </w:r>
            <w:r w:rsidRPr="006E50FF">
              <w:rPr>
                <w:spacing w:val="-6"/>
                <w:sz w:val="16"/>
                <w:szCs w:val="16"/>
              </w:rPr>
              <w:t xml:space="preserve"> </w:t>
            </w:r>
            <w:r w:rsidRPr="006E50FF">
              <w:rPr>
                <w:sz w:val="16"/>
                <w:szCs w:val="16"/>
              </w:rPr>
              <w:t>Fertilizer</w:t>
            </w:r>
            <w:r w:rsidRPr="006E50FF">
              <w:rPr>
                <w:spacing w:val="-5"/>
                <w:sz w:val="16"/>
                <w:szCs w:val="16"/>
              </w:rPr>
              <w:t xml:space="preserve"> </w:t>
            </w:r>
            <w:r w:rsidRPr="006E50FF">
              <w:rPr>
                <w:spacing w:val="-2"/>
                <w:sz w:val="16"/>
                <w:szCs w:val="16"/>
              </w:rPr>
              <w:t>Injection</w:t>
            </w:r>
          </w:p>
        </w:tc>
        <w:tc>
          <w:tcPr>
            <w:tcW w:w="1080" w:type="dxa"/>
            <w:vMerge/>
            <w:tcBorders>
              <w:top w:val="nil"/>
              <w:left w:val="double" w:sz="6" w:space="0" w:color="000000"/>
            </w:tcBorders>
          </w:tcPr>
          <w:p w14:paraId="13CE2498" w14:textId="77777777" w:rsidR="006E50FF" w:rsidRPr="006E50FF" w:rsidRDefault="006E50FF" w:rsidP="006E50FF">
            <w:pPr>
              <w:spacing w:line="278" w:lineRule="auto"/>
              <w:ind w:left="91" w:right="90"/>
              <w:rPr>
                <w:rFonts w:eastAsia="Aptos"/>
                <w:kern w:val="2"/>
                <w:sz w:val="16"/>
                <w:szCs w:val="16"/>
              </w:rPr>
            </w:pPr>
          </w:p>
        </w:tc>
      </w:tr>
      <w:tr w:rsidR="006E50FF" w:rsidRPr="006E50FF" w14:paraId="31315B53" w14:textId="77777777" w:rsidTr="0088638B">
        <w:trPr>
          <w:trHeight w:val="184"/>
        </w:trPr>
        <w:tc>
          <w:tcPr>
            <w:tcW w:w="1260" w:type="dxa"/>
            <w:gridSpan w:val="2"/>
            <w:vMerge/>
            <w:tcBorders>
              <w:top w:val="nil"/>
              <w:right w:val="double" w:sz="6" w:space="0" w:color="000000"/>
            </w:tcBorders>
          </w:tcPr>
          <w:p w14:paraId="535042F3"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92542F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12.</w:t>
            </w:r>
            <w:r w:rsidRPr="006E50FF">
              <w:rPr>
                <w:spacing w:val="35"/>
                <w:sz w:val="16"/>
                <w:szCs w:val="16"/>
              </w:rPr>
              <w:t xml:space="preserve"> </w:t>
            </w:r>
            <w:r w:rsidRPr="006E50FF">
              <w:rPr>
                <w:spacing w:val="-2"/>
                <w:sz w:val="16"/>
                <w:szCs w:val="16"/>
              </w:rPr>
              <w:t>Marinas/Docks</w:t>
            </w:r>
          </w:p>
        </w:tc>
        <w:tc>
          <w:tcPr>
            <w:tcW w:w="1080" w:type="dxa"/>
            <w:vMerge/>
            <w:tcBorders>
              <w:top w:val="nil"/>
              <w:left w:val="double" w:sz="6" w:space="0" w:color="000000"/>
            </w:tcBorders>
          </w:tcPr>
          <w:p w14:paraId="3587AE2A" w14:textId="77777777" w:rsidR="006E50FF" w:rsidRPr="006E50FF" w:rsidRDefault="006E50FF" w:rsidP="006E50FF">
            <w:pPr>
              <w:spacing w:line="278" w:lineRule="auto"/>
              <w:ind w:left="91" w:right="90"/>
              <w:rPr>
                <w:rFonts w:eastAsia="Aptos"/>
                <w:kern w:val="2"/>
                <w:sz w:val="16"/>
                <w:szCs w:val="16"/>
              </w:rPr>
            </w:pPr>
          </w:p>
        </w:tc>
      </w:tr>
      <w:tr w:rsidR="006E50FF" w:rsidRPr="006E50FF" w14:paraId="00C94338" w14:textId="77777777" w:rsidTr="0088638B">
        <w:trPr>
          <w:trHeight w:val="184"/>
        </w:trPr>
        <w:tc>
          <w:tcPr>
            <w:tcW w:w="1260" w:type="dxa"/>
            <w:gridSpan w:val="2"/>
            <w:vMerge/>
            <w:tcBorders>
              <w:top w:val="nil"/>
              <w:right w:val="double" w:sz="6" w:space="0" w:color="000000"/>
            </w:tcBorders>
          </w:tcPr>
          <w:p w14:paraId="4D893F5E"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550C62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13.</w:t>
            </w:r>
            <w:r w:rsidRPr="006E50FF">
              <w:rPr>
                <w:spacing w:val="31"/>
                <w:sz w:val="16"/>
                <w:szCs w:val="16"/>
              </w:rPr>
              <w:t xml:space="preserve"> </w:t>
            </w:r>
            <w:r w:rsidRPr="006E50FF">
              <w:rPr>
                <w:sz w:val="16"/>
                <w:szCs w:val="16"/>
              </w:rPr>
              <w:t>Radiator</w:t>
            </w:r>
            <w:r w:rsidRPr="006E50FF">
              <w:rPr>
                <w:spacing w:val="-3"/>
                <w:sz w:val="16"/>
                <w:szCs w:val="16"/>
              </w:rPr>
              <w:t xml:space="preserve"> </w:t>
            </w:r>
            <w:r w:rsidRPr="006E50FF">
              <w:rPr>
                <w:spacing w:val="-2"/>
                <w:sz w:val="16"/>
                <w:szCs w:val="16"/>
              </w:rPr>
              <w:t>Shops</w:t>
            </w:r>
          </w:p>
        </w:tc>
        <w:tc>
          <w:tcPr>
            <w:tcW w:w="1080" w:type="dxa"/>
            <w:vMerge/>
            <w:tcBorders>
              <w:top w:val="nil"/>
              <w:left w:val="double" w:sz="6" w:space="0" w:color="000000"/>
            </w:tcBorders>
          </w:tcPr>
          <w:p w14:paraId="26CF7BB3" w14:textId="77777777" w:rsidR="006E50FF" w:rsidRPr="006E50FF" w:rsidRDefault="006E50FF" w:rsidP="006E50FF">
            <w:pPr>
              <w:spacing w:line="278" w:lineRule="auto"/>
              <w:ind w:left="91" w:right="90"/>
              <w:rPr>
                <w:rFonts w:eastAsia="Aptos"/>
                <w:kern w:val="2"/>
                <w:sz w:val="16"/>
                <w:szCs w:val="16"/>
              </w:rPr>
            </w:pPr>
          </w:p>
        </w:tc>
      </w:tr>
      <w:tr w:rsidR="006E50FF" w:rsidRPr="006E50FF" w14:paraId="0071A4C2" w14:textId="77777777" w:rsidTr="0088638B">
        <w:trPr>
          <w:trHeight w:val="181"/>
        </w:trPr>
        <w:tc>
          <w:tcPr>
            <w:tcW w:w="1260" w:type="dxa"/>
            <w:gridSpan w:val="2"/>
            <w:vMerge/>
            <w:tcBorders>
              <w:top w:val="nil"/>
              <w:right w:val="double" w:sz="6" w:space="0" w:color="000000"/>
            </w:tcBorders>
          </w:tcPr>
          <w:p w14:paraId="44246FDE"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4E47E27"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14.</w:t>
            </w:r>
            <w:r w:rsidRPr="006E50FF">
              <w:rPr>
                <w:spacing w:val="26"/>
                <w:sz w:val="16"/>
                <w:szCs w:val="16"/>
              </w:rPr>
              <w:t xml:space="preserve"> </w:t>
            </w:r>
            <w:r w:rsidRPr="006E50FF">
              <w:rPr>
                <w:sz w:val="16"/>
                <w:szCs w:val="16"/>
              </w:rPr>
              <w:t>Commercial</w:t>
            </w:r>
            <w:r w:rsidRPr="006E50FF">
              <w:rPr>
                <w:spacing w:val="-7"/>
                <w:sz w:val="16"/>
                <w:szCs w:val="16"/>
              </w:rPr>
              <w:t xml:space="preserve"> </w:t>
            </w:r>
            <w:r w:rsidRPr="006E50FF">
              <w:rPr>
                <w:sz w:val="16"/>
                <w:szCs w:val="16"/>
              </w:rPr>
              <w:t>Pesticide/Herbicide</w:t>
            </w:r>
            <w:r w:rsidRPr="006E50FF">
              <w:rPr>
                <w:spacing w:val="-8"/>
                <w:sz w:val="16"/>
                <w:szCs w:val="16"/>
              </w:rPr>
              <w:t xml:space="preserve"> </w:t>
            </w:r>
            <w:r w:rsidRPr="006E50FF">
              <w:rPr>
                <w:spacing w:val="-2"/>
                <w:sz w:val="16"/>
                <w:szCs w:val="16"/>
              </w:rPr>
              <w:t>Application</w:t>
            </w:r>
          </w:p>
        </w:tc>
        <w:tc>
          <w:tcPr>
            <w:tcW w:w="1080" w:type="dxa"/>
            <w:vMerge/>
            <w:tcBorders>
              <w:top w:val="nil"/>
              <w:left w:val="double" w:sz="6" w:space="0" w:color="000000"/>
            </w:tcBorders>
          </w:tcPr>
          <w:p w14:paraId="0CC86FB2" w14:textId="77777777" w:rsidR="006E50FF" w:rsidRPr="006E50FF" w:rsidRDefault="006E50FF" w:rsidP="006E50FF">
            <w:pPr>
              <w:spacing w:line="278" w:lineRule="auto"/>
              <w:ind w:left="91" w:right="90"/>
              <w:rPr>
                <w:rFonts w:eastAsia="Aptos"/>
                <w:kern w:val="2"/>
                <w:sz w:val="16"/>
                <w:szCs w:val="16"/>
              </w:rPr>
            </w:pPr>
          </w:p>
        </w:tc>
      </w:tr>
      <w:tr w:rsidR="006E50FF" w:rsidRPr="006E50FF" w14:paraId="1BD2C05B" w14:textId="77777777" w:rsidTr="0088638B">
        <w:trPr>
          <w:trHeight w:val="184"/>
        </w:trPr>
        <w:tc>
          <w:tcPr>
            <w:tcW w:w="1260" w:type="dxa"/>
            <w:gridSpan w:val="2"/>
            <w:vMerge/>
            <w:tcBorders>
              <w:top w:val="nil"/>
              <w:right w:val="double" w:sz="6" w:space="0" w:color="000000"/>
            </w:tcBorders>
          </w:tcPr>
          <w:p w14:paraId="22CA5695"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7685D22"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15.</w:t>
            </w:r>
            <w:r w:rsidRPr="006E50FF">
              <w:rPr>
                <w:spacing w:val="26"/>
                <w:sz w:val="16"/>
                <w:szCs w:val="16"/>
              </w:rPr>
              <w:t xml:space="preserve"> </w:t>
            </w:r>
            <w:r w:rsidRPr="006E50FF">
              <w:rPr>
                <w:sz w:val="16"/>
                <w:szCs w:val="16"/>
              </w:rPr>
              <w:t>Photo/X-ray/Film</w:t>
            </w:r>
            <w:r w:rsidRPr="006E50FF">
              <w:rPr>
                <w:spacing w:val="-7"/>
                <w:sz w:val="16"/>
                <w:szCs w:val="16"/>
              </w:rPr>
              <w:t xml:space="preserve"> </w:t>
            </w:r>
            <w:r w:rsidRPr="006E50FF">
              <w:rPr>
                <w:sz w:val="16"/>
                <w:szCs w:val="16"/>
              </w:rPr>
              <w:t>Processing</w:t>
            </w:r>
            <w:r w:rsidRPr="006E50FF">
              <w:rPr>
                <w:spacing w:val="-6"/>
                <w:sz w:val="16"/>
                <w:szCs w:val="16"/>
              </w:rPr>
              <w:t xml:space="preserve"> </w:t>
            </w:r>
            <w:r w:rsidRPr="006E50FF">
              <w:rPr>
                <w:spacing w:val="-2"/>
                <w:sz w:val="16"/>
                <w:szCs w:val="16"/>
              </w:rPr>
              <w:t>Laboratories</w:t>
            </w:r>
          </w:p>
        </w:tc>
        <w:tc>
          <w:tcPr>
            <w:tcW w:w="1080" w:type="dxa"/>
            <w:vMerge/>
            <w:tcBorders>
              <w:top w:val="nil"/>
              <w:left w:val="double" w:sz="6" w:space="0" w:color="000000"/>
            </w:tcBorders>
          </w:tcPr>
          <w:p w14:paraId="09C9BFE1" w14:textId="77777777" w:rsidR="006E50FF" w:rsidRPr="006E50FF" w:rsidRDefault="006E50FF" w:rsidP="006E50FF">
            <w:pPr>
              <w:spacing w:line="278" w:lineRule="auto"/>
              <w:ind w:left="91" w:right="90"/>
              <w:rPr>
                <w:rFonts w:eastAsia="Aptos"/>
                <w:kern w:val="2"/>
                <w:sz w:val="16"/>
                <w:szCs w:val="16"/>
              </w:rPr>
            </w:pPr>
          </w:p>
        </w:tc>
      </w:tr>
      <w:tr w:rsidR="006E50FF" w:rsidRPr="006E50FF" w14:paraId="688B2755" w14:textId="77777777" w:rsidTr="0088638B">
        <w:trPr>
          <w:trHeight w:val="184"/>
        </w:trPr>
        <w:tc>
          <w:tcPr>
            <w:tcW w:w="1260" w:type="dxa"/>
            <w:gridSpan w:val="2"/>
            <w:vMerge/>
            <w:tcBorders>
              <w:top w:val="nil"/>
              <w:right w:val="double" w:sz="6" w:space="0" w:color="000000"/>
            </w:tcBorders>
          </w:tcPr>
          <w:p w14:paraId="7F2A1D93"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0DBD8B4A" w14:textId="77777777" w:rsidR="006E50FF" w:rsidRPr="006E50FF" w:rsidRDefault="006E50FF" w:rsidP="006E50FF">
            <w:pPr>
              <w:widowControl w:val="0"/>
              <w:autoSpaceDE w:val="0"/>
              <w:autoSpaceDN w:val="0"/>
              <w:spacing w:line="165" w:lineRule="exact"/>
              <w:ind w:left="91"/>
              <w:rPr>
                <w:sz w:val="16"/>
                <w:szCs w:val="16"/>
              </w:rPr>
            </w:pPr>
            <w:r w:rsidRPr="006E50FF">
              <w:rPr>
                <w:sz w:val="16"/>
                <w:szCs w:val="16"/>
              </w:rPr>
              <w:t>16.</w:t>
            </w:r>
            <w:r w:rsidRPr="006E50FF">
              <w:rPr>
                <w:spacing w:val="33"/>
                <w:sz w:val="16"/>
                <w:szCs w:val="16"/>
              </w:rPr>
              <w:t xml:space="preserve"> </w:t>
            </w:r>
            <w:r w:rsidRPr="006E50FF">
              <w:rPr>
                <w:sz w:val="16"/>
                <w:szCs w:val="16"/>
              </w:rPr>
              <w:t>Multiple</w:t>
            </w:r>
            <w:r w:rsidRPr="006E50FF">
              <w:rPr>
                <w:spacing w:val="-5"/>
                <w:sz w:val="16"/>
                <w:szCs w:val="16"/>
              </w:rPr>
              <w:t xml:space="preserve"> </w:t>
            </w:r>
            <w:r w:rsidRPr="006E50FF">
              <w:rPr>
                <w:sz w:val="16"/>
                <w:szCs w:val="16"/>
              </w:rPr>
              <w:t>Commercial</w:t>
            </w:r>
            <w:r w:rsidRPr="006E50FF">
              <w:rPr>
                <w:spacing w:val="-4"/>
                <w:sz w:val="16"/>
                <w:szCs w:val="16"/>
              </w:rPr>
              <w:t xml:space="preserve"> </w:t>
            </w:r>
            <w:r w:rsidRPr="006E50FF">
              <w:rPr>
                <w:sz w:val="16"/>
                <w:szCs w:val="16"/>
              </w:rPr>
              <w:t>Units</w:t>
            </w:r>
            <w:r w:rsidRPr="006E50FF">
              <w:rPr>
                <w:spacing w:val="-5"/>
                <w:sz w:val="16"/>
                <w:szCs w:val="16"/>
              </w:rPr>
              <w:t xml:space="preserve"> </w:t>
            </w:r>
            <w:r w:rsidRPr="006E50FF">
              <w:rPr>
                <w:sz w:val="16"/>
                <w:szCs w:val="16"/>
              </w:rPr>
              <w:t>served</w:t>
            </w:r>
            <w:r w:rsidRPr="006E50FF">
              <w:rPr>
                <w:spacing w:val="-4"/>
                <w:sz w:val="16"/>
                <w:szCs w:val="16"/>
              </w:rPr>
              <w:t xml:space="preserve"> </w:t>
            </w:r>
            <w:r w:rsidRPr="006E50FF">
              <w:rPr>
                <w:sz w:val="16"/>
                <w:szCs w:val="16"/>
              </w:rPr>
              <w:t>by</w:t>
            </w:r>
            <w:r w:rsidRPr="006E50FF">
              <w:rPr>
                <w:spacing w:val="-6"/>
                <w:sz w:val="16"/>
                <w:szCs w:val="16"/>
              </w:rPr>
              <w:t xml:space="preserve"> </w:t>
            </w:r>
            <w:r w:rsidRPr="006E50FF">
              <w:rPr>
                <w:sz w:val="16"/>
                <w:szCs w:val="16"/>
              </w:rPr>
              <w:t>a</w:t>
            </w:r>
            <w:r w:rsidRPr="006E50FF">
              <w:rPr>
                <w:spacing w:val="-2"/>
                <w:sz w:val="16"/>
                <w:szCs w:val="16"/>
              </w:rPr>
              <w:t xml:space="preserve"> </w:t>
            </w:r>
            <w:r w:rsidRPr="006E50FF">
              <w:rPr>
                <w:sz w:val="16"/>
                <w:szCs w:val="16"/>
              </w:rPr>
              <w:t>master</w:t>
            </w:r>
            <w:r w:rsidRPr="006E50FF">
              <w:rPr>
                <w:spacing w:val="-3"/>
                <w:sz w:val="16"/>
                <w:szCs w:val="16"/>
              </w:rPr>
              <w:t xml:space="preserve"> </w:t>
            </w:r>
            <w:r w:rsidRPr="006E50FF">
              <w:rPr>
                <w:spacing w:val="-4"/>
                <w:sz w:val="16"/>
                <w:szCs w:val="16"/>
              </w:rPr>
              <w:t>meter</w:t>
            </w:r>
          </w:p>
        </w:tc>
        <w:tc>
          <w:tcPr>
            <w:tcW w:w="1080" w:type="dxa"/>
            <w:vMerge/>
            <w:tcBorders>
              <w:top w:val="nil"/>
              <w:left w:val="double" w:sz="6" w:space="0" w:color="000000"/>
            </w:tcBorders>
          </w:tcPr>
          <w:p w14:paraId="3B95452A" w14:textId="77777777" w:rsidR="006E50FF" w:rsidRPr="006E50FF" w:rsidRDefault="006E50FF" w:rsidP="006E50FF">
            <w:pPr>
              <w:spacing w:line="278" w:lineRule="auto"/>
              <w:ind w:left="91" w:right="90"/>
              <w:rPr>
                <w:rFonts w:eastAsia="Aptos"/>
                <w:kern w:val="2"/>
                <w:sz w:val="16"/>
                <w:szCs w:val="16"/>
              </w:rPr>
            </w:pPr>
          </w:p>
        </w:tc>
      </w:tr>
      <w:tr w:rsidR="006E50FF" w:rsidRPr="006E50FF" w14:paraId="4943E995" w14:textId="77777777" w:rsidTr="0088638B">
        <w:trPr>
          <w:trHeight w:val="369"/>
        </w:trPr>
        <w:tc>
          <w:tcPr>
            <w:tcW w:w="1260" w:type="dxa"/>
            <w:gridSpan w:val="2"/>
            <w:vMerge/>
            <w:tcBorders>
              <w:top w:val="nil"/>
              <w:right w:val="double" w:sz="6" w:space="0" w:color="000000"/>
            </w:tcBorders>
          </w:tcPr>
          <w:p w14:paraId="3D70E83B"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F89FF0B"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17.</w:t>
            </w:r>
            <w:r w:rsidRPr="006E50FF">
              <w:rPr>
                <w:spacing w:val="32"/>
                <w:sz w:val="16"/>
                <w:szCs w:val="16"/>
              </w:rPr>
              <w:t xml:space="preserve"> </w:t>
            </w:r>
            <w:r w:rsidRPr="006E50FF">
              <w:rPr>
                <w:sz w:val="16"/>
                <w:szCs w:val="16"/>
              </w:rPr>
              <w:t>Any</w:t>
            </w:r>
            <w:r w:rsidRPr="006E50FF">
              <w:rPr>
                <w:spacing w:val="-6"/>
                <w:sz w:val="16"/>
                <w:szCs w:val="16"/>
              </w:rPr>
              <w:t xml:space="preserve"> </w:t>
            </w:r>
            <w:r w:rsidRPr="006E50FF">
              <w:rPr>
                <w:sz w:val="16"/>
                <w:szCs w:val="16"/>
              </w:rPr>
              <w:t>type</w:t>
            </w:r>
            <w:r w:rsidRPr="006E50FF">
              <w:rPr>
                <w:spacing w:val="-6"/>
                <w:sz w:val="16"/>
                <w:szCs w:val="16"/>
              </w:rPr>
              <w:t xml:space="preserve"> </w:t>
            </w:r>
            <w:r w:rsidRPr="006E50FF">
              <w:rPr>
                <w:sz w:val="16"/>
                <w:szCs w:val="16"/>
              </w:rPr>
              <w:t>of</w:t>
            </w:r>
            <w:r w:rsidRPr="006E50FF">
              <w:rPr>
                <w:spacing w:val="-4"/>
                <w:sz w:val="16"/>
                <w:szCs w:val="16"/>
              </w:rPr>
              <w:t xml:space="preserve"> </w:t>
            </w:r>
            <w:r w:rsidRPr="006E50FF">
              <w:rPr>
                <w:sz w:val="16"/>
                <w:szCs w:val="16"/>
              </w:rPr>
              <w:t>occupancy</w:t>
            </w:r>
            <w:r w:rsidRPr="006E50FF">
              <w:rPr>
                <w:spacing w:val="-7"/>
                <w:sz w:val="16"/>
                <w:szCs w:val="16"/>
              </w:rPr>
              <w:t xml:space="preserve"> </w:t>
            </w:r>
            <w:r w:rsidRPr="006E50FF">
              <w:rPr>
                <w:sz w:val="16"/>
                <w:szCs w:val="16"/>
              </w:rPr>
              <w:t>type</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any</w:t>
            </w:r>
            <w:r w:rsidRPr="006E50FF">
              <w:rPr>
                <w:spacing w:val="-6"/>
                <w:sz w:val="16"/>
                <w:szCs w:val="16"/>
              </w:rPr>
              <w:t xml:space="preserve"> </w:t>
            </w:r>
            <w:r w:rsidRPr="006E50FF">
              <w:rPr>
                <w:sz w:val="16"/>
                <w:szCs w:val="16"/>
              </w:rPr>
              <w:t>other</w:t>
            </w:r>
            <w:r w:rsidRPr="006E50FF">
              <w:rPr>
                <w:spacing w:val="-5"/>
                <w:sz w:val="16"/>
                <w:szCs w:val="16"/>
              </w:rPr>
              <w:t xml:space="preserve"> </w:t>
            </w:r>
            <w:r w:rsidRPr="006E50FF">
              <w:rPr>
                <w:sz w:val="16"/>
                <w:szCs w:val="16"/>
              </w:rPr>
              <w:t>facility</w:t>
            </w:r>
            <w:r w:rsidRPr="006E50FF">
              <w:rPr>
                <w:spacing w:val="-6"/>
                <w:sz w:val="16"/>
                <w:szCs w:val="16"/>
              </w:rPr>
              <w:t xml:space="preserve"> </w:t>
            </w:r>
            <w:r w:rsidRPr="006E50FF">
              <w:rPr>
                <w:sz w:val="16"/>
                <w:szCs w:val="16"/>
              </w:rPr>
              <w:t>having</w:t>
            </w:r>
            <w:r w:rsidRPr="006E50FF">
              <w:rPr>
                <w:spacing w:val="-5"/>
                <w:sz w:val="16"/>
                <w:szCs w:val="16"/>
              </w:rPr>
              <w:t xml:space="preserve"> </w:t>
            </w:r>
            <w:r w:rsidRPr="006E50FF">
              <w:rPr>
                <w:sz w:val="16"/>
                <w:szCs w:val="16"/>
              </w:rPr>
              <w:t>one</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more</w:t>
            </w:r>
            <w:r w:rsidRPr="006E50FF">
              <w:rPr>
                <w:spacing w:val="-5"/>
                <w:sz w:val="16"/>
                <w:szCs w:val="16"/>
              </w:rPr>
              <w:t xml:space="preserve"> </w:t>
            </w:r>
            <w:r w:rsidRPr="006E50FF">
              <w:rPr>
                <w:sz w:val="16"/>
                <w:szCs w:val="16"/>
              </w:rPr>
              <w:t>Single-walled</w:t>
            </w:r>
            <w:r w:rsidRPr="006E50FF">
              <w:rPr>
                <w:spacing w:val="-3"/>
                <w:sz w:val="16"/>
                <w:szCs w:val="16"/>
              </w:rPr>
              <w:t xml:space="preserve"> </w:t>
            </w:r>
            <w:r w:rsidRPr="006E50FF">
              <w:rPr>
                <w:sz w:val="16"/>
                <w:szCs w:val="16"/>
              </w:rPr>
              <w:t>Heat</w:t>
            </w:r>
            <w:r w:rsidRPr="006E50FF">
              <w:rPr>
                <w:spacing w:val="-3"/>
                <w:sz w:val="16"/>
                <w:szCs w:val="16"/>
              </w:rPr>
              <w:t xml:space="preserve"> </w:t>
            </w:r>
            <w:r w:rsidRPr="006E50FF">
              <w:rPr>
                <w:sz w:val="16"/>
                <w:szCs w:val="16"/>
              </w:rPr>
              <w:t>Exchangers</w:t>
            </w:r>
            <w:r w:rsidRPr="006E50FF">
              <w:rPr>
                <w:spacing w:val="-3"/>
                <w:sz w:val="16"/>
                <w:szCs w:val="16"/>
              </w:rPr>
              <w:t xml:space="preserve"> </w:t>
            </w:r>
            <w:r w:rsidRPr="006E50FF">
              <w:rPr>
                <w:sz w:val="16"/>
                <w:szCs w:val="16"/>
              </w:rPr>
              <w:t>which</w:t>
            </w:r>
            <w:r w:rsidRPr="006E50FF">
              <w:rPr>
                <w:spacing w:val="-5"/>
                <w:sz w:val="16"/>
                <w:szCs w:val="16"/>
              </w:rPr>
              <w:t xml:space="preserve"> </w:t>
            </w:r>
            <w:r w:rsidRPr="006E50FF">
              <w:rPr>
                <w:sz w:val="16"/>
                <w:szCs w:val="16"/>
              </w:rPr>
              <w:t>uses</w:t>
            </w:r>
            <w:r w:rsidRPr="006E50FF">
              <w:rPr>
                <w:spacing w:val="-3"/>
                <w:sz w:val="16"/>
                <w:szCs w:val="16"/>
              </w:rPr>
              <w:t xml:space="preserve"> </w:t>
            </w:r>
            <w:r w:rsidRPr="006E50FF">
              <w:rPr>
                <w:spacing w:val="-5"/>
                <w:sz w:val="16"/>
                <w:szCs w:val="16"/>
              </w:rPr>
              <w:t>any</w:t>
            </w:r>
          </w:p>
          <w:p w14:paraId="5C0A1A24" w14:textId="77777777" w:rsidR="006E50FF" w:rsidRPr="006E50FF" w:rsidRDefault="006E50FF" w:rsidP="006E50FF">
            <w:pPr>
              <w:widowControl w:val="0"/>
              <w:autoSpaceDE w:val="0"/>
              <w:autoSpaceDN w:val="0"/>
              <w:spacing w:before="1" w:line="167" w:lineRule="exact"/>
              <w:ind w:left="91"/>
              <w:rPr>
                <w:sz w:val="16"/>
                <w:szCs w:val="16"/>
              </w:rPr>
            </w:pPr>
            <w:r w:rsidRPr="006E50FF">
              <w:rPr>
                <w:sz w:val="16"/>
                <w:szCs w:val="16"/>
              </w:rPr>
              <w:t>chemical,</w:t>
            </w:r>
            <w:r w:rsidRPr="006E50FF">
              <w:rPr>
                <w:spacing w:val="-5"/>
                <w:sz w:val="16"/>
                <w:szCs w:val="16"/>
              </w:rPr>
              <w:t xml:space="preserve"> </w:t>
            </w:r>
            <w:r w:rsidRPr="006E50FF">
              <w:rPr>
                <w:sz w:val="16"/>
                <w:szCs w:val="16"/>
              </w:rPr>
              <w:t>additive,</w:t>
            </w:r>
            <w:r w:rsidRPr="006E50FF">
              <w:rPr>
                <w:spacing w:val="-4"/>
                <w:sz w:val="16"/>
                <w:szCs w:val="16"/>
              </w:rPr>
              <w:t xml:space="preserve"> </w:t>
            </w:r>
            <w:r w:rsidRPr="006E50FF">
              <w:rPr>
                <w:sz w:val="16"/>
                <w:szCs w:val="16"/>
              </w:rPr>
              <w:t>or</w:t>
            </w:r>
            <w:r w:rsidRPr="006E50FF">
              <w:rPr>
                <w:spacing w:val="-6"/>
                <w:sz w:val="16"/>
                <w:szCs w:val="16"/>
              </w:rPr>
              <w:t xml:space="preserve"> </w:t>
            </w:r>
            <w:r w:rsidRPr="006E50FF">
              <w:rPr>
                <w:sz w:val="16"/>
                <w:szCs w:val="16"/>
              </w:rPr>
              <w:t>corrosion</w:t>
            </w:r>
            <w:r w:rsidRPr="006E50FF">
              <w:rPr>
                <w:spacing w:val="-7"/>
                <w:sz w:val="16"/>
                <w:szCs w:val="16"/>
              </w:rPr>
              <w:t xml:space="preserve"> </w:t>
            </w:r>
            <w:r w:rsidRPr="006E50FF">
              <w:rPr>
                <w:sz w:val="16"/>
                <w:szCs w:val="16"/>
              </w:rPr>
              <w:t>inhibitor,</w:t>
            </w:r>
            <w:r w:rsidRPr="006E50FF">
              <w:rPr>
                <w:spacing w:val="-4"/>
                <w:sz w:val="16"/>
                <w:szCs w:val="16"/>
              </w:rPr>
              <w:t xml:space="preserve"> </w:t>
            </w:r>
            <w:r w:rsidRPr="006E50FF">
              <w:rPr>
                <w:sz w:val="16"/>
                <w:szCs w:val="16"/>
              </w:rPr>
              <w:t>etc.,</w:t>
            </w:r>
            <w:r w:rsidRPr="006E50FF">
              <w:rPr>
                <w:spacing w:val="-4"/>
                <w:sz w:val="16"/>
                <w:szCs w:val="16"/>
              </w:rPr>
              <w:t xml:space="preserve"> </w:t>
            </w:r>
            <w:r w:rsidRPr="006E50FF">
              <w:rPr>
                <w:sz w:val="16"/>
                <w:szCs w:val="16"/>
              </w:rPr>
              <w:t>in</w:t>
            </w:r>
            <w:r w:rsidRPr="006E50FF">
              <w:rPr>
                <w:spacing w:val="-6"/>
                <w:sz w:val="16"/>
                <w:szCs w:val="16"/>
              </w:rPr>
              <w:t xml:space="preserve"> </w:t>
            </w:r>
            <w:r w:rsidRPr="006E50FF">
              <w:rPr>
                <w:sz w:val="16"/>
                <w:szCs w:val="16"/>
              </w:rPr>
              <w:t>the</w:t>
            </w:r>
            <w:r w:rsidRPr="006E50FF">
              <w:rPr>
                <w:spacing w:val="-7"/>
                <w:sz w:val="16"/>
                <w:szCs w:val="16"/>
              </w:rPr>
              <w:t xml:space="preserve"> </w:t>
            </w:r>
            <w:r w:rsidRPr="006E50FF">
              <w:rPr>
                <w:sz w:val="16"/>
                <w:szCs w:val="16"/>
              </w:rPr>
              <w:t>heating</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cooling</w:t>
            </w:r>
            <w:r w:rsidRPr="006E50FF">
              <w:rPr>
                <w:spacing w:val="-6"/>
                <w:sz w:val="16"/>
                <w:szCs w:val="16"/>
              </w:rPr>
              <w:t xml:space="preserve"> </w:t>
            </w:r>
            <w:r w:rsidRPr="006E50FF">
              <w:rPr>
                <w:spacing w:val="-2"/>
                <w:sz w:val="16"/>
                <w:szCs w:val="16"/>
              </w:rPr>
              <w:t>medium</w:t>
            </w:r>
          </w:p>
        </w:tc>
        <w:tc>
          <w:tcPr>
            <w:tcW w:w="1080" w:type="dxa"/>
            <w:vMerge/>
            <w:tcBorders>
              <w:top w:val="nil"/>
              <w:left w:val="double" w:sz="6" w:space="0" w:color="000000"/>
            </w:tcBorders>
          </w:tcPr>
          <w:p w14:paraId="0A99CC6B" w14:textId="77777777" w:rsidR="006E50FF" w:rsidRPr="006E50FF" w:rsidRDefault="006E50FF" w:rsidP="006E50FF">
            <w:pPr>
              <w:spacing w:line="278" w:lineRule="auto"/>
              <w:ind w:left="91" w:right="90"/>
              <w:rPr>
                <w:rFonts w:eastAsia="Aptos"/>
                <w:kern w:val="2"/>
                <w:sz w:val="16"/>
                <w:szCs w:val="16"/>
              </w:rPr>
            </w:pPr>
          </w:p>
        </w:tc>
      </w:tr>
      <w:tr w:rsidR="006E50FF" w:rsidRPr="006E50FF" w14:paraId="356AB7E2" w14:textId="77777777" w:rsidTr="0088638B">
        <w:trPr>
          <w:trHeight w:val="551"/>
        </w:trPr>
        <w:tc>
          <w:tcPr>
            <w:tcW w:w="1260" w:type="dxa"/>
            <w:gridSpan w:val="2"/>
            <w:vMerge/>
            <w:tcBorders>
              <w:top w:val="nil"/>
              <w:right w:val="double" w:sz="6" w:space="0" w:color="000000"/>
            </w:tcBorders>
          </w:tcPr>
          <w:p w14:paraId="4D64C242"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D7D429B" w14:textId="77777777" w:rsidR="006E50FF" w:rsidRPr="006E50FF" w:rsidRDefault="006E50FF" w:rsidP="006E50FF">
            <w:pPr>
              <w:widowControl w:val="0"/>
              <w:autoSpaceDE w:val="0"/>
              <w:autoSpaceDN w:val="0"/>
              <w:spacing w:line="237" w:lineRule="auto"/>
              <w:ind w:left="91"/>
              <w:rPr>
                <w:sz w:val="16"/>
                <w:szCs w:val="16"/>
              </w:rPr>
            </w:pPr>
            <w:r w:rsidRPr="006E50FF">
              <w:rPr>
                <w:sz w:val="16"/>
                <w:szCs w:val="16"/>
              </w:rPr>
              <w:t>18.</w:t>
            </w:r>
            <w:r w:rsidRPr="006E50FF">
              <w:rPr>
                <w:spacing w:val="39"/>
                <w:sz w:val="16"/>
                <w:szCs w:val="16"/>
              </w:rPr>
              <w:t xml:space="preserve"> </w:t>
            </w:r>
            <w:r w:rsidRPr="006E50FF">
              <w:rPr>
                <w:sz w:val="16"/>
                <w:szCs w:val="16"/>
              </w:rPr>
              <w:t>Any</w:t>
            </w:r>
            <w:r w:rsidRPr="006E50FF">
              <w:rPr>
                <w:spacing w:val="-4"/>
                <w:sz w:val="16"/>
                <w:szCs w:val="16"/>
              </w:rPr>
              <w:t xml:space="preserve"> </w:t>
            </w:r>
            <w:r w:rsidRPr="006E50FF">
              <w:rPr>
                <w:sz w:val="16"/>
                <w:szCs w:val="16"/>
              </w:rPr>
              <w:t>type</w:t>
            </w:r>
            <w:r w:rsidRPr="006E50FF">
              <w:rPr>
                <w:spacing w:val="-3"/>
                <w:sz w:val="16"/>
                <w:szCs w:val="16"/>
              </w:rPr>
              <w:t xml:space="preserve"> </w:t>
            </w:r>
            <w:r w:rsidRPr="006E50FF">
              <w:rPr>
                <w:sz w:val="16"/>
                <w:szCs w:val="16"/>
              </w:rPr>
              <w:t>of</w:t>
            </w:r>
            <w:r w:rsidRPr="006E50FF">
              <w:rPr>
                <w:spacing w:val="-2"/>
                <w:sz w:val="16"/>
                <w:szCs w:val="16"/>
              </w:rPr>
              <w:t xml:space="preserve"> </w:t>
            </w:r>
            <w:r w:rsidRPr="006E50FF">
              <w:rPr>
                <w:sz w:val="16"/>
                <w:szCs w:val="16"/>
              </w:rPr>
              <w:t>occupancy</w:t>
            </w:r>
            <w:r w:rsidRPr="006E50FF">
              <w:rPr>
                <w:spacing w:val="-4"/>
                <w:sz w:val="16"/>
                <w:szCs w:val="16"/>
              </w:rPr>
              <w:t xml:space="preserve"> </w:t>
            </w:r>
            <w:r w:rsidRPr="006E50FF">
              <w:rPr>
                <w:sz w:val="16"/>
                <w:szCs w:val="16"/>
              </w:rPr>
              <w:t>type</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any</w:t>
            </w:r>
            <w:r w:rsidRPr="006E50FF">
              <w:rPr>
                <w:spacing w:val="-4"/>
                <w:sz w:val="16"/>
                <w:szCs w:val="16"/>
              </w:rPr>
              <w:t xml:space="preserve"> </w:t>
            </w:r>
            <w:r w:rsidRPr="006E50FF">
              <w:rPr>
                <w:sz w:val="16"/>
                <w:szCs w:val="16"/>
              </w:rPr>
              <w:t>other</w:t>
            </w:r>
            <w:r w:rsidRPr="006E50FF">
              <w:rPr>
                <w:spacing w:val="-2"/>
                <w:sz w:val="16"/>
                <w:szCs w:val="16"/>
              </w:rPr>
              <w:t xml:space="preserve"> </w:t>
            </w:r>
            <w:r w:rsidRPr="006E50FF">
              <w:rPr>
                <w:sz w:val="16"/>
                <w:szCs w:val="16"/>
              </w:rPr>
              <w:t>facility</w:t>
            </w:r>
            <w:r w:rsidRPr="006E50FF">
              <w:rPr>
                <w:spacing w:val="-4"/>
                <w:sz w:val="16"/>
                <w:szCs w:val="16"/>
              </w:rPr>
              <w:t xml:space="preserve"> </w:t>
            </w:r>
            <w:r w:rsidRPr="006E50FF">
              <w:rPr>
                <w:sz w:val="16"/>
                <w:szCs w:val="16"/>
              </w:rPr>
              <w:t>having</w:t>
            </w:r>
            <w:r w:rsidRPr="006E50FF">
              <w:rPr>
                <w:spacing w:val="-2"/>
                <w:sz w:val="16"/>
                <w:szCs w:val="16"/>
              </w:rPr>
              <w:t xml:space="preserve"> </w:t>
            </w:r>
            <w:r w:rsidRPr="006E50FF">
              <w:rPr>
                <w:sz w:val="16"/>
                <w:szCs w:val="16"/>
              </w:rPr>
              <w:t>one</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more</w:t>
            </w:r>
            <w:r w:rsidRPr="006E50FF">
              <w:rPr>
                <w:spacing w:val="-3"/>
                <w:sz w:val="16"/>
                <w:szCs w:val="16"/>
              </w:rPr>
              <w:t xml:space="preserve"> </w:t>
            </w:r>
            <w:r w:rsidRPr="006E50FF">
              <w:rPr>
                <w:sz w:val="16"/>
                <w:szCs w:val="16"/>
              </w:rPr>
              <w:t>Double-walled Heat Exchangers</w:t>
            </w:r>
            <w:r w:rsidRPr="006E50FF">
              <w:rPr>
                <w:spacing w:val="-1"/>
                <w:sz w:val="16"/>
                <w:szCs w:val="16"/>
              </w:rPr>
              <w:t xml:space="preserve"> </w:t>
            </w:r>
            <w:r w:rsidRPr="006E50FF">
              <w:rPr>
                <w:sz w:val="16"/>
                <w:szCs w:val="16"/>
              </w:rPr>
              <w:t>which</w:t>
            </w:r>
            <w:r w:rsidRPr="006E50FF">
              <w:rPr>
                <w:spacing w:val="-4"/>
                <w:sz w:val="16"/>
                <w:szCs w:val="16"/>
              </w:rPr>
              <w:t xml:space="preserve"> </w:t>
            </w:r>
            <w:r w:rsidRPr="006E50FF">
              <w:rPr>
                <w:sz w:val="16"/>
                <w:szCs w:val="16"/>
              </w:rPr>
              <w:t>use</w:t>
            </w:r>
            <w:r w:rsidRPr="006E50FF">
              <w:rPr>
                <w:spacing w:val="-3"/>
                <w:sz w:val="16"/>
                <w:szCs w:val="16"/>
              </w:rPr>
              <w:t xml:space="preserve"> </w:t>
            </w:r>
            <w:r w:rsidRPr="006E50FF">
              <w:rPr>
                <w:sz w:val="16"/>
                <w:szCs w:val="16"/>
              </w:rPr>
              <w:t>any</w:t>
            </w:r>
            <w:r w:rsidRPr="006E50FF">
              <w:rPr>
                <w:spacing w:val="40"/>
                <w:sz w:val="16"/>
                <w:szCs w:val="16"/>
              </w:rPr>
              <w:t xml:space="preserve"> </w:t>
            </w:r>
            <w:r w:rsidRPr="006E50FF">
              <w:rPr>
                <w:sz w:val="16"/>
                <w:szCs w:val="16"/>
              </w:rPr>
              <w:t>chemical, additive, or corrosion inhibitor, etc., in the heating or cooling medium and which does not have a path to</w:t>
            </w:r>
          </w:p>
          <w:p w14:paraId="39710BFA" w14:textId="77777777" w:rsidR="006E50FF" w:rsidRPr="006E50FF" w:rsidRDefault="006E50FF" w:rsidP="006E50FF">
            <w:pPr>
              <w:widowControl w:val="0"/>
              <w:autoSpaceDE w:val="0"/>
              <w:autoSpaceDN w:val="0"/>
              <w:spacing w:line="167" w:lineRule="exact"/>
              <w:ind w:left="91"/>
              <w:rPr>
                <w:sz w:val="16"/>
                <w:szCs w:val="16"/>
              </w:rPr>
            </w:pPr>
            <w:r w:rsidRPr="006E50FF">
              <w:rPr>
                <w:sz w:val="16"/>
                <w:szCs w:val="16"/>
              </w:rPr>
              <w:t>atmosphere</w:t>
            </w:r>
            <w:r w:rsidRPr="006E50FF">
              <w:rPr>
                <w:spacing w:val="-6"/>
                <w:sz w:val="16"/>
                <w:szCs w:val="16"/>
              </w:rPr>
              <w:t xml:space="preserve"> </w:t>
            </w:r>
            <w:r w:rsidRPr="006E50FF">
              <w:rPr>
                <w:sz w:val="16"/>
                <w:szCs w:val="16"/>
              </w:rPr>
              <w:t>with</w:t>
            </w:r>
            <w:r w:rsidRPr="006E50FF">
              <w:rPr>
                <w:spacing w:val="-4"/>
                <w:sz w:val="16"/>
                <w:szCs w:val="16"/>
              </w:rPr>
              <w:t xml:space="preserve"> </w:t>
            </w:r>
            <w:r w:rsidRPr="006E50FF">
              <w:rPr>
                <w:sz w:val="16"/>
                <w:szCs w:val="16"/>
              </w:rPr>
              <w:t>a</w:t>
            </w:r>
            <w:r w:rsidRPr="006E50FF">
              <w:rPr>
                <w:spacing w:val="-6"/>
                <w:sz w:val="16"/>
                <w:szCs w:val="16"/>
              </w:rPr>
              <w:t xml:space="preserve"> </w:t>
            </w:r>
            <w:r w:rsidRPr="006E50FF">
              <w:rPr>
                <w:sz w:val="16"/>
                <w:szCs w:val="16"/>
              </w:rPr>
              <w:t>readily</w:t>
            </w:r>
            <w:r w:rsidRPr="006E50FF">
              <w:rPr>
                <w:spacing w:val="-7"/>
                <w:sz w:val="16"/>
                <w:szCs w:val="16"/>
              </w:rPr>
              <w:t xml:space="preserve"> </w:t>
            </w:r>
            <w:r w:rsidRPr="006E50FF">
              <w:rPr>
                <w:sz w:val="16"/>
                <w:szCs w:val="16"/>
              </w:rPr>
              <w:t>visible</w:t>
            </w:r>
            <w:r w:rsidRPr="006E50FF">
              <w:rPr>
                <w:spacing w:val="-5"/>
                <w:sz w:val="16"/>
                <w:szCs w:val="16"/>
              </w:rPr>
              <w:t xml:space="preserve"> </w:t>
            </w:r>
            <w:r w:rsidRPr="006E50FF">
              <w:rPr>
                <w:spacing w:val="-2"/>
                <w:sz w:val="16"/>
                <w:szCs w:val="16"/>
              </w:rPr>
              <w:t>discharge</w:t>
            </w:r>
          </w:p>
        </w:tc>
        <w:tc>
          <w:tcPr>
            <w:tcW w:w="1080" w:type="dxa"/>
            <w:vMerge/>
            <w:tcBorders>
              <w:top w:val="nil"/>
              <w:left w:val="double" w:sz="6" w:space="0" w:color="000000"/>
            </w:tcBorders>
          </w:tcPr>
          <w:p w14:paraId="40E53D3A" w14:textId="77777777" w:rsidR="006E50FF" w:rsidRPr="006E50FF" w:rsidRDefault="006E50FF" w:rsidP="006E50FF">
            <w:pPr>
              <w:spacing w:line="278" w:lineRule="auto"/>
              <w:ind w:left="91" w:right="90"/>
              <w:rPr>
                <w:rFonts w:eastAsia="Aptos"/>
                <w:kern w:val="2"/>
                <w:sz w:val="16"/>
                <w:szCs w:val="16"/>
              </w:rPr>
            </w:pPr>
          </w:p>
        </w:tc>
      </w:tr>
      <w:tr w:rsidR="006E50FF" w:rsidRPr="006E50FF" w14:paraId="53C0857A" w14:textId="77777777" w:rsidTr="0088638B">
        <w:trPr>
          <w:trHeight w:val="184"/>
        </w:trPr>
        <w:tc>
          <w:tcPr>
            <w:tcW w:w="1260" w:type="dxa"/>
            <w:gridSpan w:val="2"/>
            <w:vMerge/>
            <w:tcBorders>
              <w:top w:val="nil"/>
              <w:right w:val="double" w:sz="6" w:space="0" w:color="000000"/>
            </w:tcBorders>
          </w:tcPr>
          <w:p w14:paraId="5A1D1C76"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9D9C006"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19.</w:t>
            </w:r>
            <w:r w:rsidRPr="006E50FF">
              <w:rPr>
                <w:spacing w:val="34"/>
                <w:sz w:val="16"/>
                <w:szCs w:val="16"/>
              </w:rPr>
              <w:t xml:space="preserve"> </w:t>
            </w:r>
            <w:r w:rsidRPr="006E50FF">
              <w:rPr>
                <w:sz w:val="16"/>
                <w:szCs w:val="16"/>
              </w:rPr>
              <w:t>Premises</w:t>
            </w:r>
            <w:r w:rsidRPr="006E50FF">
              <w:rPr>
                <w:spacing w:val="-3"/>
                <w:sz w:val="16"/>
                <w:szCs w:val="16"/>
              </w:rPr>
              <w:t xml:space="preserve"> </w:t>
            </w:r>
            <w:r w:rsidRPr="006E50FF">
              <w:rPr>
                <w:sz w:val="16"/>
                <w:szCs w:val="16"/>
              </w:rPr>
              <w:t>where</w:t>
            </w:r>
            <w:r w:rsidRPr="006E50FF">
              <w:rPr>
                <w:spacing w:val="-5"/>
                <w:sz w:val="16"/>
                <w:szCs w:val="16"/>
              </w:rPr>
              <w:t xml:space="preserve"> </w:t>
            </w:r>
            <w:r w:rsidRPr="006E50FF">
              <w:rPr>
                <w:sz w:val="16"/>
                <w:szCs w:val="16"/>
              </w:rPr>
              <w:t>access/entry</w:t>
            </w:r>
            <w:r w:rsidRPr="006E50FF">
              <w:rPr>
                <w:spacing w:val="-6"/>
                <w:sz w:val="16"/>
                <w:szCs w:val="16"/>
              </w:rPr>
              <w:t xml:space="preserve"> </w:t>
            </w:r>
            <w:r w:rsidRPr="006E50FF">
              <w:rPr>
                <w:sz w:val="16"/>
                <w:szCs w:val="16"/>
              </w:rPr>
              <w:t xml:space="preserve">is </w:t>
            </w:r>
            <w:r w:rsidRPr="006E50FF">
              <w:rPr>
                <w:spacing w:val="-2"/>
                <w:sz w:val="16"/>
                <w:szCs w:val="16"/>
              </w:rPr>
              <w:t>prohibited</w:t>
            </w:r>
          </w:p>
        </w:tc>
        <w:tc>
          <w:tcPr>
            <w:tcW w:w="1080" w:type="dxa"/>
            <w:vMerge/>
            <w:tcBorders>
              <w:top w:val="nil"/>
              <w:left w:val="double" w:sz="6" w:space="0" w:color="000000"/>
            </w:tcBorders>
          </w:tcPr>
          <w:p w14:paraId="21A861E6" w14:textId="77777777" w:rsidR="006E50FF" w:rsidRPr="006E50FF" w:rsidRDefault="006E50FF" w:rsidP="006E50FF">
            <w:pPr>
              <w:spacing w:line="278" w:lineRule="auto"/>
              <w:ind w:left="91" w:right="90"/>
              <w:rPr>
                <w:rFonts w:eastAsia="Aptos"/>
                <w:kern w:val="2"/>
                <w:sz w:val="16"/>
                <w:szCs w:val="16"/>
              </w:rPr>
            </w:pPr>
          </w:p>
        </w:tc>
      </w:tr>
      <w:tr w:rsidR="006E50FF" w:rsidRPr="006E50FF" w14:paraId="154EDAA5" w14:textId="77777777" w:rsidTr="0088638B">
        <w:trPr>
          <w:trHeight w:val="368"/>
        </w:trPr>
        <w:tc>
          <w:tcPr>
            <w:tcW w:w="1260" w:type="dxa"/>
            <w:gridSpan w:val="2"/>
            <w:vMerge/>
            <w:tcBorders>
              <w:top w:val="nil"/>
              <w:right w:val="double" w:sz="6" w:space="0" w:color="000000"/>
            </w:tcBorders>
          </w:tcPr>
          <w:p w14:paraId="1BCD79C1"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shd w:val="clear" w:color="auto" w:fill="BEBEBE"/>
          </w:tcPr>
          <w:p w14:paraId="34C4B230" w14:textId="77777777" w:rsidR="006E50FF" w:rsidRPr="006E50FF" w:rsidRDefault="006E50FF" w:rsidP="006E50FF">
            <w:pPr>
              <w:widowControl w:val="0"/>
              <w:autoSpaceDE w:val="0"/>
              <w:autoSpaceDN w:val="0"/>
              <w:spacing w:line="184" w:lineRule="exact"/>
              <w:ind w:left="91" w:right="-22"/>
              <w:rPr>
                <w:b/>
                <w:spacing w:val="40"/>
                <w:sz w:val="16"/>
                <w:szCs w:val="16"/>
              </w:rPr>
            </w:pPr>
            <w:r w:rsidRPr="006E50FF">
              <w:rPr>
                <w:b/>
                <w:sz w:val="16"/>
                <w:szCs w:val="16"/>
              </w:rPr>
              <w:t>Pressure</w:t>
            </w:r>
            <w:r w:rsidRPr="006E50FF">
              <w:rPr>
                <w:b/>
                <w:spacing w:val="-10"/>
                <w:sz w:val="16"/>
                <w:szCs w:val="16"/>
              </w:rPr>
              <w:t xml:space="preserve"> </w:t>
            </w:r>
            <w:r w:rsidRPr="006E50FF">
              <w:rPr>
                <w:b/>
                <w:sz w:val="16"/>
                <w:szCs w:val="16"/>
              </w:rPr>
              <w:t>Vacuum</w:t>
            </w:r>
            <w:r w:rsidRPr="006E50FF">
              <w:rPr>
                <w:b/>
                <w:spacing w:val="-10"/>
                <w:sz w:val="16"/>
                <w:szCs w:val="16"/>
              </w:rPr>
              <w:t xml:space="preserve"> </w:t>
            </w:r>
            <w:r w:rsidRPr="006E50FF">
              <w:rPr>
                <w:b/>
                <w:sz w:val="16"/>
                <w:szCs w:val="16"/>
              </w:rPr>
              <w:t>Breaker</w:t>
            </w:r>
            <w:r w:rsidRPr="006E50FF">
              <w:rPr>
                <w:b/>
                <w:spacing w:val="-9"/>
                <w:sz w:val="16"/>
                <w:szCs w:val="16"/>
              </w:rPr>
              <w:t xml:space="preserve"> </w:t>
            </w:r>
            <w:r w:rsidRPr="006E50FF">
              <w:rPr>
                <w:b/>
                <w:sz w:val="16"/>
                <w:szCs w:val="16"/>
              </w:rPr>
              <w:t>Assembly/Spill</w:t>
            </w:r>
            <w:r w:rsidRPr="006E50FF">
              <w:rPr>
                <w:b/>
                <w:spacing w:val="-10"/>
                <w:sz w:val="16"/>
                <w:szCs w:val="16"/>
              </w:rPr>
              <w:t xml:space="preserve"> </w:t>
            </w:r>
            <w:r w:rsidRPr="006E50FF">
              <w:rPr>
                <w:b/>
                <w:sz w:val="16"/>
                <w:szCs w:val="16"/>
              </w:rPr>
              <w:t>Resistant</w:t>
            </w:r>
            <w:r w:rsidRPr="006E50FF">
              <w:rPr>
                <w:b/>
                <w:spacing w:val="40"/>
                <w:sz w:val="16"/>
                <w:szCs w:val="16"/>
              </w:rPr>
              <w:t xml:space="preserve"> </w:t>
            </w:r>
          </w:p>
          <w:p w14:paraId="78F4A371" w14:textId="77777777" w:rsidR="006E50FF" w:rsidRPr="006E50FF" w:rsidRDefault="006E50FF" w:rsidP="006E50FF">
            <w:pPr>
              <w:widowControl w:val="0"/>
              <w:autoSpaceDE w:val="0"/>
              <w:autoSpaceDN w:val="0"/>
              <w:spacing w:line="184" w:lineRule="exact"/>
              <w:ind w:left="91" w:right="-22"/>
              <w:rPr>
                <w:b/>
                <w:sz w:val="16"/>
                <w:szCs w:val="16"/>
              </w:rPr>
            </w:pPr>
            <w:r w:rsidRPr="006E50FF">
              <w:rPr>
                <w:b/>
                <w:sz w:val="16"/>
                <w:szCs w:val="16"/>
              </w:rPr>
              <w:t>Vacuum Breaker Assembly</w:t>
            </w:r>
          </w:p>
        </w:tc>
        <w:tc>
          <w:tcPr>
            <w:tcW w:w="1080" w:type="dxa"/>
            <w:vMerge/>
            <w:tcBorders>
              <w:top w:val="nil"/>
              <w:left w:val="double" w:sz="6" w:space="0" w:color="000000"/>
            </w:tcBorders>
          </w:tcPr>
          <w:p w14:paraId="5C2F153E" w14:textId="77777777" w:rsidR="006E50FF" w:rsidRPr="006E50FF" w:rsidRDefault="006E50FF" w:rsidP="006E50FF">
            <w:pPr>
              <w:spacing w:line="278" w:lineRule="auto"/>
              <w:ind w:left="91" w:right="90"/>
              <w:rPr>
                <w:rFonts w:eastAsia="Aptos"/>
                <w:kern w:val="2"/>
                <w:sz w:val="16"/>
                <w:szCs w:val="16"/>
              </w:rPr>
            </w:pPr>
          </w:p>
        </w:tc>
      </w:tr>
      <w:tr w:rsidR="006E50FF" w:rsidRPr="006E50FF" w14:paraId="239AC76C" w14:textId="77777777" w:rsidTr="0088638B">
        <w:trPr>
          <w:trHeight w:val="181"/>
        </w:trPr>
        <w:tc>
          <w:tcPr>
            <w:tcW w:w="1260" w:type="dxa"/>
            <w:gridSpan w:val="2"/>
            <w:vMerge/>
            <w:tcBorders>
              <w:top w:val="nil"/>
              <w:right w:val="double" w:sz="6" w:space="0" w:color="000000"/>
            </w:tcBorders>
          </w:tcPr>
          <w:p w14:paraId="0D26ADBB"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FE3A4D8"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1.</w:t>
            </w:r>
            <w:r w:rsidRPr="006E50FF">
              <w:rPr>
                <w:spacing w:val="63"/>
                <w:sz w:val="16"/>
                <w:szCs w:val="16"/>
              </w:rPr>
              <w:t xml:space="preserve"> </w:t>
            </w:r>
            <w:r w:rsidRPr="006E50FF">
              <w:rPr>
                <w:sz w:val="16"/>
                <w:szCs w:val="16"/>
              </w:rPr>
              <w:t>Irrigation/Lawn</w:t>
            </w:r>
            <w:r w:rsidRPr="006E50FF">
              <w:rPr>
                <w:spacing w:val="-4"/>
                <w:sz w:val="16"/>
                <w:szCs w:val="16"/>
              </w:rPr>
              <w:t xml:space="preserve"> </w:t>
            </w:r>
            <w:r w:rsidRPr="006E50FF">
              <w:rPr>
                <w:sz w:val="16"/>
                <w:szCs w:val="16"/>
              </w:rPr>
              <w:t>Sprinkler</w:t>
            </w:r>
            <w:r w:rsidRPr="006E50FF">
              <w:rPr>
                <w:spacing w:val="-6"/>
                <w:sz w:val="16"/>
                <w:szCs w:val="16"/>
              </w:rPr>
              <w:t xml:space="preserve"> </w:t>
            </w:r>
            <w:r w:rsidRPr="006E50FF">
              <w:rPr>
                <w:spacing w:val="-2"/>
                <w:sz w:val="16"/>
                <w:szCs w:val="16"/>
              </w:rPr>
              <w:t>Systems</w:t>
            </w:r>
          </w:p>
        </w:tc>
        <w:tc>
          <w:tcPr>
            <w:tcW w:w="1080" w:type="dxa"/>
            <w:vMerge/>
            <w:tcBorders>
              <w:top w:val="nil"/>
              <w:left w:val="double" w:sz="6" w:space="0" w:color="000000"/>
            </w:tcBorders>
          </w:tcPr>
          <w:p w14:paraId="7B37B800" w14:textId="77777777" w:rsidR="006E50FF" w:rsidRPr="006E50FF" w:rsidRDefault="006E50FF" w:rsidP="006E50FF">
            <w:pPr>
              <w:spacing w:line="278" w:lineRule="auto"/>
              <w:ind w:left="91" w:right="90"/>
              <w:rPr>
                <w:rFonts w:eastAsia="Aptos"/>
                <w:kern w:val="2"/>
                <w:sz w:val="16"/>
                <w:szCs w:val="16"/>
              </w:rPr>
            </w:pPr>
          </w:p>
        </w:tc>
      </w:tr>
      <w:tr w:rsidR="006E50FF" w:rsidRPr="006E50FF" w14:paraId="35CB9AC6" w14:textId="77777777" w:rsidTr="0088638B">
        <w:trPr>
          <w:trHeight w:val="184"/>
        </w:trPr>
        <w:tc>
          <w:tcPr>
            <w:tcW w:w="1260" w:type="dxa"/>
            <w:gridSpan w:val="2"/>
            <w:vMerge/>
            <w:tcBorders>
              <w:top w:val="nil"/>
              <w:right w:val="double" w:sz="6" w:space="0" w:color="000000"/>
            </w:tcBorders>
          </w:tcPr>
          <w:p w14:paraId="03E1319C"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shd w:val="clear" w:color="auto" w:fill="BEBEBE"/>
          </w:tcPr>
          <w:p w14:paraId="7138EA10" w14:textId="77777777" w:rsidR="006E50FF" w:rsidRPr="006E50FF" w:rsidRDefault="006E50FF" w:rsidP="006E50FF">
            <w:pPr>
              <w:widowControl w:val="0"/>
              <w:autoSpaceDE w:val="0"/>
              <w:autoSpaceDN w:val="0"/>
              <w:spacing w:line="164" w:lineRule="exact"/>
              <w:ind w:left="91"/>
              <w:rPr>
                <w:b/>
                <w:sz w:val="16"/>
                <w:szCs w:val="16"/>
              </w:rPr>
            </w:pPr>
            <w:r w:rsidRPr="006E50FF">
              <w:rPr>
                <w:b/>
                <w:sz w:val="16"/>
                <w:szCs w:val="16"/>
              </w:rPr>
              <w:t>Double</w:t>
            </w:r>
            <w:r w:rsidRPr="006E50FF">
              <w:rPr>
                <w:b/>
                <w:spacing w:val="-5"/>
                <w:sz w:val="16"/>
                <w:szCs w:val="16"/>
              </w:rPr>
              <w:t xml:space="preserve"> </w:t>
            </w:r>
            <w:r w:rsidRPr="006E50FF">
              <w:rPr>
                <w:b/>
                <w:sz w:val="16"/>
                <w:szCs w:val="16"/>
              </w:rPr>
              <w:t>Check</w:t>
            </w:r>
            <w:r w:rsidRPr="006E50FF">
              <w:rPr>
                <w:b/>
                <w:spacing w:val="-8"/>
                <w:sz w:val="16"/>
                <w:szCs w:val="16"/>
              </w:rPr>
              <w:t xml:space="preserve"> </w:t>
            </w:r>
            <w:r w:rsidRPr="006E50FF">
              <w:rPr>
                <w:b/>
                <w:sz w:val="16"/>
                <w:szCs w:val="16"/>
              </w:rPr>
              <w:t>Valve</w:t>
            </w:r>
            <w:r w:rsidRPr="006E50FF">
              <w:rPr>
                <w:b/>
                <w:spacing w:val="-1"/>
                <w:sz w:val="16"/>
                <w:szCs w:val="16"/>
              </w:rPr>
              <w:t xml:space="preserve"> </w:t>
            </w:r>
            <w:r w:rsidRPr="006E50FF">
              <w:rPr>
                <w:b/>
                <w:spacing w:val="-2"/>
                <w:sz w:val="16"/>
                <w:szCs w:val="16"/>
              </w:rPr>
              <w:t>Assembly</w:t>
            </w:r>
          </w:p>
        </w:tc>
        <w:tc>
          <w:tcPr>
            <w:tcW w:w="1080" w:type="dxa"/>
            <w:vMerge/>
            <w:tcBorders>
              <w:top w:val="nil"/>
              <w:left w:val="double" w:sz="6" w:space="0" w:color="000000"/>
            </w:tcBorders>
          </w:tcPr>
          <w:p w14:paraId="2F785117" w14:textId="77777777" w:rsidR="006E50FF" w:rsidRPr="006E50FF" w:rsidRDefault="006E50FF" w:rsidP="006E50FF">
            <w:pPr>
              <w:spacing w:line="278" w:lineRule="auto"/>
              <w:ind w:left="91" w:right="90"/>
              <w:rPr>
                <w:rFonts w:eastAsia="Aptos"/>
                <w:kern w:val="2"/>
                <w:sz w:val="16"/>
                <w:szCs w:val="16"/>
              </w:rPr>
            </w:pPr>
          </w:p>
        </w:tc>
      </w:tr>
      <w:tr w:rsidR="006E50FF" w:rsidRPr="006E50FF" w14:paraId="6F540EB4" w14:textId="77777777" w:rsidTr="0088638B">
        <w:trPr>
          <w:trHeight w:val="184"/>
        </w:trPr>
        <w:tc>
          <w:tcPr>
            <w:tcW w:w="1260" w:type="dxa"/>
            <w:gridSpan w:val="2"/>
            <w:vMerge/>
            <w:tcBorders>
              <w:top w:val="nil"/>
              <w:right w:val="double" w:sz="6" w:space="0" w:color="000000"/>
            </w:tcBorders>
          </w:tcPr>
          <w:p w14:paraId="5EFD7957"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bottom w:val="nil"/>
              <w:right w:val="double" w:sz="6" w:space="0" w:color="000000"/>
            </w:tcBorders>
          </w:tcPr>
          <w:p w14:paraId="3D24EF86"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w:t>
            </w:r>
            <w:r w:rsidRPr="006E50FF">
              <w:rPr>
                <w:spacing w:val="66"/>
                <w:sz w:val="16"/>
                <w:szCs w:val="16"/>
              </w:rPr>
              <w:t xml:space="preserve"> </w:t>
            </w:r>
            <w:r w:rsidRPr="006E50FF">
              <w:rPr>
                <w:sz w:val="16"/>
                <w:szCs w:val="16"/>
              </w:rPr>
              <w:t>Fire</w:t>
            </w:r>
            <w:r w:rsidRPr="006E50FF">
              <w:rPr>
                <w:spacing w:val="-7"/>
                <w:sz w:val="16"/>
                <w:szCs w:val="16"/>
              </w:rPr>
              <w:t xml:space="preserve"> </w:t>
            </w:r>
            <w:r w:rsidRPr="006E50FF">
              <w:rPr>
                <w:sz w:val="16"/>
                <w:szCs w:val="16"/>
              </w:rPr>
              <w:t>Protection/Sprinkler</w:t>
            </w:r>
            <w:r w:rsidRPr="006E50FF">
              <w:rPr>
                <w:spacing w:val="-5"/>
                <w:sz w:val="16"/>
                <w:szCs w:val="16"/>
              </w:rPr>
              <w:t xml:space="preserve"> </w:t>
            </w:r>
            <w:r w:rsidRPr="006E50FF">
              <w:rPr>
                <w:sz w:val="16"/>
                <w:szCs w:val="16"/>
              </w:rPr>
              <w:t>Systems</w:t>
            </w:r>
            <w:r w:rsidRPr="006E50FF">
              <w:rPr>
                <w:spacing w:val="-5"/>
                <w:sz w:val="16"/>
                <w:szCs w:val="16"/>
              </w:rPr>
              <w:t xml:space="preserve"> </w:t>
            </w:r>
            <w:r w:rsidRPr="006E50FF">
              <w:rPr>
                <w:sz w:val="16"/>
                <w:szCs w:val="16"/>
              </w:rPr>
              <w:t>(a</w:t>
            </w:r>
            <w:r w:rsidRPr="006E50FF">
              <w:rPr>
                <w:spacing w:val="-4"/>
                <w:sz w:val="16"/>
                <w:szCs w:val="16"/>
              </w:rPr>
              <w:t xml:space="preserve"> </w:t>
            </w:r>
            <w:r w:rsidRPr="006E50FF">
              <w:rPr>
                <w:sz w:val="16"/>
                <w:szCs w:val="16"/>
              </w:rPr>
              <w:t>detector</w:t>
            </w:r>
            <w:r w:rsidRPr="006E50FF">
              <w:rPr>
                <w:spacing w:val="-7"/>
                <w:sz w:val="16"/>
                <w:szCs w:val="16"/>
              </w:rPr>
              <w:t xml:space="preserve"> </w:t>
            </w:r>
            <w:r w:rsidRPr="006E50FF">
              <w:rPr>
                <w:sz w:val="16"/>
                <w:szCs w:val="16"/>
              </w:rPr>
              <w:t>type</w:t>
            </w:r>
            <w:r w:rsidRPr="006E50FF">
              <w:rPr>
                <w:spacing w:val="-7"/>
                <w:sz w:val="16"/>
                <w:szCs w:val="16"/>
              </w:rPr>
              <w:t xml:space="preserve"> </w:t>
            </w:r>
            <w:r w:rsidRPr="006E50FF">
              <w:rPr>
                <w:sz w:val="16"/>
                <w:szCs w:val="16"/>
              </w:rPr>
              <w:t>double</w:t>
            </w:r>
            <w:r w:rsidRPr="006E50FF">
              <w:rPr>
                <w:spacing w:val="-6"/>
                <w:sz w:val="16"/>
                <w:szCs w:val="16"/>
              </w:rPr>
              <w:t xml:space="preserve"> </w:t>
            </w:r>
            <w:r w:rsidRPr="006E50FF">
              <w:rPr>
                <w:sz w:val="16"/>
                <w:szCs w:val="16"/>
              </w:rPr>
              <w:t>check</w:t>
            </w:r>
            <w:r w:rsidRPr="006E50FF">
              <w:rPr>
                <w:spacing w:val="-4"/>
                <w:sz w:val="16"/>
                <w:szCs w:val="16"/>
              </w:rPr>
              <w:t xml:space="preserve"> </w:t>
            </w:r>
            <w:r w:rsidRPr="006E50FF">
              <w:rPr>
                <w:sz w:val="16"/>
                <w:szCs w:val="16"/>
              </w:rPr>
              <w:t>valve</w:t>
            </w:r>
            <w:r w:rsidRPr="006E50FF">
              <w:rPr>
                <w:spacing w:val="-6"/>
                <w:sz w:val="16"/>
                <w:szCs w:val="16"/>
              </w:rPr>
              <w:t xml:space="preserve"> </w:t>
            </w:r>
            <w:r w:rsidRPr="006E50FF">
              <w:rPr>
                <w:sz w:val="16"/>
                <w:szCs w:val="16"/>
              </w:rPr>
              <w:t>assembly</w:t>
            </w:r>
            <w:r w:rsidRPr="006E50FF">
              <w:rPr>
                <w:spacing w:val="-7"/>
                <w:sz w:val="16"/>
                <w:szCs w:val="16"/>
              </w:rPr>
              <w:t xml:space="preserve"> </w:t>
            </w:r>
            <w:r w:rsidRPr="006E50FF">
              <w:rPr>
                <w:sz w:val="16"/>
                <w:szCs w:val="16"/>
              </w:rPr>
              <w:t>is</w:t>
            </w:r>
            <w:r w:rsidRPr="006E50FF">
              <w:rPr>
                <w:spacing w:val="-5"/>
                <w:sz w:val="16"/>
                <w:szCs w:val="16"/>
              </w:rPr>
              <w:t xml:space="preserve"> </w:t>
            </w:r>
            <w:r w:rsidRPr="006E50FF">
              <w:rPr>
                <w:sz w:val="16"/>
                <w:szCs w:val="16"/>
              </w:rPr>
              <w:t>required</w:t>
            </w:r>
            <w:r w:rsidRPr="006E50FF">
              <w:rPr>
                <w:spacing w:val="3"/>
                <w:sz w:val="16"/>
                <w:szCs w:val="16"/>
              </w:rPr>
              <w:t xml:space="preserve"> </w:t>
            </w:r>
            <w:r w:rsidRPr="006E50FF">
              <w:rPr>
                <w:sz w:val="16"/>
                <w:szCs w:val="16"/>
              </w:rPr>
              <w:t>on</w:t>
            </w:r>
            <w:r w:rsidRPr="006E50FF">
              <w:rPr>
                <w:spacing w:val="-5"/>
                <w:sz w:val="16"/>
                <w:szCs w:val="16"/>
              </w:rPr>
              <w:t xml:space="preserve"> </w:t>
            </w:r>
            <w:r w:rsidRPr="006E50FF">
              <w:rPr>
                <w:sz w:val="16"/>
                <w:szCs w:val="16"/>
              </w:rPr>
              <w:t>unmetered</w:t>
            </w:r>
            <w:r w:rsidRPr="006E50FF">
              <w:rPr>
                <w:spacing w:val="-4"/>
                <w:sz w:val="16"/>
                <w:szCs w:val="16"/>
              </w:rPr>
              <w:t xml:space="preserve"> </w:t>
            </w:r>
            <w:r w:rsidRPr="006E50FF">
              <w:rPr>
                <w:sz w:val="16"/>
                <w:szCs w:val="16"/>
              </w:rPr>
              <w:t>fire</w:t>
            </w:r>
            <w:r w:rsidRPr="006E50FF">
              <w:rPr>
                <w:spacing w:val="-6"/>
                <w:sz w:val="16"/>
                <w:szCs w:val="16"/>
              </w:rPr>
              <w:t xml:space="preserve"> </w:t>
            </w:r>
            <w:r w:rsidRPr="006E50FF">
              <w:rPr>
                <w:spacing w:val="-2"/>
                <w:sz w:val="16"/>
                <w:szCs w:val="16"/>
              </w:rPr>
              <w:t>lines)</w:t>
            </w:r>
          </w:p>
        </w:tc>
        <w:tc>
          <w:tcPr>
            <w:tcW w:w="1080" w:type="dxa"/>
            <w:vMerge/>
            <w:tcBorders>
              <w:top w:val="nil"/>
              <w:left w:val="double" w:sz="6" w:space="0" w:color="000000"/>
            </w:tcBorders>
          </w:tcPr>
          <w:p w14:paraId="4D05B741" w14:textId="77777777" w:rsidR="006E50FF" w:rsidRPr="006E50FF" w:rsidRDefault="006E50FF" w:rsidP="006E50FF">
            <w:pPr>
              <w:spacing w:line="278" w:lineRule="auto"/>
              <w:ind w:left="91" w:right="90"/>
              <w:rPr>
                <w:rFonts w:eastAsia="Aptos"/>
                <w:kern w:val="2"/>
                <w:sz w:val="16"/>
                <w:szCs w:val="16"/>
              </w:rPr>
            </w:pPr>
          </w:p>
        </w:tc>
      </w:tr>
      <w:tr w:rsidR="006E50FF" w:rsidRPr="006E50FF" w14:paraId="069D2914" w14:textId="77777777" w:rsidTr="0088638B">
        <w:trPr>
          <w:trHeight w:val="553"/>
        </w:trPr>
        <w:tc>
          <w:tcPr>
            <w:tcW w:w="1260" w:type="dxa"/>
            <w:gridSpan w:val="2"/>
            <w:vMerge/>
            <w:tcBorders>
              <w:top w:val="nil"/>
              <w:right w:val="double" w:sz="6" w:space="0" w:color="000000"/>
            </w:tcBorders>
          </w:tcPr>
          <w:p w14:paraId="06C50448" w14:textId="77777777" w:rsidR="006E50FF" w:rsidRPr="006E50FF" w:rsidRDefault="006E50FF" w:rsidP="006E50FF">
            <w:pPr>
              <w:spacing w:line="278" w:lineRule="auto"/>
              <w:rPr>
                <w:rFonts w:eastAsia="Aptos"/>
                <w:kern w:val="2"/>
                <w:sz w:val="16"/>
                <w:szCs w:val="16"/>
              </w:rPr>
            </w:pPr>
          </w:p>
        </w:tc>
        <w:tc>
          <w:tcPr>
            <w:tcW w:w="8190" w:type="dxa"/>
            <w:gridSpan w:val="2"/>
            <w:tcBorders>
              <w:top w:val="nil"/>
              <w:left w:val="double" w:sz="6" w:space="0" w:color="000000"/>
              <w:right w:val="double" w:sz="6" w:space="0" w:color="000000"/>
            </w:tcBorders>
          </w:tcPr>
          <w:p w14:paraId="4F41FF6B"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2.</w:t>
            </w:r>
            <w:r w:rsidRPr="006E50FF">
              <w:rPr>
                <w:spacing w:val="66"/>
                <w:sz w:val="16"/>
                <w:szCs w:val="16"/>
              </w:rPr>
              <w:t xml:space="preserve"> </w:t>
            </w:r>
            <w:r w:rsidRPr="006E50FF">
              <w:rPr>
                <w:sz w:val="16"/>
                <w:szCs w:val="16"/>
              </w:rPr>
              <w:t>Two</w:t>
            </w:r>
            <w:r w:rsidRPr="006E50FF">
              <w:rPr>
                <w:spacing w:val="-4"/>
                <w:sz w:val="16"/>
                <w:szCs w:val="16"/>
              </w:rPr>
              <w:t xml:space="preserve"> </w:t>
            </w:r>
            <w:r w:rsidRPr="006E50FF">
              <w:rPr>
                <w:sz w:val="16"/>
                <w:szCs w:val="16"/>
              </w:rPr>
              <w:t>residential</w:t>
            </w:r>
            <w:r w:rsidRPr="006E50FF">
              <w:rPr>
                <w:spacing w:val="-5"/>
                <w:sz w:val="16"/>
                <w:szCs w:val="16"/>
              </w:rPr>
              <w:t xml:space="preserve"> </w:t>
            </w:r>
            <w:r w:rsidRPr="006E50FF">
              <w:rPr>
                <w:sz w:val="16"/>
                <w:szCs w:val="16"/>
              </w:rPr>
              <w:t>dwelling</w:t>
            </w:r>
            <w:r w:rsidRPr="006E50FF">
              <w:rPr>
                <w:spacing w:val="-4"/>
                <w:sz w:val="16"/>
                <w:szCs w:val="16"/>
              </w:rPr>
              <w:t xml:space="preserve"> </w:t>
            </w:r>
            <w:r w:rsidRPr="006E50FF">
              <w:rPr>
                <w:sz w:val="16"/>
                <w:szCs w:val="16"/>
              </w:rPr>
              <w:t>units</w:t>
            </w:r>
            <w:r w:rsidRPr="006E50FF">
              <w:rPr>
                <w:spacing w:val="-4"/>
                <w:sz w:val="16"/>
                <w:szCs w:val="16"/>
              </w:rPr>
              <w:t xml:space="preserve"> </w:t>
            </w:r>
            <w:r w:rsidRPr="006E50FF">
              <w:rPr>
                <w:sz w:val="16"/>
                <w:szCs w:val="16"/>
              </w:rPr>
              <w:t>served</w:t>
            </w:r>
            <w:r w:rsidRPr="006E50FF">
              <w:rPr>
                <w:spacing w:val="-3"/>
                <w:sz w:val="16"/>
                <w:szCs w:val="16"/>
              </w:rPr>
              <w:t xml:space="preserve"> </w:t>
            </w:r>
            <w:r w:rsidRPr="006E50FF">
              <w:rPr>
                <w:sz w:val="16"/>
                <w:szCs w:val="16"/>
              </w:rPr>
              <w:t>by</w:t>
            </w:r>
            <w:r w:rsidRPr="006E50FF">
              <w:rPr>
                <w:spacing w:val="-6"/>
                <w:sz w:val="16"/>
                <w:szCs w:val="16"/>
              </w:rPr>
              <w:t xml:space="preserve"> </w:t>
            </w:r>
            <w:r w:rsidRPr="006E50FF">
              <w:rPr>
                <w:sz w:val="16"/>
                <w:szCs w:val="16"/>
              </w:rPr>
              <w:t>a</w:t>
            </w:r>
            <w:r w:rsidRPr="006E50FF">
              <w:rPr>
                <w:spacing w:val="-3"/>
                <w:sz w:val="16"/>
                <w:szCs w:val="16"/>
              </w:rPr>
              <w:t xml:space="preserve"> </w:t>
            </w:r>
            <w:r w:rsidRPr="006E50FF">
              <w:rPr>
                <w:sz w:val="16"/>
                <w:szCs w:val="16"/>
              </w:rPr>
              <w:t>master</w:t>
            </w:r>
            <w:r w:rsidRPr="006E50FF">
              <w:rPr>
                <w:spacing w:val="-5"/>
                <w:sz w:val="16"/>
                <w:szCs w:val="16"/>
              </w:rPr>
              <w:t xml:space="preserve"> </w:t>
            </w:r>
            <w:r w:rsidRPr="006E50FF">
              <w:rPr>
                <w:sz w:val="16"/>
                <w:szCs w:val="16"/>
              </w:rPr>
              <w:t>meter,</w:t>
            </w:r>
            <w:r w:rsidRPr="006E50FF">
              <w:rPr>
                <w:spacing w:val="-3"/>
                <w:sz w:val="16"/>
                <w:szCs w:val="16"/>
              </w:rPr>
              <w:t xml:space="preserve"> </w:t>
            </w:r>
            <w:r w:rsidRPr="006E50FF">
              <w:rPr>
                <w:sz w:val="16"/>
                <w:szCs w:val="16"/>
              </w:rPr>
              <w:t>unless</w:t>
            </w:r>
            <w:r w:rsidRPr="006E50FF">
              <w:rPr>
                <w:spacing w:val="-3"/>
                <w:sz w:val="16"/>
                <w:szCs w:val="16"/>
              </w:rPr>
              <w:t xml:space="preserve"> </w:t>
            </w:r>
            <w:r w:rsidRPr="006E50FF">
              <w:rPr>
                <w:sz w:val="16"/>
                <w:szCs w:val="16"/>
              </w:rPr>
              <w:t>both</w:t>
            </w:r>
            <w:r w:rsidRPr="006E50FF">
              <w:rPr>
                <w:spacing w:val="-5"/>
                <w:sz w:val="16"/>
                <w:szCs w:val="16"/>
              </w:rPr>
              <w:t xml:space="preserve"> </w:t>
            </w:r>
            <w:r w:rsidRPr="006E50FF">
              <w:rPr>
                <w:sz w:val="16"/>
                <w:szCs w:val="16"/>
              </w:rPr>
              <w:t>units</w:t>
            </w:r>
            <w:r w:rsidRPr="006E50FF">
              <w:rPr>
                <w:spacing w:val="-5"/>
                <w:sz w:val="16"/>
                <w:szCs w:val="16"/>
              </w:rPr>
              <w:t xml:space="preserve"> </w:t>
            </w:r>
            <w:r w:rsidRPr="006E50FF">
              <w:rPr>
                <w:sz w:val="16"/>
                <w:szCs w:val="16"/>
              </w:rPr>
              <w:t>are</w:t>
            </w:r>
            <w:r w:rsidRPr="006E50FF">
              <w:rPr>
                <w:spacing w:val="-6"/>
                <w:sz w:val="16"/>
                <w:szCs w:val="16"/>
              </w:rPr>
              <w:t xml:space="preserve"> </w:t>
            </w:r>
            <w:r w:rsidRPr="006E50FF">
              <w:rPr>
                <w:sz w:val="16"/>
                <w:szCs w:val="16"/>
              </w:rPr>
              <w:t>located</w:t>
            </w:r>
            <w:r w:rsidRPr="006E50FF">
              <w:rPr>
                <w:spacing w:val="-3"/>
                <w:sz w:val="16"/>
                <w:szCs w:val="16"/>
              </w:rPr>
              <w:t xml:space="preserve"> </w:t>
            </w:r>
            <w:r w:rsidRPr="006E50FF">
              <w:rPr>
                <w:sz w:val="16"/>
                <w:szCs w:val="16"/>
              </w:rPr>
              <w:t>on</w:t>
            </w:r>
            <w:r w:rsidRPr="006E50FF">
              <w:rPr>
                <w:spacing w:val="-4"/>
                <w:sz w:val="16"/>
                <w:szCs w:val="16"/>
              </w:rPr>
              <w:t xml:space="preserve"> </w:t>
            </w:r>
            <w:r w:rsidRPr="006E50FF">
              <w:rPr>
                <w:sz w:val="16"/>
                <w:szCs w:val="16"/>
              </w:rPr>
              <w:t>a</w:t>
            </w:r>
            <w:r w:rsidRPr="006E50FF">
              <w:rPr>
                <w:spacing w:val="-6"/>
                <w:sz w:val="16"/>
                <w:szCs w:val="16"/>
              </w:rPr>
              <w:t xml:space="preserve"> </w:t>
            </w:r>
            <w:r w:rsidRPr="006E50FF">
              <w:rPr>
                <w:sz w:val="16"/>
                <w:szCs w:val="16"/>
              </w:rPr>
              <w:t>parcel</w:t>
            </w:r>
            <w:r w:rsidRPr="006E50FF">
              <w:rPr>
                <w:spacing w:val="-4"/>
                <w:sz w:val="16"/>
                <w:szCs w:val="16"/>
              </w:rPr>
              <w:t xml:space="preserve"> </w:t>
            </w:r>
            <w:r w:rsidRPr="006E50FF">
              <w:rPr>
                <w:sz w:val="16"/>
                <w:szCs w:val="16"/>
              </w:rPr>
              <w:t>or</w:t>
            </w:r>
            <w:r w:rsidRPr="006E50FF">
              <w:rPr>
                <w:spacing w:val="-5"/>
                <w:sz w:val="16"/>
                <w:szCs w:val="16"/>
              </w:rPr>
              <w:t xml:space="preserve"> </w:t>
            </w:r>
            <w:r w:rsidRPr="006E50FF">
              <w:rPr>
                <w:sz w:val="16"/>
                <w:szCs w:val="16"/>
              </w:rPr>
              <w:t>contiguous</w:t>
            </w:r>
            <w:r w:rsidRPr="006E50FF">
              <w:rPr>
                <w:spacing w:val="-5"/>
                <w:sz w:val="16"/>
                <w:szCs w:val="16"/>
              </w:rPr>
              <w:t xml:space="preserve"> </w:t>
            </w:r>
            <w:r w:rsidRPr="006E50FF">
              <w:rPr>
                <w:spacing w:val="-2"/>
                <w:sz w:val="16"/>
                <w:szCs w:val="16"/>
              </w:rPr>
              <w:t>parcels</w:t>
            </w:r>
          </w:p>
          <w:p w14:paraId="31F08DBB" w14:textId="77777777" w:rsidR="006E50FF" w:rsidRPr="006E50FF" w:rsidRDefault="006E50FF" w:rsidP="006E50FF">
            <w:pPr>
              <w:widowControl w:val="0"/>
              <w:autoSpaceDE w:val="0"/>
              <w:autoSpaceDN w:val="0"/>
              <w:spacing w:line="180" w:lineRule="atLeast"/>
              <w:ind w:left="91" w:right="174"/>
              <w:rPr>
                <w:sz w:val="16"/>
                <w:szCs w:val="16"/>
              </w:rPr>
            </w:pPr>
            <w:r w:rsidRPr="006E50FF">
              <w:rPr>
                <w:sz w:val="16"/>
                <w:szCs w:val="16"/>
              </w:rPr>
              <w:t>of</w:t>
            </w:r>
            <w:r w:rsidRPr="006E50FF">
              <w:rPr>
                <w:spacing w:val="-3"/>
                <w:sz w:val="16"/>
                <w:szCs w:val="16"/>
              </w:rPr>
              <w:t xml:space="preserve"> </w:t>
            </w:r>
            <w:r w:rsidRPr="006E50FF">
              <w:rPr>
                <w:sz w:val="16"/>
                <w:szCs w:val="16"/>
              </w:rPr>
              <w:t>land</w:t>
            </w:r>
            <w:r w:rsidRPr="006E50FF">
              <w:rPr>
                <w:spacing w:val="-3"/>
                <w:sz w:val="16"/>
                <w:szCs w:val="16"/>
              </w:rPr>
              <w:t xml:space="preserve"> </w:t>
            </w:r>
            <w:r w:rsidRPr="006E50FF">
              <w:rPr>
                <w:sz w:val="16"/>
                <w:szCs w:val="16"/>
              </w:rPr>
              <w:t>having</w:t>
            </w:r>
            <w:r w:rsidRPr="006E50FF">
              <w:rPr>
                <w:spacing w:val="-5"/>
                <w:sz w:val="16"/>
                <w:szCs w:val="16"/>
              </w:rPr>
              <w:t xml:space="preserve"> </w:t>
            </w:r>
            <w:r w:rsidRPr="006E50FF">
              <w:rPr>
                <w:sz w:val="16"/>
                <w:szCs w:val="16"/>
              </w:rPr>
              <w:t>the</w:t>
            </w:r>
            <w:r w:rsidRPr="006E50FF">
              <w:rPr>
                <w:spacing w:val="-4"/>
                <w:sz w:val="16"/>
                <w:szCs w:val="16"/>
              </w:rPr>
              <w:t xml:space="preserve"> </w:t>
            </w:r>
            <w:r w:rsidRPr="006E50FF">
              <w:rPr>
                <w:sz w:val="16"/>
                <w:szCs w:val="16"/>
              </w:rPr>
              <w:t>same</w:t>
            </w:r>
            <w:r w:rsidRPr="006E50FF">
              <w:rPr>
                <w:spacing w:val="-4"/>
                <w:sz w:val="16"/>
                <w:szCs w:val="16"/>
              </w:rPr>
              <w:t xml:space="preserve"> </w:t>
            </w:r>
            <w:r w:rsidRPr="006E50FF">
              <w:rPr>
                <w:sz w:val="16"/>
                <w:szCs w:val="16"/>
              </w:rPr>
              <w:t>ownership</w:t>
            </w:r>
            <w:r w:rsidRPr="006E50FF">
              <w:rPr>
                <w:spacing w:val="-1"/>
                <w:sz w:val="16"/>
                <w:szCs w:val="16"/>
              </w:rPr>
              <w:t xml:space="preserve"> </w:t>
            </w:r>
            <w:r w:rsidRPr="006E50FF">
              <w:rPr>
                <w:sz w:val="16"/>
                <w:szCs w:val="16"/>
              </w:rPr>
              <w:t>and</w:t>
            </w:r>
            <w:r w:rsidRPr="006E50FF">
              <w:rPr>
                <w:spacing w:val="-3"/>
                <w:sz w:val="16"/>
                <w:szCs w:val="16"/>
              </w:rPr>
              <w:t xml:space="preserve"> </w:t>
            </w:r>
            <w:r w:rsidRPr="006E50FF">
              <w:rPr>
                <w:sz w:val="16"/>
                <w:szCs w:val="16"/>
              </w:rPr>
              <w:t>neither</w:t>
            </w:r>
            <w:r w:rsidRPr="006E50FF">
              <w:rPr>
                <w:spacing w:val="-3"/>
                <w:sz w:val="16"/>
                <w:szCs w:val="16"/>
              </w:rPr>
              <w:t xml:space="preserve"> </w:t>
            </w:r>
            <w:r w:rsidRPr="006E50FF">
              <w:rPr>
                <w:sz w:val="16"/>
                <w:szCs w:val="16"/>
              </w:rPr>
              <w:t>unit</w:t>
            </w:r>
            <w:r w:rsidRPr="006E50FF">
              <w:rPr>
                <w:spacing w:val="-1"/>
                <w:sz w:val="16"/>
                <w:szCs w:val="16"/>
              </w:rPr>
              <w:t xml:space="preserve"> </w:t>
            </w:r>
            <w:r w:rsidRPr="006E50FF">
              <w:rPr>
                <w:sz w:val="16"/>
                <w:szCs w:val="16"/>
              </w:rPr>
              <w:t>is</w:t>
            </w:r>
            <w:r w:rsidRPr="006E50FF">
              <w:rPr>
                <w:spacing w:val="-4"/>
                <w:sz w:val="16"/>
                <w:szCs w:val="16"/>
              </w:rPr>
              <w:t xml:space="preserve"> </w:t>
            </w:r>
            <w:r w:rsidRPr="006E50FF">
              <w:rPr>
                <w:sz w:val="16"/>
                <w:szCs w:val="16"/>
              </w:rPr>
              <w:t>used</w:t>
            </w:r>
            <w:r w:rsidRPr="006E50FF">
              <w:rPr>
                <w:spacing w:val="-3"/>
                <w:sz w:val="16"/>
                <w:szCs w:val="16"/>
              </w:rPr>
              <w:t xml:space="preserve"> </w:t>
            </w:r>
            <w:r w:rsidRPr="006E50FF">
              <w:rPr>
                <w:sz w:val="16"/>
                <w:szCs w:val="16"/>
              </w:rPr>
              <w:t>for</w:t>
            </w:r>
            <w:r w:rsidRPr="006E50FF">
              <w:rPr>
                <w:spacing w:val="-3"/>
                <w:sz w:val="16"/>
                <w:szCs w:val="16"/>
              </w:rPr>
              <w:t xml:space="preserve"> </w:t>
            </w:r>
            <w:r w:rsidRPr="006E50FF">
              <w:rPr>
                <w:sz w:val="16"/>
                <w:szCs w:val="16"/>
              </w:rPr>
              <w:t>commercial</w:t>
            </w:r>
            <w:r w:rsidRPr="006E50FF">
              <w:rPr>
                <w:spacing w:val="-6"/>
                <w:sz w:val="16"/>
                <w:szCs w:val="16"/>
              </w:rPr>
              <w:t xml:space="preserve"> </w:t>
            </w:r>
            <w:r w:rsidRPr="006E50FF">
              <w:rPr>
                <w:sz w:val="16"/>
                <w:szCs w:val="16"/>
              </w:rPr>
              <w:t>purposes.</w:t>
            </w:r>
            <w:r w:rsidRPr="006E50FF">
              <w:rPr>
                <w:spacing w:val="-1"/>
                <w:sz w:val="16"/>
                <w:szCs w:val="16"/>
              </w:rPr>
              <w:t xml:space="preserve"> </w:t>
            </w:r>
            <w:r w:rsidRPr="006E50FF">
              <w:rPr>
                <w:sz w:val="16"/>
                <w:szCs w:val="16"/>
              </w:rPr>
              <w:t>As</w:t>
            </w:r>
            <w:r w:rsidRPr="006E50FF">
              <w:rPr>
                <w:spacing w:val="-2"/>
                <w:sz w:val="16"/>
                <w:szCs w:val="16"/>
              </w:rPr>
              <w:t xml:space="preserve"> </w:t>
            </w:r>
            <w:r w:rsidRPr="006E50FF">
              <w:rPr>
                <w:sz w:val="16"/>
                <w:szCs w:val="16"/>
              </w:rPr>
              <w:t>used</w:t>
            </w:r>
            <w:r w:rsidRPr="006E50FF">
              <w:rPr>
                <w:spacing w:val="-3"/>
                <w:sz w:val="16"/>
                <w:szCs w:val="16"/>
              </w:rPr>
              <w:t xml:space="preserve"> </w:t>
            </w:r>
            <w:r w:rsidRPr="006E50FF">
              <w:rPr>
                <w:sz w:val="16"/>
                <w:szCs w:val="16"/>
              </w:rPr>
              <w:t>herein,</w:t>
            </w:r>
            <w:r w:rsidRPr="006E50FF">
              <w:rPr>
                <w:spacing w:val="-4"/>
                <w:sz w:val="16"/>
                <w:szCs w:val="16"/>
              </w:rPr>
              <w:t xml:space="preserve"> </w:t>
            </w:r>
            <w:r w:rsidRPr="006E50FF">
              <w:rPr>
                <w:sz w:val="16"/>
                <w:szCs w:val="16"/>
              </w:rPr>
              <w:t>the</w:t>
            </w:r>
            <w:r w:rsidRPr="006E50FF">
              <w:rPr>
                <w:spacing w:val="-4"/>
                <w:sz w:val="16"/>
                <w:szCs w:val="16"/>
              </w:rPr>
              <w:t xml:space="preserve"> </w:t>
            </w:r>
            <w:r w:rsidRPr="006E50FF">
              <w:rPr>
                <w:sz w:val="16"/>
                <w:szCs w:val="16"/>
              </w:rPr>
              <w:t>term</w:t>
            </w:r>
            <w:r w:rsidRPr="006E50FF">
              <w:rPr>
                <w:spacing w:val="40"/>
                <w:sz w:val="16"/>
                <w:szCs w:val="16"/>
              </w:rPr>
              <w:t xml:space="preserve"> </w:t>
            </w:r>
            <w:r w:rsidRPr="006E50FF">
              <w:rPr>
                <w:sz w:val="16"/>
                <w:szCs w:val="16"/>
              </w:rPr>
              <w:t>“commercial purposes” means any use other than residential.</w:t>
            </w:r>
          </w:p>
        </w:tc>
        <w:tc>
          <w:tcPr>
            <w:tcW w:w="1080" w:type="dxa"/>
            <w:vMerge/>
            <w:tcBorders>
              <w:top w:val="nil"/>
              <w:left w:val="double" w:sz="6" w:space="0" w:color="000000"/>
            </w:tcBorders>
          </w:tcPr>
          <w:p w14:paraId="7479FAF3" w14:textId="77777777" w:rsidR="006E50FF" w:rsidRPr="006E50FF" w:rsidRDefault="006E50FF" w:rsidP="006E50FF">
            <w:pPr>
              <w:spacing w:line="278" w:lineRule="auto"/>
              <w:ind w:left="91" w:right="90"/>
              <w:rPr>
                <w:rFonts w:eastAsia="Aptos"/>
                <w:kern w:val="2"/>
                <w:sz w:val="16"/>
                <w:szCs w:val="16"/>
              </w:rPr>
            </w:pPr>
          </w:p>
        </w:tc>
      </w:tr>
      <w:tr w:rsidR="006E50FF" w:rsidRPr="006E50FF" w14:paraId="6A2E478B" w14:textId="77777777" w:rsidTr="0088638B">
        <w:trPr>
          <w:trHeight w:val="181"/>
        </w:trPr>
        <w:tc>
          <w:tcPr>
            <w:tcW w:w="1260" w:type="dxa"/>
            <w:gridSpan w:val="2"/>
            <w:vMerge/>
            <w:tcBorders>
              <w:top w:val="nil"/>
              <w:right w:val="double" w:sz="6" w:space="0" w:color="000000"/>
            </w:tcBorders>
          </w:tcPr>
          <w:p w14:paraId="563D8DDA"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277B6C5"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3.</w:t>
            </w:r>
            <w:r w:rsidRPr="006E50FF">
              <w:rPr>
                <w:spacing w:val="71"/>
                <w:sz w:val="16"/>
                <w:szCs w:val="16"/>
              </w:rPr>
              <w:t xml:space="preserve"> </w:t>
            </w:r>
            <w:r w:rsidRPr="006E50FF">
              <w:rPr>
                <w:sz w:val="16"/>
                <w:szCs w:val="16"/>
              </w:rPr>
              <w:t>Three</w:t>
            </w:r>
            <w:r w:rsidRPr="006E50FF">
              <w:rPr>
                <w:spacing w:val="-5"/>
                <w:sz w:val="16"/>
                <w:szCs w:val="16"/>
              </w:rPr>
              <w:t xml:space="preserve"> </w:t>
            </w:r>
            <w:r w:rsidRPr="006E50FF">
              <w:rPr>
                <w:sz w:val="16"/>
                <w:szCs w:val="16"/>
              </w:rPr>
              <w:t>or</w:t>
            </w:r>
            <w:r w:rsidRPr="006E50FF">
              <w:rPr>
                <w:spacing w:val="-4"/>
                <w:sz w:val="16"/>
                <w:szCs w:val="16"/>
              </w:rPr>
              <w:t xml:space="preserve"> </w:t>
            </w:r>
            <w:r w:rsidRPr="006E50FF">
              <w:rPr>
                <w:sz w:val="16"/>
                <w:szCs w:val="16"/>
              </w:rPr>
              <w:t>more</w:t>
            </w:r>
            <w:r w:rsidRPr="006E50FF">
              <w:rPr>
                <w:spacing w:val="-5"/>
                <w:sz w:val="16"/>
                <w:szCs w:val="16"/>
              </w:rPr>
              <w:t xml:space="preserve"> </w:t>
            </w:r>
            <w:r w:rsidRPr="006E50FF">
              <w:rPr>
                <w:sz w:val="16"/>
                <w:szCs w:val="16"/>
              </w:rPr>
              <w:t>residential</w:t>
            </w:r>
            <w:r w:rsidRPr="006E50FF">
              <w:rPr>
                <w:spacing w:val="-3"/>
                <w:sz w:val="16"/>
                <w:szCs w:val="16"/>
              </w:rPr>
              <w:t xml:space="preserve"> </w:t>
            </w:r>
            <w:r w:rsidRPr="006E50FF">
              <w:rPr>
                <w:sz w:val="16"/>
                <w:szCs w:val="16"/>
              </w:rPr>
              <w:t>dwelling</w:t>
            </w:r>
            <w:r w:rsidRPr="006E50FF">
              <w:rPr>
                <w:spacing w:val="-4"/>
                <w:sz w:val="16"/>
                <w:szCs w:val="16"/>
              </w:rPr>
              <w:t xml:space="preserve"> </w:t>
            </w:r>
            <w:r w:rsidRPr="006E50FF">
              <w:rPr>
                <w:sz w:val="16"/>
                <w:szCs w:val="16"/>
              </w:rPr>
              <w:t>units</w:t>
            </w:r>
            <w:r w:rsidRPr="006E50FF">
              <w:rPr>
                <w:spacing w:val="-5"/>
                <w:sz w:val="16"/>
                <w:szCs w:val="16"/>
              </w:rPr>
              <w:t xml:space="preserve"> </w:t>
            </w:r>
            <w:r w:rsidRPr="006E50FF">
              <w:rPr>
                <w:sz w:val="16"/>
                <w:szCs w:val="16"/>
              </w:rPr>
              <w:t>served</w:t>
            </w:r>
            <w:r w:rsidRPr="006E50FF">
              <w:rPr>
                <w:spacing w:val="-2"/>
                <w:sz w:val="16"/>
                <w:szCs w:val="16"/>
              </w:rPr>
              <w:t xml:space="preserve"> </w:t>
            </w:r>
            <w:r w:rsidRPr="006E50FF">
              <w:rPr>
                <w:sz w:val="16"/>
                <w:szCs w:val="16"/>
              </w:rPr>
              <w:t>by</w:t>
            </w:r>
            <w:r w:rsidRPr="006E50FF">
              <w:rPr>
                <w:spacing w:val="-6"/>
                <w:sz w:val="16"/>
                <w:szCs w:val="16"/>
              </w:rPr>
              <w:t xml:space="preserve"> </w:t>
            </w:r>
            <w:r w:rsidRPr="006E50FF">
              <w:rPr>
                <w:sz w:val="16"/>
                <w:szCs w:val="16"/>
              </w:rPr>
              <w:t>a</w:t>
            </w:r>
            <w:r w:rsidRPr="006E50FF">
              <w:rPr>
                <w:spacing w:val="-2"/>
                <w:sz w:val="16"/>
                <w:szCs w:val="16"/>
              </w:rPr>
              <w:t xml:space="preserve"> </w:t>
            </w:r>
            <w:r w:rsidRPr="006E50FF">
              <w:rPr>
                <w:sz w:val="16"/>
                <w:szCs w:val="16"/>
              </w:rPr>
              <w:t>master</w:t>
            </w:r>
            <w:r w:rsidRPr="006E50FF">
              <w:rPr>
                <w:spacing w:val="-3"/>
                <w:sz w:val="16"/>
                <w:szCs w:val="16"/>
              </w:rPr>
              <w:t xml:space="preserve"> </w:t>
            </w:r>
            <w:r w:rsidRPr="006E50FF">
              <w:rPr>
                <w:spacing w:val="-4"/>
                <w:sz w:val="16"/>
                <w:szCs w:val="16"/>
              </w:rPr>
              <w:t>meter</w:t>
            </w:r>
          </w:p>
        </w:tc>
        <w:tc>
          <w:tcPr>
            <w:tcW w:w="1080" w:type="dxa"/>
            <w:vMerge/>
            <w:tcBorders>
              <w:top w:val="nil"/>
              <w:left w:val="double" w:sz="6" w:space="0" w:color="000000"/>
            </w:tcBorders>
          </w:tcPr>
          <w:p w14:paraId="15AB5D7D" w14:textId="77777777" w:rsidR="006E50FF" w:rsidRPr="006E50FF" w:rsidRDefault="006E50FF" w:rsidP="006E50FF">
            <w:pPr>
              <w:spacing w:line="278" w:lineRule="auto"/>
              <w:ind w:left="91" w:right="90"/>
              <w:rPr>
                <w:rFonts w:eastAsia="Aptos"/>
                <w:kern w:val="2"/>
                <w:sz w:val="16"/>
                <w:szCs w:val="16"/>
              </w:rPr>
            </w:pPr>
          </w:p>
        </w:tc>
      </w:tr>
      <w:tr w:rsidR="006E50FF" w:rsidRPr="006E50FF" w14:paraId="07BC1839" w14:textId="77777777" w:rsidTr="0088638B">
        <w:trPr>
          <w:trHeight w:val="185"/>
        </w:trPr>
        <w:tc>
          <w:tcPr>
            <w:tcW w:w="1260" w:type="dxa"/>
            <w:gridSpan w:val="2"/>
            <w:vMerge/>
            <w:tcBorders>
              <w:top w:val="nil"/>
              <w:bottom w:val="nil"/>
              <w:right w:val="double" w:sz="6" w:space="0" w:color="000000"/>
            </w:tcBorders>
          </w:tcPr>
          <w:p w14:paraId="0C7B961C"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7C3A7840" w14:textId="77777777" w:rsidR="006E50FF" w:rsidRPr="006E50FF" w:rsidRDefault="006E50FF" w:rsidP="006E50FF">
            <w:pPr>
              <w:widowControl w:val="0"/>
              <w:autoSpaceDE w:val="0"/>
              <w:autoSpaceDN w:val="0"/>
              <w:spacing w:line="166" w:lineRule="exact"/>
              <w:ind w:left="91"/>
              <w:rPr>
                <w:sz w:val="16"/>
                <w:szCs w:val="16"/>
              </w:rPr>
            </w:pPr>
            <w:r w:rsidRPr="006E50FF">
              <w:rPr>
                <w:sz w:val="16"/>
                <w:szCs w:val="16"/>
              </w:rPr>
              <w:t>4.</w:t>
            </w:r>
            <w:r w:rsidRPr="006E50FF">
              <w:rPr>
                <w:spacing w:val="64"/>
                <w:sz w:val="16"/>
                <w:szCs w:val="16"/>
              </w:rPr>
              <w:t xml:space="preserve"> </w:t>
            </w:r>
            <w:r w:rsidRPr="006E50FF">
              <w:rPr>
                <w:sz w:val="16"/>
                <w:szCs w:val="16"/>
              </w:rPr>
              <w:t>Multistoried</w:t>
            </w:r>
            <w:r w:rsidRPr="006E50FF">
              <w:rPr>
                <w:spacing w:val="-6"/>
                <w:sz w:val="16"/>
                <w:szCs w:val="16"/>
              </w:rPr>
              <w:t xml:space="preserve"> </w:t>
            </w:r>
            <w:r w:rsidRPr="006E50FF">
              <w:rPr>
                <w:sz w:val="16"/>
                <w:szCs w:val="16"/>
              </w:rPr>
              <w:t>Office/Commercial</w:t>
            </w:r>
            <w:r w:rsidRPr="006E50FF">
              <w:rPr>
                <w:spacing w:val="-8"/>
                <w:sz w:val="16"/>
                <w:szCs w:val="16"/>
              </w:rPr>
              <w:t xml:space="preserve"> </w:t>
            </w:r>
            <w:r w:rsidRPr="006E50FF">
              <w:rPr>
                <w:sz w:val="16"/>
                <w:szCs w:val="16"/>
              </w:rPr>
              <w:t>Buildings</w:t>
            </w:r>
            <w:r w:rsidRPr="006E50FF">
              <w:rPr>
                <w:spacing w:val="-4"/>
                <w:sz w:val="16"/>
                <w:szCs w:val="16"/>
              </w:rPr>
              <w:t xml:space="preserve"> </w:t>
            </w:r>
            <w:r w:rsidRPr="006E50FF">
              <w:rPr>
                <w:sz w:val="16"/>
                <w:szCs w:val="16"/>
              </w:rPr>
              <w:t>(over</w:t>
            </w:r>
            <w:r w:rsidRPr="006E50FF">
              <w:rPr>
                <w:spacing w:val="-6"/>
                <w:sz w:val="16"/>
                <w:szCs w:val="16"/>
              </w:rPr>
              <w:t xml:space="preserve"> </w:t>
            </w:r>
            <w:r w:rsidRPr="006E50FF">
              <w:rPr>
                <w:sz w:val="16"/>
                <w:szCs w:val="16"/>
              </w:rPr>
              <w:t>3</w:t>
            </w:r>
            <w:r w:rsidRPr="006E50FF">
              <w:rPr>
                <w:spacing w:val="-3"/>
                <w:sz w:val="16"/>
                <w:szCs w:val="16"/>
              </w:rPr>
              <w:t xml:space="preserve"> </w:t>
            </w:r>
            <w:r w:rsidRPr="006E50FF">
              <w:rPr>
                <w:spacing w:val="-2"/>
                <w:sz w:val="16"/>
                <w:szCs w:val="16"/>
              </w:rPr>
              <w:t>floors)</w:t>
            </w:r>
          </w:p>
        </w:tc>
        <w:tc>
          <w:tcPr>
            <w:tcW w:w="1080" w:type="dxa"/>
            <w:vMerge/>
            <w:tcBorders>
              <w:top w:val="nil"/>
              <w:left w:val="double" w:sz="6" w:space="0" w:color="000000"/>
              <w:bottom w:val="nil"/>
            </w:tcBorders>
          </w:tcPr>
          <w:p w14:paraId="6A242569" w14:textId="77777777" w:rsidR="006E50FF" w:rsidRPr="006E50FF" w:rsidRDefault="006E50FF" w:rsidP="006E50FF">
            <w:pPr>
              <w:spacing w:line="278" w:lineRule="auto"/>
              <w:ind w:left="91" w:right="90"/>
              <w:rPr>
                <w:rFonts w:eastAsia="Aptos"/>
                <w:kern w:val="2"/>
                <w:sz w:val="16"/>
                <w:szCs w:val="16"/>
              </w:rPr>
            </w:pPr>
          </w:p>
        </w:tc>
      </w:tr>
      <w:tr w:rsidR="006E50FF" w:rsidRPr="006E50FF" w14:paraId="09A6E574" w14:textId="77777777" w:rsidTr="0088638B">
        <w:trPr>
          <w:trHeight w:val="185"/>
        </w:trPr>
        <w:tc>
          <w:tcPr>
            <w:tcW w:w="1260" w:type="dxa"/>
            <w:gridSpan w:val="2"/>
            <w:tcBorders>
              <w:top w:val="nil"/>
              <w:bottom w:val="nil"/>
              <w:right w:val="double" w:sz="6" w:space="0" w:color="000000"/>
            </w:tcBorders>
          </w:tcPr>
          <w:p w14:paraId="55F9E579"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6EE53795" w14:textId="77777777" w:rsidR="006E50FF" w:rsidRPr="006E50FF" w:rsidRDefault="006E50FF" w:rsidP="006E50FF">
            <w:pPr>
              <w:widowControl w:val="0"/>
              <w:numPr>
                <w:ilvl w:val="0"/>
                <w:numId w:val="18"/>
              </w:numPr>
              <w:autoSpaceDE w:val="0"/>
              <w:autoSpaceDN w:val="0"/>
              <w:spacing w:line="166" w:lineRule="exact"/>
              <w:ind w:left="91" w:hanging="230"/>
              <w:rPr>
                <w:sz w:val="16"/>
                <w:szCs w:val="16"/>
              </w:rPr>
            </w:pPr>
            <w:r w:rsidRPr="006E50FF">
              <w:rPr>
                <w:sz w:val="16"/>
                <w:szCs w:val="16"/>
              </w:rPr>
              <w:t>5.  Jails, Prisons, and Other Places of Detention or Incarceration</w:t>
            </w:r>
          </w:p>
        </w:tc>
        <w:tc>
          <w:tcPr>
            <w:tcW w:w="1080" w:type="dxa"/>
            <w:tcBorders>
              <w:top w:val="nil"/>
              <w:left w:val="double" w:sz="6" w:space="0" w:color="000000"/>
              <w:bottom w:val="nil"/>
            </w:tcBorders>
          </w:tcPr>
          <w:p w14:paraId="6A924D28" w14:textId="77777777" w:rsidR="006E50FF" w:rsidRPr="006E50FF" w:rsidRDefault="006E50FF" w:rsidP="006E50FF">
            <w:pPr>
              <w:spacing w:line="278" w:lineRule="auto"/>
              <w:ind w:left="91" w:right="90"/>
              <w:rPr>
                <w:rFonts w:eastAsia="Aptos"/>
                <w:kern w:val="2"/>
                <w:sz w:val="16"/>
                <w:szCs w:val="16"/>
              </w:rPr>
            </w:pPr>
          </w:p>
        </w:tc>
      </w:tr>
      <w:tr w:rsidR="006E50FF" w:rsidRPr="006E50FF" w14:paraId="14F9EE2A" w14:textId="77777777" w:rsidTr="0088638B">
        <w:trPr>
          <w:trHeight w:val="185"/>
        </w:trPr>
        <w:tc>
          <w:tcPr>
            <w:tcW w:w="10530" w:type="dxa"/>
            <w:gridSpan w:val="5"/>
            <w:tcBorders>
              <w:top w:val="nil"/>
              <w:bottom w:val="single" w:sz="4" w:space="0" w:color="auto"/>
            </w:tcBorders>
          </w:tcPr>
          <w:p w14:paraId="62BD5886" w14:textId="77777777" w:rsidR="006E50FF" w:rsidRPr="006E50FF" w:rsidRDefault="006E50FF" w:rsidP="006E50FF">
            <w:pPr>
              <w:spacing w:line="278" w:lineRule="auto"/>
              <w:ind w:left="91" w:right="90"/>
              <w:rPr>
                <w:rFonts w:eastAsia="Aptos"/>
                <w:kern w:val="2"/>
                <w:sz w:val="16"/>
                <w:szCs w:val="16"/>
              </w:rPr>
            </w:pPr>
          </w:p>
        </w:tc>
      </w:tr>
      <w:tr w:rsidR="006E50FF" w:rsidRPr="006E50FF" w14:paraId="7B4ED3EA"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533280C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5383ED25" w14:textId="77777777" w:rsidR="006E50FF" w:rsidRPr="006E50FF" w:rsidRDefault="006E50FF" w:rsidP="006E50FF">
            <w:pPr>
              <w:ind w:left="91"/>
              <w:rPr>
                <w:rFonts w:eastAsia="Aptos"/>
                <w:kern w:val="2"/>
                <w:sz w:val="16"/>
                <w:szCs w:val="16"/>
              </w:rPr>
            </w:pPr>
            <w:r w:rsidRPr="006E50FF">
              <w:rPr>
                <w:rFonts w:eastAsia="Aptos"/>
                <w:kern w:val="2"/>
                <w:sz w:val="16"/>
                <w:szCs w:val="16"/>
              </w:rPr>
              <w:t>Section 608.19.2, Other Containment Requirements.</w:t>
            </w:r>
          </w:p>
        </w:tc>
        <w:tc>
          <w:tcPr>
            <w:tcW w:w="7043" w:type="dxa"/>
            <w:gridSpan w:val="2"/>
            <w:tcBorders>
              <w:top w:val="single" w:sz="4" w:space="0" w:color="auto"/>
              <w:left w:val="single" w:sz="4" w:space="0" w:color="auto"/>
              <w:bottom w:val="single" w:sz="4" w:space="0" w:color="auto"/>
              <w:right w:val="single" w:sz="4" w:space="0" w:color="auto"/>
            </w:tcBorders>
          </w:tcPr>
          <w:p w14:paraId="072D98E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 xml:space="preserve">Table 608.19.1 of this code above is not inclusive of all potential contamination sources which may need containment protection. For potential contamination sources not listed in this table, backflow prevention methods or devices shall be utilized in accordance with Table B1 of CAN/CSA B64.10-1994. When a potential contamination source and its associated backflow prevention method or device is not identified in </w:t>
            </w:r>
            <w:r w:rsidRPr="006E50FF">
              <w:rPr>
                <w:rFonts w:eastAsia="Aptos"/>
                <w:kern w:val="2"/>
                <w:sz w:val="16"/>
                <w:szCs w:val="16"/>
              </w:rPr>
              <w:lastRenderedPageBreak/>
              <w:t>Table 608.19.1 of this code above or Table B1 of CAN/CSA B64.10-1994, backflow prevention methods or devices shall be utilized:</w:t>
            </w:r>
          </w:p>
        </w:tc>
      </w:tr>
      <w:tr w:rsidR="006E50FF" w:rsidRPr="006E50FF" w14:paraId="6DF58572"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1A24B298"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0CE42AFE" w14:textId="77777777" w:rsidR="006E50FF" w:rsidRPr="006E50FF" w:rsidRDefault="006E50FF" w:rsidP="006E50FF">
            <w:pPr>
              <w:ind w:left="91"/>
              <w:rPr>
                <w:rFonts w:eastAsia="Aptos"/>
                <w:kern w:val="2"/>
                <w:sz w:val="16"/>
                <w:szCs w:val="16"/>
              </w:rPr>
            </w:pPr>
          </w:p>
        </w:tc>
        <w:tc>
          <w:tcPr>
            <w:tcW w:w="7043" w:type="dxa"/>
            <w:gridSpan w:val="2"/>
            <w:tcBorders>
              <w:top w:val="single" w:sz="4" w:space="0" w:color="auto"/>
              <w:left w:val="single" w:sz="6" w:space="0" w:color="000000"/>
              <w:bottom w:val="single" w:sz="6" w:space="0" w:color="000000"/>
              <w:right w:val="single" w:sz="6" w:space="0" w:color="000000"/>
            </w:tcBorders>
          </w:tcPr>
          <w:p w14:paraId="2852077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1. as directed by the building code official; or</w:t>
            </w:r>
          </w:p>
        </w:tc>
      </w:tr>
      <w:tr w:rsidR="006E50FF" w:rsidRPr="006E50FF" w14:paraId="17372A7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F0D541B"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D608D04" w14:textId="77777777" w:rsidR="006E50FF" w:rsidRPr="006E50FF" w:rsidRDefault="006E50FF" w:rsidP="006E50FF">
            <w:pPr>
              <w:ind w:left="91"/>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3C0E9A0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2. as directed by the water supplier;</w:t>
            </w:r>
          </w:p>
        </w:tc>
      </w:tr>
      <w:tr w:rsidR="006E50FF" w:rsidRPr="006E50FF" w14:paraId="61FAC54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A65457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A25BF97" w14:textId="77777777" w:rsidR="006E50FF" w:rsidRPr="006E50FF" w:rsidRDefault="006E50FF" w:rsidP="006E50FF">
            <w:pPr>
              <w:ind w:left="91"/>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7533DEE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3. in cases of a discrepancy regarding the particular backflow prevention assembly or method required, the assembly or method providing the higher level of protection shall be required.</w:t>
            </w:r>
          </w:p>
        </w:tc>
      </w:tr>
      <w:tr w:rsidR="006E50FF" w:rsidRPr="006E50FF" w14:paraId="632D798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C6EA60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BE4630F" w14:textId="77777777" w:rsidR="006E50FF" w:rsidRPr="006E50FF" w:rsidRDefault="006E50FF" w:rsidP="006E50FF">
            <w:pPr>
              <w:ind w:left="91"/>
              <w:rPr>
                <w:rFonts w:eastAsia="Aptos"/>
                <w:kern w:val="2"/>
                <w:sz w:val="16"/>
                <w:szCs w:val="16"/>
              </w:rPr>
            </w:pPr>
            <w:r w:rsidRPr="006E50FF">
              <w:rPr>
                <w:rFonts w:eastAsia="Aptos"/>
                <w:kern w:val="2"/>
                <w:sz w:val="16"/>
                <w:szCs w:val="16"/>
              </w:rPr>
              <w:t>Item (4.)</w:t>
            </w:r>
          </w:p>
        </w:tc>
        <w:tc>
          <w:tcPr>
            <w:tcW w:w="7043" w:type="dxa"/>
            <w:gridSpan w:val="2"/>
            <w:tcBorders>
              <w:top w:val="nil"/>
              <w:left w:val="single" w:sz="6" w:space="0" w:color="000000"/>
              <w:bottom w:val="single" w:sz="6" w:space="0" w:color="000000"/>
              <w:right w:val="single" w:sz="6" w:space="0" w:color="000000"/>
            </w:tcBorders>
          </w:tcPr>
          <w:p w14:paraId="33B934D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Where a backflow prevention device is installed above ground, any piping installed above ground shall be metallic piping, shall be of rigid quality and must comply with Table 605.4.</w:t>
            </w:r>
          </w:p>
        </w:tc>
      </w:tr>
      <w:tr w:rsidR="006E50FF" w:rsidRPr="006E50FF" w14:paraId="6C884DC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29BB37D"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A41A9E4" w14:textId="77777777" w:rsidR="006E50FF" w:rsidRPr="006E50FF" w:rsidRDefault="006E50FF" w:rsidP="006E50FF">
            <w:pPr>
              <w:ind w:left="91"/>
              <w:rPr>
                <w:rFonts w:eastAsia="Aptos"/>
                <w:kern w:val="2"/>
                <w:sz w:val="16"/>
                <w:szCs w:val="16"/>
              </w:rPr>
            </w:pPr>
            <w:r w:rsidRPr="006E50FF">
              <w:rPr>
                <w:rFonts w:eastAsia="Aptos"/>
                <w:kern w:val="2"/>
                <w:sz w:val="16"/>
                <w:szCs w:val="16"/>
              </w:rPr>
              <w:t>Chapter 7, Sanitary</w:t>
            </w:r>
          </w:p>
          <w:p w14:paraId="141F3D63" w14:textId="77777777" w:rsidR="006E50FF" w:rsidRPr="006E50FF" w:rsidRDefault="006E50FF" w:rsidP="006E50FF">
            <w:pPr>
              <w:ind w:left="91"/>
              <w:rPr>
                <w:rFonts w:eastAsia="Aptos"/>
                <w:kern w:val="2"/>
                <w:sz w:val="16"/>
                <w:szCs w:val="16"/>
              </w:rPr>
            </w:pPr>
            <w:r w:rsidRPr="006E50FF">
              <w:rPr>
                <w:rFonts w:eastAsia="Aptos"/>
                <w:kern w:val="2"/>
                <w:sz w:val="16"/>
                <w:szCs w:val="16"/>
              </w:rPr>
              <w:t>Drainage.</w:t>
            </w:r>
          </w:p>
        </w:tc>
        <w:tc>
          <w:tcPr>
            <w:tcW w:w="7043" w:type="dxa"/>
            <w:gridSpan w:val="2"/>
            <w:tcBorders>
              <w:top w:val="nil"/>
              <w:left w:val="single" w:sz="6" w:space="0" w:color="000000"/>
              <w:bottom w:val="single" w:sz="6" w:space="0" w:color="000000"/>
              <w:right w:val="single" w:sz="6" w:space="0" w:color="000000"/>
            </w:tcBorders>
          </w:tcPr>
          <w:p w14:paraId="0D82C33A" w14:textId="77777777" w:rsidR="006E50FF" w:rsidRPr="006E50FF" w:rsidRDefault="006E50FF" w:rsidP="006E50FF">
            <w:pPr>
              <w:ind w:left="91" w:right="90"/>
              <w:rPr>
                <w:rFonts w:eastAsia="Aptos"/>
                <w:kern w:val="2"/>
                <w:sz w:val="16"/>
                <w:szCs w:val="16"/>
              </w:rPr>
            </w:pPr>
          </w:p>
        </w:tc>
      </w:tr>
      <w:tr w:rsidR="006E50FF" w:rsidRPr="006E50FF" w14:paraId="1BF5188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41BBC1B"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770C2D4C"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701.2, Sewer Required.</w:t>
            </w:r>
          </w:p>
        </w:tc>
        <w:tc>
          <w:tcPr>
            <w:tcW w:w="7043" w:type="dxa"/>
            <w:gridSpan w:val="2"/>
            <w:tcBorders>
              <w:top w:val="nil"/>
              <w:left w:val="single" w:sz="6" w:space="0" w:color="000000"/>
              <w:bottom w:val="single" w:sz="6" w:space="0" w:color="000000"/>
              <w:right w:val="single" w:sz="6" w:space="0" w:color="000000"/>
            </w:tcBorders>
          </w:tcPr>
          <w:p w14:paraId="2932C67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Buildings in which plumbing fixtures are installed and premises having sanitary drainage system piping shall be connected to a community sewerage system, where available, or an approved commercial treatment facility or individual sewerage meeting the requirements of LAC 51:XIII (Sewage Disposal).</w:t>
            </w:r>
          </w:p>
        </w:tc>
      </w:tr>
      <w:tr w:rsidR="006E50FF" w:rsidRPr="006E50FF" w14:paraId="64E5387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4BBB81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091D5D2"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701.8, Repairs to Drainage System via Re- Route.</w:t>
            </w:r>
          </w:p>
        </w:tc>
        <w:tc>
          <w:tcPr>
            <w:tcW w:w="7043" w:type="dxa"/>
            <w:gridSpan w:val="2"/>
            <w:tcBorders>
              <w:top w:val="nil"/>
              <w:left w:val="single" w:sz="6" w:space="0" w:color="000000"/>
              <w:bottom w:val="single" w:sz="6" w:space="0" w:color="000000"/>
              <w:right w:val="single" w:sz="6" w:space="0" w:color="000000"/>
            </w:tcBorders>
          </w:tcPr>
          <w:p w14:paraId="05C4AB1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In the case where it is determined that there is a broken underground drain line including, but not limited to, broken drain lines under the slab of a building, and a drain line re-route is performed, the existing broken underground drain line shall be and sealed watertight and gastight using approved plumbing materials and joining/jointing methods, e.g., properly install an approved cap, plug, or cleanout on the cut or disconnected pipe.</w:t>
            </w:r>
          </w:p>
        </w:tc>
      </w:tr>
      <w:tr w:rsidR="006E50FF" w:rsidRPr="006E50FF" w14:paraId="06B20F9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8B54C7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E43FD8C"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703.7, Minimum Size Building Sewer.</w:t>
            </w:r>
          </w:p>
        </w:tc>
        <w:tc>
          <w:tcPr>
            <w:tcW w:w="7043" w:type="dxa"/>
            <w:gridSpan w:val="2"/>
            <w:tcBorders>
              <w:top w:val="nil"/>
              <w:left w:val="single" w:sz="6" w:space="0" w:color="000000"/>
              <w:bottom w:val="single" w:sz="6" w:space="0" w:color="000000"/>
              <w:right w:val="single" w:sz="6" w:space="0" w:color="000000"/>
            </w:tcBorders>
          </w:tcPr>
          <w:p w14:paraId="4162CF2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No building sewer shall be less than 4 inches in size with the exception of force lines.</w:t>
            </w:r>
          </w:p>
        </w:tc>
      </w:tr>
      <w:tr w:rsidR="006E50FF" w:rsidRPr="006E50FF" w14:paraId="30D4CCC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80C05F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04CC758" w14:textId="77777777" w:rsidR="006E50FF" w:rsidRPr="006E50FF" w:rsidRDefault="006E50FF" w:rsidP="006E50FF">
            <w:pPr>
              <w:ind w:left="91"/>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1C8837E3" w14:textId="77777777" w:rsidR="006E50FF" w:rsidRPr="006E50FF" w:rsidRDefault="006E50FF" w:rsidP="006E50FF">
            <w:pPr>
              <w:ind w:left="91" w:right="90"/>
              <w:rPr>
                <w:rFonts w:eastAsia="Aptos"/>
                <w:kern w:val="2"/>
                <w:sz w:val="16"/>
                <w:szCs w:val="16"/>
              </w:rPr>
            </w:pPr>
          </w:p>
        </w:tc>
      </w:tr>
      <w:tr w:rsidR="006E50FF" w:rsidRPr="006E50FF" w14:paraId="689D816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EC15AF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ACC948C" w14:textId="77777777" w:rsidR="006E50FF" w:rsidRPr="006E50FF" w:rsidRDefault="006E50FF" w:rsidP="006E50FF">
            <w:pPr>
              <w:ind w:left="91"/>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656B836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2 inch sink or washing machine drain shall be allowed to continue, greater than 30 inches of developed length, from the edge of the foundation continuous to the 4 inch building sewer if it meets ALL of the following conditions:</w:t>
            </w:r>
          </w:p>
        </w:tc>
      </w:tr>
      <w:tr w:rsidR="006E50FF" w:rsidRPr="006E50FF" w14:paraId="31538D5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D7B1F7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7731582" w14:textId="77777777" w:rsidR="006E50FF" w:rsidRPr="006E50FF" w:rsidRDefault="006E50FF" w:rsidP="006E50FF">
            <w:pPr>
              <w:ind w:left="91"/>
              <w:rPr>
                <w:rFonts w:eastAsia="Aptos"/>
                <w:kern w:val="2"/>
                <w:sz w:val="16"/>
                <w:szCs w:val="16"/>
              </w:rPr>
            </w:pPr>
            <w:r w:rsidRPr="006E50FF">
              <w:rPr>
                <w:rFonts w:eastAsia="Aptos"/>
                <w:kern w:val="2"/>
                <w:sz w:val="16"/>
                <w:szCs w:val="16"/>
              </w:rPr>
              <w:t>Item 1.</w:t>
            </w:r>
          </w:p>
        </w:tc>
        <w:tc>
          <w:tcPr>
            <w:tcW w:w="7043" w:type="dxa"/>
            <w:gridSpan w:val="2"/>
            <w:tcBorders>
              <w:top w:val="nil"/>
              <w:left w:val="single" w:sz="6" w:space="0" w:color="000000"/>
              <w:bottom w:val="single" w:sz="6" w:space="0" w:color="000000"/>
              <w:right w:val="single" w:sz="6" w:space="0" w:color="000000"/>
            </w:tcBorders>
          </w:tcPr>
          <w:p w14:paraId="150D110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allowable fall per inch over the entire length of pipe shall be maintained.</w:t>
            </w:r>
          </w:p>
        </w:tc>
      </w:tr>
      <w:tr w:rsidR="006E50FF" w:rsidRPr="006E50FF" w14:paraId="46100C4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D6315B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D4584D2" w14:textId="77777777" w:rsidR="006E50FF" w:rsidRPr="006E50FF" w:rsidRDefault="006E50FF" w:rsidP="006E50FF">
            <w:pPr>
              <w:ind w:left="91"/>
              <w:rPr>
                <w:rFonts w:eastAsia="Aptos"/>
                <w:kern w:val="2"/>
                <w:sz w:val="16"/>
                <w:szCs w:val="16"/>
              </w:rPr>
            </w:pPr>
            <w:r w:rsidRPr="006E50FF">
              <w:rPr>
                <w:rFonts w:eastAsia="Aptos"/>
                <w:kern w:val="2"/>
                <w:sz w:val="16"/>
                <w:szCs w:val="16"/>
              </w:rPr>
              <w:t>Item 2.</w:t>
            </w:r>
          </w:p>
        </w:tc>
        <w:tc>
          <w:tcPr>
            <w:tcW w:w="7043" w:type="dxa"/>
            <w:gridSpan w:val="2"/>
            <w:tcBorders>
              <w:top w:val="nil"/>
              <w:left w:val="single" w:sz="6" w:space="0" w:color="000000"/>
              <w:bottom w:val="single" w:sz="6" w:space="0" w:color="000000"/>
              <w:right w:val="single" w:sz="6" w:space="0" w:color="000000"/>
            </w:tcBorders>
          </w:tcPr>
          <w:p w14:paraId="3F0536B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No solid waste shall be allowed within the drain system.</w:t>
            </w:r>
          </w:p>
        </w:tc>
      </w:tr>
      <w:tr w:rsidR="006E50FF" w:rsidRPr="006E50FF" w14:paraId="5DE8069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0B4C44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1DBD879" w14:textId="77777777" w:rsidR="006E50FF" w:rsidRPr="006E50FF" w:rsidRDefault="006E50FF" w:rsidP="006E50FF">
            <w:pPr>
              <w:ind w:left="91"/>
              <w:rPr>
                <w:rFonts w:eastAsia="Aptos"/>
                <w:kern w:val="2"/>
                <w:sz w:val="16"/>
                <w:szCs w:val="16"/>
              </w:rPr>
            </w:pPr>
            <w:r w:rsidRPr="006E50FF">
              <w:rPr>
                <w:rFonts w:eastAsia="Aptos"/>
                <w:kern w:val="2"/>
                <w:sz w:val="16"/>
                <w:szCs w:val="16"/>
              </w:rPr>
              <w:t>Item 3.</w:t>
            </w:r>
          </w:p>
        </w:tc>
        <w:tc>
          <w:tcPr>
            <w:tcW w:w="7043" w:type="dxa"/>
            <w:gridSpan w:val="2"/>
            <w:tcBorders>
              <w:top w:val="nil"/>
              <w:left w:val="single" w:sz="6" w:space="0" w:color="000000"/>
              <w:bottom w:val="single" w:sz="6" w:space="0" w:color="000000"/>
              <w:right w:val="single" w:sz="6" w:space="0" w:color="000000"/>
            </w:tcBorders>
          </w:tcPr>
          <w:p w14:paraId="4A0C88C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disposal shall not be allowed within the drain system.</w:t>
            </w:r>
          </w:p>
        </w:tc>
      </w:tr>
      <w:tr w:rsidR="006E50FF" w:rsidRPr="006E50FF" w14:paraId="406E26AB" w14:textId="77777777" w:rsidTr="0088638B">
        <w:trPr>
          <w:trHeight w:val="185"/>
        </w:trPr>
        <w:tc>
          <w:tcPr>
            <w:tcW w:w="1072" w:type="dxa"/>
            <w:tcBorders>
              <w:top w:val="nil"/>
              <w:left w:val="single" w:sz="6" w:space="0" w:color="000000"/>
              <w:bottom w:val="single" w:sz="4" w:space="0" w:color="auto"/>
              <w:right w:val="single" w:sz="6" w:space="0" w:color="000000"/>
            </w:tcBorders>
          </w:tcPr>
          <w:p w14:paraId="2950E56F"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4" w:space="0" w:color="auto"/>
              <w:right w:val="single" w:sz="6" w:space="0" w:color="000000"/>
            </w:tcBorders>
          </w:tcPr>
          <w:p w14:paraId="1F7E975D"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710.1, Maximum Fixture Unit Load.</w:t>
            </w:r>
          </w:p>
        </w:tc>
        <w:tc>
          <w:tcPr>
            <w:tcW w:w="7043" w:type="dxa"/>
            <w:gridSpan w:val="2"/>
            <w:tcBorders>
              <w:top w:val="nil"/>
              <w:left w:val="single" w:sz="6" w:space="0" w:color="000000"/>
              <w:bottom w:val="single" w:sz="4" w:space="0" w:color="auto"/>
              <w:right w:val="single" w:sz="6" w:space="0" w:color="000000"/>
            </w:tcBorders>
          </w:tcPr>
          <w:p w14:paraId="56817B9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maximum number of drainage fixture units connected to a given size of building sewer, building drain or horizontal branch of the building drain shall be determined using Table 710.1(1). The maximum number of drainage fixture units connected to a given size vertical soil or waste stack, or horizontal branch connecting to a vertical soil or waste stack, shall be determined using Table 710.1(2).</w:t>
            </w:r>
          </w:p>
        </w:tc>
      </w:tr>
      <w:tr w:rsidR="006E50FF" w:rsidRPr="006E50FF" w14:paraId="321FA47A"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5CCE426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6FD6C39B" w14:textId="77777777" w:rsidR="006E50FF" w:rsidRPr="006E50FF" w:rsidRDefault="006E50FF" w:rsidP="006E50FF">
            <w:pPr>
              <w:ind w:left="91"/>
              <w:rPr>
                <w:rFonts w:eastAsia="Aptos"/>
                <w:kern w:val="2"/>
                <w:sz w:val="16"/>
                <w:szCs w:val="16"/>
              </w:rPr>
            </w:pPr>
            <w:r w:rsidRPr="006E50FF">
              <w:rPr>
                <w:rFonts w:eastAsia="Aptos"/>
                <w:kern w:val="2"/>
                <w:sz w:val="16"/>
                <w:szCs w:val="16"/>
              </w:rPr>
              <w:t>Table 710.1(1).</w:t>
            </w:r>
          </w:p>
        </w:tc>
        <w:tc>
          <w:tcPr>
            <w:tcW w:w="7043" w:type="dxa"/>
            <w:gridSpan w:val="2"/>
            <w:tcBorders>
              <w:top w:val="single" w:sz="4" w:space="0" w:color="auto"/>
              <w:left w:val="single" w:sz="4" w:space="0" w:color="auto"/>
              <w:bottom w:val="single" w:sz="4" w:space="0" w:color="auto"/>
              <w:right w:val="single" w:sz="4" w:space="0" w:color="auto"/>
            </w:tcBorders>
          </w:tcPr>
          <w:p w14:paraId="1D1B0F1E" w14:textId="77777777" w:rsidR="006E50FF" w:rsidRPr="006E50FF" w:rsidRDefault="006E50FF" w:rsidP="006E50FF">
            <w:pPr>
              <w:ind w:left="91" w:right="90"/>
              <w:rPr>
                <w:rFonts w:eastAsia="Aptos"/>
                <w:kern w:val="2"/>
                <w:sz w:val="16"/>
                <w:szCs w:val="16"/>
              </w:rPr>
            </w:pPr>
          </w:p>
        </w:tc>
      </w:tr>
      <w:tr w:rsidR="006E50FF" w:rsidRPr="006E50FF" w14:paraId="5C73CE97" w14:textId="77777777" w:rsidTr="0088638B">
        <w:trPr>
          <w:trHeight w:val="185"/>
        </w:trPr>
        <w:tc>
          <w:tcPr>
            <w:tcW w:w="10530" w:type="dxa"/>
            <w:gridSpan w:val="5"/>
            <w:tcBorders>
              <w:top w:val="single" w:sz="4" w:space="0" w:color="auto"/>
              <w:left w:val="single" w:sz="4" w:space="0" w:color="auto"/>
              <w:bottom w:val="single" w:sz="4" w:space="0" w:color="auto"/>
              <w:right w:val="single" w:sz="4" w:space="0" w:color="auto"/>
            </w:tcBorders>
          </w:tcPr>
          <w:p w14:paraId="02F5A71A" w14:textId="77777777" w:rsidR="006E50FF" w:rsidRPr="006E50FF" w:rsidRDefault="006E50FF" w:rsidP="006E50FF">
            <w:pPr>
              <w:ind w:left="91" w:right="90"/>
              <w:rPr>
                <w:rFonts w:eastAsia="Aptos"/>
                <w:kern w:val="2"/>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04"/>
              <w:gridCol w:w="1192"/>
              <w:gridCol w:w="1193"/>
              <w:gridCol w:w="1192"/>
              <w:gridCol w:w="1193"/>
            </w:tblGrid>
            <w:tr w:rsidR="006E50FF" w:rsidRPr="006E50FF" w14:paraId="5429F0A6" w14:textId="77777777" w:rsidTr="0088638B">
              <w:trPr>
                <w:trHeight w:val="708"/>
                <w:tblHeader/>
                <w:jc w:val="center"/>
              </w:trPr>
              <w:tc>
                <w:tcPr>
                  <w:tcW w:w="2004" w:type="dxa"/>
                  <w:vMerge w:val="restart"/>
                  <w:shd w:val="clear" w:color="auto" w:fill="BEBEBE"/>
                  <w:vAlign w:val="bottom"/>
                </w:tcPr>
                <w:p w14:paraId="25184E90"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Diameter of Pipe (Inches)</w:t>
                  </w:r>
                </w:p>
              </w:tc>
              <w:tc>
                <w:tcPr>
                  <w:tcW w:w="4770" w:type="dxa"/>
                  <w:gridSpan w:val="4"/>
                  <w:shd w:val="clear" w:color="auto" w:fill="BEBEBE"/>
                </w:tcPr>
                <w:p w14:paraId="308AB40C"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Maximum Number of Drainage Fixture Units Connected to Any Portion of the Building Drain or the Building Sewer, Including Branches of the Building Drain</w:t>
                  </w:r>
                  <w:r w:rsidRPr="006E50FF">
                    <w:rPr>
                      <w:b/>
                      <w:spacing w:val="-2"/>
                      <w:sz w:val="16"/>
                      <w:szCs w:val="16"/>
                      <w:vertAlign w:val="superscript"/>
                    </w:rPr>
                    <w:t>a</w:t>
                  </w:r>
                </w:p>
              </w:tc>
            </w:tr>
            <w:tr w:rsidR="006E50FF" w:rsidRPr="006E50FF" w14:paraId="3A597174" w14:textId="77777777" w:rsidTr="0088638B">
              <w:trPr>
                <w:trHeight w:val="231"/>
                <w:tblHeader/>
                <w:jc w:val="center"/>
              </w:trPr>
              <w:tc>
                <w:tcPr>
                  <w:tcW w:w="2004" w:type="dxa"/>
                  <w:vMerge/>
                  <w:shd w:val="clear" w:color="auto" w:fill="BEBEBE"/>
                </w:tcPr>
                <w:p w14:paraId="6801E44C" w14:textId="77777777" w:rsidR="006E50FF" w:rsidRPr="006E50FF" w:rsidRDefault="006E50FF" w:rsidP="006E50FF">
                  <w:pPr>
                    <w:widowControl w:val="0"/>
                    <w:autoSpaceDE w:val="0"/>
                    <w:autoSpaceDN w:val="0"/>
                    <w:spacing w:before="20" w:line="165" w:lineRule="exact"/>
                    <w:ind w:left="91" w:right="90"/>
                    <w:jc w:val="center"/>
                    <w:rPr>
                      <w:b/>
                      <w:spacing w:val="-2"/>
                      <w:sz w:val="16"/>
                      <w:szCs w:val="16"/>
                    </w:rPr>
                  </w:pPr>
                </w:p>
              </w:tc>
              <w:tc>
                <w:tcPr>
                  <w:tcW w:w="4770" w:type="dxa"/>
                  <w:gridSpan w:val="4"/>
                  <w:shd w:val="clear" w:color="auto" w:fill="BEBEBE"/>
                </w:tcPr>
                <w:p w14:paraId="2BA02934" w14:textId="77777777" w:rsidR="006E50FF" w:rsidRPr="006E50FF" w:rsidRDefault="006E50FF" w:rsidP="006E50FF">
                  <w:pPr>
                    <w:widowControl w:val="0"/>
                    <w:autoSpaceDE w:val="0"/>
                    <w:autoSpaceDN w:val="0"/>
                    <w:spacing w:before="20" w:line="165" w:lineRule="exact"/>
                    <w:ind w:left="91" w:right="90"/>
                    <w:rPr>
                      <w:b/>
                      <w:spacing w:val="-2"/>
                      <w:sz w:val="16"/>
                      <w:szCs w:val="16"/>
                    </w:rPr>
                  </w:pPr>
                  <w:r w:rsidRPr="006E50FF">
                    <w:rPr>
                      <w:b/>
                      <w:spacing w:val="-2"/>
                      <w:sz w:val="16"/>
                      <w:szCs w:val="16"/>
                    </w:rPr>
                    <w:t>Slope Per Foot</w:t>
                  </w:r>
                </w:p>
              </w:tc>
            </w:tr>
            <w:tr w:rsidR="006E50FF" w:rsidRPr="006E50FF" w14:paraId="6A5D3977" w14:textId="77777777" w:rsidTr="0088638B">
              <w:trPr>
                <w:trHeight w:val="231"/>
                <w:tblHeader/>
                <w:jc w:val="center"/>
              </w:trPr>
              <w:tc>
                <w:tcPr>
                  <w:tcW w:w="2004" w:type="dxa"/>
                  <w:vMerge/>
                  <w:shd w:val="clear" w:color="auto" w:fill="BEBEBE"/>
                </w:tcPr>
                <w:p w14:paraId="14624683" w14:textId="77777777" w:rsidR="006E50FF" w:rsidRPr="006E50FF" w:rsidRDefault="006E50FF" w:rsidP="006E50FF">
                  <w:pPr>
                    <w:widowControl w:val="0"/>
                    <w:autoSpaceDE w:val="0"/>
                    <w:autoSpaceDN w:val="0"/>
                    <w:spacing w:before="20" w:line="165" w:lineRule="exact"/>
                    <w:ind w:left="91" w:right="90"/>
                    <w:jc w:val="center"/>
                    <w:rPr>
                      <w:b/>
                      <w:spacing w:val="-2"/>
                      <w:sz w:val="16"/>
                      <w:szCs w:val="16"/>
                    </w:rPr>
                  </w:pPr>
                </w:p>
              </w:tc>
              <w:tc>
                <w:tcPr>
                  <w:tcW w:w="1192" w:type="dxa"/>
                </w:tcPr>
                <w:p w14:paraId="1937BB20"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1/16 inch</w:t>
                  </w:r>
                </w:p>
              </w:tc>
              <w:tc>
                <w:tcPr>
                  <w:tcW w:w="1193" w:type="dxa"/>
                </w:tcPr>
                <w:p w14:paraId="0A12828F"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1/8 inch</w:t>
                  </w:r>
                </w:p>
              </w:tc>
              <w:tc>
                <w:tcPr>
                  <w:tcW w:w="1192" w:type="dxa"/>
                </w:tcPr>
                <w:p w14:paraId="032769D1"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1/4 inch</w:t>
                  </w:r>
                </w:p>
              </w:tc>
              <w:tc>
                <w:tcPr>
                  <w:tcW w:w="1193" w:type="dxa"/>
                </w:tcPr>
                <w:p w14:paraId="1A131D71"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1/2 inch</w:t>
                  </w:r>
                </w:p>
              </w:tc>
            </w:tr>
            <w:tr w:rsidR="006E50FF" w:rsidRPr="006E50FF" w14:paraId="3322D170" w14:textId="77777777" w:rsidTr="0088638B">
              <w:trPr>
                <w:trHeight w:val="184"/>
                <w:jc w:val="center"/>
              </w:trPr>
              <w:tc>
                <w:tcPr>
                  <w:tcW w:w="2004" w:type="dxa"/>
                </w:tcPr>
                <w:p w14:paraId="15726AA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 1/4</w:t>
                  </w:r>
                </w:p>
              </w:tc>
              <w:tc>
                <w:tcPr>
                  <w:tcW w:w="1192" w:type="dxa"/>
                </w:tcPr>
                <w:p w14:paraId="6172CCD4"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0C28CF63"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14A8D1C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w:t>
                  </w:r>
                </w:p>
              </w:tc>
              <w:tc>
                <w:tcPr>
                  <w:tcW w:w="1193" w:type="dxa"/>
                </w:tcPr>
                <w:p w14:paraId="2B8547D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w:t>
                  </w:r>
                </w:p>
              </w:tc>
            </w:tr>
            <w:tr w:rsidR="006E50FF" w:rsidRPr="006E50FF" w14:paraId="1CDD73E0" w14:textId="77777777" w:rsidTr="0088638B">
              <w:trPr>
                <w:trHeight w:val="184"/>
                <w:jc w:val="center"/>
              </w:trPr>
              <w:tc>
                <w:tcPr>
                  <w:tcW w:w="2004" w:type="dxa"/>
                </w:tcPr>
                <w:p w14:paraId="59C97B9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 1/2</w:t>
                  </w:r>
                </w:p>
              </w:tc>
              <w:tc>
                <w:tcPr>
                  <w:tcW w:w="1192" w:type="dxa"/>
                </w:tcPr>
                <w:p w14:paraId="2197621E"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479BE1F4"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42382B4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w:t>
                  </w:r>
                </w:p>
              </w:tc>
              <w:tc>
                <w:tcPr>
                  <w:tcW w:w="1193" w:type="dxa"/>
                </w:tcPr>
                <w:p w14:paraId="7FE204C2"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w:t>
                  </w:r>
                </w:p>
              </w:tc>
            </w:tr>
            <w:tr w:rsidR="006E50FF" w:rsidRPr="006E50FF" w14:paraId="7488C8DF" w14:textId="77777777" w:rsidTr="0088638B">
              <w:trPr>
                <w:trHeight w:val="184"/>
                <w:jc w:val="center"/>
              </w:trPr>
              <w:tc>
                <w:tcPr>
                  <w:tcW w:w="2004" w:type="dxa"/>
                </w:tcPr>
                <w:p w14:paraId="76B3135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w:t>
                  </w:r>
                </w:p>
              </w:tc>
              <w:tc>
                <w:tcPr>
                  <w:tcW w:w="1192" w:type="dxa"/>
                </w:tcPr>
                <w:p w14:paraId="4EF9EEEF"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65502A41"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4F71DAE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21</w:t>
                  </w:r>
                </w:p>
              </w:tc>
              <w:tc>
                <w:tcPr>
                  <w:tcW w:w="1193" w:type="dxa"/>
                </w:tcPr>
                <w:p w14:paraId="5DE6A65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26</w:t>
                  </w:r>
                </w:p>
              </w:tc>
            </w:tr>
            <w:tr w:rsidR="006E50FF" w:rsidRPr="006E50FF" w14:paraId="6EF84BE7" w14:textId="77777777" w:rsidTr="0088638B">
              <w:trPr>
                <w:trHeight w:val="184"/>
                <w:jc w:val="center"/>
              </w:trPr>
              <w:tc>
                <w:tcPr>
                  <w:tcW w:w="2004" w:type="dxa"/>
                </w:tcPr>
                <w:p w14:paraId="3E8F0EB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 1/2</w:t>
                  </w:r>
                </w:p>
              </w:tc>
              <w:tc>
                <w:tcPr>
                  <w:tcW w:w="1192" w:type="dxa"/>
                </w:tcPr>
                <w:p w14:paraId="11347E7D"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25E54C7D"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68B4316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24</w:t>
                  </w:r>
                </w:p>
              </w:tc>
              <w:tc>
                <w:tcPr>
                  <w:tcW w:w="1193" w:type="dxa"/>
                </w:tcPr>
                <w:p w14:paraId="63D7F5A9"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31</w:t>
                  </w:r>
                </w:p>
              </w:tc>
            </w:tr>
            <w:tr w:rsidR="006E50FF" w:rsidRPr="006E50FF" w14:paraId="5D40B3F8" w14:textId="77777777" w:rsidTr="0088638B">
              <w:trPr>
                <w:trHeight w:val="184"/>
                <w:jc w:val="center"/>
              </w:trPr>
              <w:tc>
                <w:tcPr>
                  <w:tcW w:w="2004" w:type="dxa"/>
                </w:tcPr>
                <w:p w14:paraId="4684D24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w:t>
                  </w:r>
                </w:p>
              </w:tc>
              <w:tc>
                <w:tcPr>
                  <w:tcW w:w="1192" w:type="dxa"/>
                </w:tcPr>
                <w:p w14:paraId="7082F2D5"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6AAAD2C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20 </w:t>
                  </w:r>
                </w:p>
                <w:p w14:paraId="36662BB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(not over two water closets)</w:t>
                  </w:r>
                </w:p>
              </w:tc>
              <w:tc>
                <w:tcPr>
                  <w:tcW w:w="1192" w:type="dxa"/>
                </w:tcPr>
                <w:p w14:paraId="08A8B1A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27 </w:t>
                  </w:r>
                </w:p>
                <w:p w14:paraId="4AB40BC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(not over two water closets)</w:t>
                  </w:r>
                </w:p>
              </w:tc>
              <w:tc>
                <w:tcPr>
                  <w:tcW w:w="1193" w:type="dxa"/>
                </w:tcPr>
                <w:p w14:paraId="7835201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36 </w:t>
                  </w:r>
                </w:p>
                <w:p w14:paraId="291D1F2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(not over two water closets)</w:t>
                  </w:r>
                </w:p>
              </w:tc>
            </w:tr>
            <w:tr w:rsidR="006E50FF" w:rsidRPr="006E50FF" w14:paraId="1DEB0F60" w14:textId="77777777" w:rsidTr="0088638B">
              <w:trPr>
                <w:trHeight w:val="184"/>
                <w:jc w:val="center"/>
              </w:trPr>
              <w:tc>
                <w:tcPr>
                  <w:tcW w:w="2004" w:type="dxa"/>
                </w:tcPr>
                <w:p w14:paraId="16450FA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w:t>
                  </w:r>
                </w:p>
              </w:tc>
              <w:tc>
                <w:tcPr>
                  <w:tcW w:w="1192" w:type="dxa"/>
                </w:tcPr>
                <w:p w14:paraId="72765C59"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w:t>
                  </w:r>
                </w:p>
              </w:tc>
              <w:tc>
                <w:tcPr>
                  <w:tcW w:w="1193" w:type="dxa"/>
                </w:tcPr>
                <w:p w14:paraId="41C1A4A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180</w:t>
                  </w:r>
                </w:p>
              </w:tc>
              <w:tc>
                <w:tcPr>
                  <w:tcW w:w="1192" w:type="dxa"/>
                </w:tcPr>
                <w:p w14:paraId="3CD5E70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216</w:t>
                  </w:r>
                </w:p>
              </w:tc>
              <w:tc>
                <w:tcPr>
                  <w:tcW w:w="1193" w:type="dxa"/>
                </w:tcPr>
                <w:p w14:paraId="750D651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250</w:t>
                  </w:r>
                </w:p>
              </w:tc>
            </w:tr>
            <w:tr w:rsidR="006E50FF" w:rsidRPr="006E50FF" w14:paraId="7DB13AC9" w14:textId="77777777" w:rsidTr="0088638B">
              <w:trPr>
                <w:trHeight w:val="184"/>
                <w:jc w:val="center"/>
              </w:trPr>
              <w:tc>
                <w:tcPr>
                  <w:tcW w:w="2004" w:type="dxa"/>
                </w:tcPr>
                <w:p w14:paraId="5DB9936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5</w:t>
                  </w:r>
                </w:p>
              </w:tc>
              <w:tc>
                <w:tcPr>
                  <w:tcW w:w="1192" w:type="dxa"/>
                </w:tcPr>
                <w:p w14:paraId="3358420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w:t>
                  </w:r>
                </w:p>
              </w:tc>
              <w:tc>
                <w:tcPr>
                  <w:tcW w:w="1193" w:type="dxa"/>
                </w:tcPr>
                <w:p w14:paraId="5BEA43E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390</w:t>
                  </w:r>
                </w:p>
              </w:tc>
              <w:tc>
                <w:tcPr>
                  <w:tcW w:w="1192" w:type="dxa"/>
                </w:tcPr>
                <w:p w14:paraId="453B358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480</w:t>
                  </w:r>
                </w:p>
              </w:tc>
              <w:tc>
                <w:tcPr>
                  <w:tcW w:w="1193" w:type="dxa"/>
                </w:tcPr>
                <w:p w14:paraId="0B8162A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575</w:t>
                  </w:r>
                </w:p>
              </w:tc>
            </w:tr>
            <w:tr w:rsidR="006E50FF" w:rsidRPr="006E50FF" w14:paraId="3716A33E" w14:textId="77777777" w:rsidTr="0088638B">
              <w:trPr>
                <w:trHeight w:val="184"/>
                <w:jc w:val="center"/>
              </w:trPr>
              <w:tc>
                <w:tcPr>
                  <w:tcW w:w="2004" w:type="dxa"/>
                </w:tcPr>
                <w:p w14:paraId="132926B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6</w:t>
                  </w:r>
                </w:p>
              </w:tc>
              <w:tc>
                <w:tcPr>
                  <w:tcW w:w="1192" w:type="dxa"/>
                </w:tcPr>
                <w:p w14:paraId="2CBFBB9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w:t>
                  </w:r>
                </w:p>
              </w:tc>
              <w:tc>
                <w:tcPr>
                  <w:tcW w:w="1193" w:type="dxa"/>
                </w:tcPr>
                <w:p w14:paraId="528B3EC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700</w:t>
                  </w:r>
                </w:p>
              </w:tc>
              <w:tc>
                <w:tcPr>
                  <w:tcW w:w="1192" w:type="dxa"/>
                </w:tcPr>
                <w:p w14:paraId="42F5473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840</w:t>
                  </w:r>
                </w:p>
              </w:tc>
              <w:tc>
                <w:tcPr>
                  <w:tcW w:w="1193" w:type="dxa"/>
                </w:tcPr>
                <w:p w14:paraId="56B9F5C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1,000</w:t>
                  </w:r>
                </w:p>
              </w:tc>
            </w:tr>
            <w:tr w:rsidR="006E50FF" w:rsidRPr="006E50FF" w14:paraId="10F8CC62" w14:textId="77777777" w:rsidTr="0088638B">
              <w:trPr>
                <w:trHeight w:val="184"/>
                <w:jc w:val="center"/>
              </w:trPr>
              <w:tc>
                <w:tcPr>
                  <w:tcW w:w="2004" w:type="dxa"/>
                </w:tcPr>
                <w:p w14:paraId="7A81541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8</w:t>
                  </w:r>
                </w:p>
              </w:tc>
              <w:tc>
                <w:tcPr>
                  <w:tcW w:w="1192" w:type="dxa"/>
                </w:tcPr>
                <w:p w14:paraId="4E83FD0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1,400</w:t>
                  </w:r>
                </w:p>
              </w:tc>
              <w:tc>
                <w:tcPr>
                  <w:tcW w:w="1193" w:type="dxa"/>
                </w:tcPr>
                <w:p w14:paraId="388DD29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1,600</w:t>
                  </w:r>
                </w:p>
              </w:tc>
              <w:tc>
                <w:tcPr>
                  <w:tcW w:w="1192" w:type="dxa"/>
                </w:tcPr>
                <w:p w14:paraId="33D4289F"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1,920</w:t>
                  </w:r>
                </w:p>
              </w:tc>
              <w:tc>
                <w:tcPr>
                  <w:tcW w:w="1193" w:type="dxa"/>
                </w:tcPr>
                <w:p w14:paraId="6D271FB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2,300</w:t>
                  </w:r>
                </w:p>
              </w:tc>
            </w:tr>
            <w:tr w:rsidR="006E50FF" w:rsidRPr="006E50FF" w14:paraId="519D614E" w14:textId="77777777" w:rsidTr="0088638B">
              <w:trPr>
                <w:trHeight w:val="184"/>
                <w:jc w:val="center"/>
              </w:trPr>
              <w:tc>
                <w:tcPr>
                  <w:tcW w:w="2004" w:type="dxa"/>
                </w:tcPr>
                <w:p w14:paraId="33C58CD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10</w:t>
                  </w:r>
                </w:p>
              </w:tc>
              <w:tc>
                <w:tcPr>
                  <w:tcW w:w="1192" w:type="dxa"/>
                </w:tcPr>
                <w:p w14:paraId="3CB9DC2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2,500</w:t>
                  </w:r>
                </w:p>
              </w:tc>
              <w:tc>
                <w:tcPr>
                  <w:tcW w:w="1193" w:type="dxa"/>
                </w:tcPr>
                <w:p w14:paraId="413F337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2,900</w:t>
                  </w:r>
                </w:p>
              </w:tc>
              <w:tc>
                <w:tcPr>
                  <w:tcW w:w="1192" w:type="dxa"/>
                </w:tcPr>
                <w:p w14:paraId="30A5FC4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3,500</w:t>
                  </w:r>
                </w:p>
              </w:tc>
              <w:tc>
                <w:tcPr>
                  <w:tcW w:w="1193" w:type="dxa"/>
                </w:tcPr>
                <w:p w14:paraId="6ACCE5E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4,200</w:t>
                  </w:r>
                </w:p>
              </w:tc>
            </w:tr>
            <w:tr w:rsidR="006E50FF" w:rsidRPr="006E50FF" w14:paraId="6F78656E" w14:textId="77777777" w:rsidTr="0088638B">
              <w:trPr>
                <w:trHeight w:val="184"/>
                <w:jc w:val="center"/>
              </w:trPr>
              <w:tc>
                <w:tcPr>
                  <w:tcW w:w="2004" w:type="dxa"/>
                </w:tcPr>
                <w:p w14:paraId="1DAACDC5"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12</w:t>
                  </w:r>
                </w:p>
              </w:tc>
              <w:tc>
                <w:tcPr>
                  <w:tcW w:w="1192" w:type="dxa"/>
                </w:tcPr>
                <w:p w14:paraId="3CA4CFA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3,900</w:t>
                  </w:r>
                </w:p>
              </w:tc>
              <w:tc>
                <w:tcPr>
                  <w:tcW w:w="1193" w:type="dxa"/>
                </w:tcPr>
                <w:p w14:paraId="19BE8E9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4,600</w:t>
                  </w:r>
                </w:p>
              </w:tc>
              <w:tc>
                <w:tcPr>
                  <w:tcW w:w="1192" w:type="dxa"/>
                </w:tcPr>
                <w:p w14:paraId="3E70D95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5,600</w:t>
                  </w:r>
                </w:p>
              </w:tc>
              <w:tc>
                <w:tcPr>
                  <w:tcW w:w="1193" w:type="dxa"/>
                </w:tcPr>
                <w:p w14:paraId="0A4E0DE9"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6,700</w:t>
                  </w:r>
                </w:p>
              </w:tc>
            </w:tr>
            <w:tr w:rsidR="006E50FF" w:rsidRPr="006E50FF" w14:paraId="2AE03F59" w14:textId="77777777" w:rsidTr="0088638B">
              <w:trPr>
                <w:trHeight w:val="184"/>
                <w:jc w:val="center"/>
              </w:trPr>
              <w:tc>
                <w:tcPr>
                  <w:tcW w:w="2004" w:type="dxa"/>
                </w:tcPr>
                <w:p w14:paraId="78D8193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15</w:t>
                  </w:r>
                </w:p>
              </w:tc>
              <w:tc>
                <w:tcPr>
                  <w:tcW w:w="1192" w:type="dxa"/>
                </w:tcPr>
                <w:p w14:paraId="154CD86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7,000</w:t>
                  </w:r>
                </w:p>
              </w:tc>
              <w:tc>
                <w:tcPr>
                  <w:tcW w:w="1193" w:type="dxa"/>
                </w:tcPr>
                <w:p w14:paraId="4016DDE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8,300</w:t>
                  </w:r>
                </w:p>
              </w:tc>
              <w:tc>
                <w:tcPr>
                  <w:tcW w:w="1192" w:type="dxa"/>
                </w:tcPr>
                <w:p w14:paraId="484AE13F"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10,000</w:t>
                  </w:r>
                </w:p>
              </w:tc>
              <w:tc>
                <w:tcPr>
                  <w:tcW w:w="1193" w:type="dxa"/>
                </w:tcPr>
                <w:p w14:paraId="7BB005E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12,000</w:t>
                  </w:r>
                </w:p>
              </w:tc>
            </w:tr>
          </w:tbl>
          <w:p w14:paraId="77EB02AF" w14:textId="77777777" w:rsidR="006E50FF" w:rsidRPr="006E50FF" w:rsidRDefault="006E50FF" w:rsidP="006E50FF">
            <w:pPr>
              <w:ind w:right="90"/>
              <w:rPr>
                <w:rFonts w:eastAsia="Aptos"/>
                <w:kern w:val="2"/>
                <w:sz w:val="16"/>
                <w:szCs w:val="16"/>
              </w:rPr>
            </w:pPr>
          </w:p>
          <w:p w14:paraId="0DD2ED1C" w14:textId="77777777" w:rsidR="006E50FF" w:rsidRPr="006E50FF" w:rsidRDefault="006E50FF" w:rsidP="006E50FF">
            <w:pPr>
              <w:widowControl w:val="0"/>
              <w:autoSpaceDE w:val="0"/>
              <w:autoSpaceDN w:val="0"/>
              <w:ind w:left="91" w:right="90"/>
              <w:rPr>
                <w:sz w:val="16"/>
                <w:szCs w:val="16"/>
              </w:rPr>
            </w:pPr>
            <w:r w:rsidRPr="006E50FF">
              <w:rPr>
                <w:sz w:val="16"/>
                <w:szCs w:val="16"/>
              </w:rPr>
              <w:t>For</w:t>
            </w:r>
            <w:r w:rsidRPr="006E50FF">
              <w:rPr>
                <w:spacing w:val="-4"/>
                <w:sz w:val="16"/>
                <w:szCs w:val="16"/>
              </w:rPr>
              <w:t xml:space="preserve"> </w:t>
            </w:r>
            <w:r w:rsidRPr="006E50FF">
              <w:rPr>
                <w:sz w:val="16"/>
                <w:szCs w:val="16"/>
              </w:rPr>
              <w:t>SI:</w:t>
            </w:r>
            <w:r w:rsidRPr="006E50FF">
              <w:rPr>
                <w:spacing w:val="-3"/>
                <w:sz w:val="16"/>
                <w:szCs w:val="16"/>
              </w:rPr>
              <w:t xml:space="preserve"> </w:t>
            </w:r>
            <w:r w:rsidRPr="006E50FF">
              <w:rPr>
                <w:sz w:val="16"/>
                <w:szCs w:val="16"/>
              </w:rPr>
              <w:t>1</w:t>
            </w:r>
            <w:r w:rsidRPr="006E50FF">
              <w:rPr>
                <w:spacing w:val="-2"/>
                <w:sz w:val="16"/>
                <w:szCs w:val="16"/>
              </w:rPr>
              <w:t xml:space="preserve"> </w:t>
            </w:r>
            <w:r w:rsidRPr="006E50FF">
              <w:rPr>
                <w:sz w:val="16"/>
                <w:szCs w:val="16"/>
              </w:rPr>
              <w:t>inch</w:t>
            </w:r>
            <w:r w:rsidRPr="006E50FF">
              <w:rPr>
                <w:spacing w:val="-3"/>
                <w:sz w:val="16"/>
                <w:szCs w:val="16"/>
              </w:rPr>
              <w:t xml:space="preserve"> </w:t>
            </w:r>
            <w:r w:rsidRPr="006E50FF">
              <w:rPr>
                <w:sz w:val="16"/>
                <w:szCs w:val="16"/>
              </w:rPr>
              <w:t>=</w:t>
            </w:r>
            <w:r w:rsidRPr="006E50FF">
              <w:rPr>
                <w:spacing w:val="-4"/>
                <w:sz w:val="16"/>
                <w:szCs w:val="16"/>
              </w:rPr>
              <w:t xml:space="preserve"> </w:t>
            </w:r>
            <w:r w:rsidRPr="006E50FF">
              <w:rPr>
                <w:sz w:val="16"/>
                <w:szCs w:val="16"/>
              </w:rPr>
              <w:t>25.4</w:t>
            </w:r>
            <w:r w:rsidRPr="006E50FF">
              <w:rPr>
                <w:spacing w:val="-2"/>
                <w:sz w:val="16"/>
                <w:szCs w:val="16"/>
              </w:rPr>
              <w:t xml:space="preserve"> </w:t>
            </w:r>
            <w:r w:rsidRPr="006E50FF">
              <w:rPr>
                <w:sz w:val="16"/>
                <w:szCs w:val="16"/>
              </w:rPr>
              <w:t>mm,</w:t>
            </w:r>
            <w:r w:rsidRPr="006E50FF">
              <w:rPr>
                <w:spacing w:val="-4"/>
                <w:sz w:val="16"/>
                <w:szCs w:val="16"/>
              </w:rPr>
              <w:t xml:space="preserve"> </w:t>
            </w:r>
            <w:r w:rsidRPr="006E50FF">
              <w:rPr>
                <w:sz w:val="16"/>
                <w:szCs w:val="16"/>
              </w:rPr>
              <w:t>1</w:t>
            </w:r>
            <w:r w:rsidRPr="006E50FF">
              <w:rPr>
                <w:spacing w:val="-4"/>
                <w:sz w:val="16"/>
                <w:szCs w:val="16"/>
              </w:rPr>
              <w:t xml:space="preserve"> </w:t>
            </w:r>
            <w:r w:rsidRPr="006E50FF">
              <w:rPr>
                <w:sz w:val="16"/>
                <w:szCs w:val="16"/>
              </w:rPr>
              <w:t>inch</w:t>
            </w:r>
            <w:r w:rsidRPr="006E50FF">
              <w:rPr>
                <w:spacing w:val="-3"/>
                <w:sz w:val="16"/>
                <w:szCs w:val="16"/>
              </w:rPr>
              <w:t xml:space="preserve"> </w:t>
            </w:r>
            <w:r w:rsidRPr="006E50FF">
              <w:rPr>
                <w:sz w:val="16"/>
                <w:szCs w:val="16"/>
              </w:rPr>
              <w:t>per</w:t>
            </w:r>
            <w:r w:rsidRPr="006E50FF">
              <w:rPr>
                <w:spacing w:val="-3"/>
                <w:sz w:val="16"/>
                <w:szCs w:val="16"/>
              </w:rPr>
              <w:t xml:space="preserve"> </w:t>
            </w:r>
            <w:r w:rsidRPr="006E50FF">
              <w:rPr>
                <w:sz w:val="16"/>
                <w:szCs w:val="16"/>
              </w:rPr>
              <w:t>foot</w:t>
            </w:r>
            <w:r w:rsidRPr="006E50FF">
              <w:rPr>
                <w:spacing w:val="-2"/>
                <w:sz w:val="16"/>
                <w:szCs w:val="16"/>
              </w:rPr>
              <w:t xml:space="preserve"> </w:t>
            </w:r>
            <w:r w:rsidRPr="006E50FF">
              <w:rPr>
                <w:sz w:val="16"/>
                <w:szCs w:val="16"/>
              </w:rPr>
              <w:t>=</w:t>
            </w:r>
            <w:r w:rsidRPr="006E50FF">
              <w:rPr>
                <w:spacing w:val="-4"/>
                <w:sz w:val="16"/>
                <w:szCs w:val="16"/>
              </w:rPr>
              <w:t xml:space="preserve"> </w:t>
            </w:r>
            <w:r w:rsidRPr="006E50FF">
              <w:rPr>
                <w:sz w:val="16"/>
                <w:szCs w:val="16"/>
              </w:rPr>
              <w:t>83.3</w:t>
            </w:r>
            <w:r w:rsidRPr="006E50FF">
              <w:rPr>
                <w:spacing w:val="-3"/>
                <w:sz w:val="16"/>
                <w:szCs w:val="16"/>
              </w:rPr>
              <w:t xml:space="preserve"> </w:t>
            </w:r>
            <w:r w:rsidRPr="006E50FF">
              <w:rPr>
                <w:spacing w:val="-4"/>
                <w:sz w:val="16"/>
                <w:szCs w:val="16"/>
              </w:rPr>
              <w:t>mm/m.</w:t>
            </w:r>
          </w:p>
          <w:p w14:paraId="6FDF169F" w14:textId="77777777" w:rsidR="006E50FF" w:rsidRPr="006E50FF" w:rsidRDefault="006E50FF" w:rsidP="006E50FF">
            <w:pPr>
              <w:ind w:left="91" w:right="90"/>
              <w:rPr>
                <w:rFonts w:eastAsia="Aptos"/>
                <w:kern w:val="2"/>
                <w:sz w:val="16"/>
                <w:szCs w:val="16"/>
              </w:rPr>
            </w:pPr>
            <w:r w:rsidRPr="006E50FF">
              <w:rPr>
                <w:sz w:val="16"/>
                <w:szCs w:val="16"/>
                <w:vertAlign w:val="superscript"/>
              </w:rPr>
              <w:t>a</w:t>
            </w:r>
            <w:r w:rsidRPr="006E50FF">
              <w:rPr>
                <w:spacing w:val="-2"/>
                <w:sz w:val="16"/>
                <w:szCs w:val="16"/>
              </w:rPr>
              <w:t xml:space="preserve"> </w:t>
            </w:r>
            <w:r w:rsidRPr="006E50FF">
              <w:rPr>
                <w:sz w:val="16"/>
                <w:szCs w:val="16"/>
              </w:rPr>
              <w:t>The</w:t>
            </w:r>
            <w:r w:rsidRPr="006E50FF">
              <w:rPr>
                <w:spacing w:val="-5"/>
                <w:sz w:val="16"/>
                <w:szCs w:val="16"/>
              </w:rPr>
              <w:t xml:space="preserve"> </w:t>
            </w:r>
            <w:r w:rsidRPr="006E50FF">
              <w:rPr>
                <w:sz w:val="16"/>
                <w:szCs w:val="16"/>
              </w:rPr>
              <w:t>minimum</w:t>
            </w:r>
            <w:r w:rsidRPr="006E50FF">
              <w:rPr>
                <w:spacing w:val="-5"/>
                <w:sz w:val="16"/>
                <w:szCs w:val="16"/>
              </w:rPr>
              <w:t xml:space="preserve"> </w:t>
            </w:r>
            <w:r w:rsidRPr="006E50FF">
              <w:rPr>
                <w:sz w:val="16"/>
                <w:szCs w:val="16"/>
              </w:rPr>
              <w:t>size</w:t>
            </w:r>
            <w:r w:rsidRPr="006E50FF">
              <w:rPr>
                <w:spacing w:val="-5"/>
                <w:sz w:val="16"/>
                <w:szCs w:val="16"/>
              </w:rPr>
              <w:t xml:space="preserve"> </w:t>
            </w:r>
            <w:r w:rsidRPr="006E50FF">
              <w:rPr>
                <w:sz w:val="16"/>
                <w:szCs w:val="16"/>
              </w:rPr>
              <w:t>of</w:t>
            </w:r>
            <w:r w:rsidRPr="006E50FF">
              <w:rPr>
                <w:spacing w:val="-3"/>
                <w:sz w:val="16"/>
                <w:szCs w:val="16"/>
              </w:rPr>
              <w:t xml:space="preserve"> </w:t>
            </w:r>
            <w:r w:rsidRPr="006E50FF">
              <w:rPr>
                <w:sz w:val="16"/>
                <w:szCs w:val="16"/>
              </w:rPr>
              <w:t>any</w:t>
            </w:r>
            <w:r w:rsidRPr="006E50FF">
              <w:rPr>
                <w:spacing w:val="-6"/>
                <w:sz w:val="16"/>
                <w:szCs w:val="16"/>
              </w:rPr>
              <w:t xml:space="preserve"> </w:t>
            </w:r>
            <w:r w:rsidRPr="006E50FF">
              <w:rPr>
                <w:sz w:val="16"/>
                <w:szCs w:val="16"/>
              </w:rPr>
              <w:t>building</w:t>
            </w:r>
            <w:r w:rsidRPr="006E50FF">
              <w:rPr>
                <w:spacing w:val="-6"/>
                <w:sz w:val="16"/>
                <w:szCs w:val="16"/>
              </w:rPr>
              <w:t xml:space="preserve"> </w:t>
            </w:r>
            <w:r w:rsidRPr="006E50FF">
              <w:rPr>
                <w:sz w:val="16"/>
                <w:szCs w:val="16"/>
              </w:rPr>
              <w:t>drain</w:t>
            </w:r>
            <w:r w:rsidRPr="006E50FF">
              <w:rPr>
                <w:spacing w:val="-3"/>
                <w:sz w:val="16"/>
                <w:szCs w:val="16"/>
              </w:rPr>
              <w:t xml:space="preserve"> </w:t>
            </w:r>
            <w:r w:rsidRPr="006E50FF">
              <w:rPr>
                <w:sz w:val="16"/>
                <w:szCs w:val="16"/>
              </w:rPr>
              <w:t>serving</w:t>
            </w:r>
            <w:r w:rsidRPr="006E50FF">
              <w:rPr>
                <w:spacing w:val="-4"/>
                <w:sz w:val="16"/>
                <w:szCs w:val="16"/>
              </w:rPr>
              <w:t xml:space="preserve"> </w:t>
            </w:r>
            <w:r w:rsidRPr="006E50FF">
              <w:rPr>
                <w:sz w:val="16"/>
                <w:szCs w:val="16"/>
              </w:rPr>
              <w:t>a</w:t>
            </w:r>
            <w:r w:rsidRPr="006E50FF">
              <w:rPr>
                <w:spacing w:val="-2"/>
                <w:sz w:val="16"/>
                <w:szCs w:val="16"/>
              </w:rPr>
              <w:t xml:space="preserve"> </w:t>
            </w:r>
            <w:r w:rsidRPr="006E50FF">
              <w:rPr>
                <w:sz w:val="16"/>
                <w:szCs w:val="16"/>
              </w:rPr>
              <w:t>water</w:t>
            </w:r>
            <w:r w:rsidRPr="006E50FF">
              <w:rPr>
                <w:spacing w:val="-4"/>
                <w:sz w:val="16"/>
                <w:szCs w:val="16"/>
              </w:rPr>
              <w:t xml:space="preserve"> </w:t>
            </w:r>
            <w:r w:rsidRPr="006E50FF">
              <w:rPr>
                <w:sz w:val="16"/>
                <w:szCs w:val="16"/>
              </w:rPr>
              <w:t>closet</w:t>
            </w:r>
            <w:r w:rsidRPr="006E50FF">
              <w:rPr>
                <w:spacing w:val="-2"/>
                <w:sz w:val="16"/>
                <w:szCs w:val="16"/>
              </w:rPr>
              <w:t xml:space="preserve"> </w:t>
            </w:r>
            <w:r w:rsidRPr="006E50FF">
              <w:rPr>
                <w:sz w:val="16"/>
                <w:szCs w:val="16"/>
              </w:rPr>
              <w:t>shall</w:t>
            </w:r>
            <w:r w:rsidRPr="006E50FF">
              <w:rPr>
                <w:spacing w:val="-4"/>
                <w:sz w:val="16"/>
                <w:szCs w:val="16"/>
              </w:rPr>
              <w:t xml:space="preserve"> </w:t>
            </w:r>
            <w:r w:rsidRPr="006E50FF">
              <w:rPr>
                <w:sz w:val="16"/>
                <w:szCs w:val="16"/>
              </w:rPr>
              <w:t>be</w:t>
            </w:r>
            <w:r w:rsidRPr="006E50FF">
              <w:rPr>
                <w:spacing w:val="-4"/>
                <w:sz w:val="16"/>
                <w:szCs w:val="16"/>
              </w:rPr>
              <w:t xml:space="preserve"> </w:t>
            </w:r>
            <w:r w:rsidRPr="006E50FF">
              <w:rPr>
                <w:sz w:val="16"/>
                <w:szCs w:val="16"/>
              </w:rPr>
              <w:t>3</w:t>
            </w:r>
            <w:r w:rsidRPr="006E50FF">
              <w:rPr>
                <w:spacing w:val="-4"/>
                <w:sz w:val="16"/>
                <w:szCs w:val="16"/>
              </w:rPr>
              <w:t xml:space="preserve"> </w:t>
            </w:r>
            <w:r w:rsidRPr="006E50FF">
              <w:rPr>
                <w:spacing w:val="-2"/>
                <w:sz w:val="16"/>
                <w:szCs w:val="16"/>
              </w:rPr>
              <w:t>inches.</w:t>
            </w:r>
          </w:p>
        </w:tc>
      </w:tr>
      <w:tr w:rsidR="006E50FF" w:rsidRPr="006E50FF" w14:paraId="06B5E579" w14:textId="77777777" w:rsidTr="0088638B">
        <w:trPr>
          <w:trHeight w:val="185"/>
        </w:trPr>
        <w:tc>
          <w:tcPr>
            <w:tcW w:w="10530" w:type="dxa"/>
            <w:gridSpan w:val="5"/>
            <w:tcBorders>
              <w:top w:val="single" w:sz="4" w:space="0" w:color="auto"/>
              <w:left w:val="single" w:sz="6" w:space="0" w:color="000000"/>
              <w:bottom w:val="single" w:sz="4" w:space="0" w:color="auto"/>
              <w:right w:val="single" w:sz="6" w:space="0" w:color="000000"/>
            </w:tcBorders>
          </w:tcPr>
          <w:p w14:paraId="61C9685F" w14:textId="77777777" w:rsidR="006E50FF" w:rsidRPr="006E50FF" w:rsidRDefault="006E50FF" w:rsidP="006E50FF">
            <w:pPr>
              <w:ind w:left="91" w:right="90"/>
              <w:rPr>
                <w:rFonts w:eastAsia="Aptos"/>
                <w:kern w:val="2"/>
                <w:sz w:val="16"/>
                <w:szCs w:val="16"/>
              </w:rPr>
            </w:pPr>
          </w:p>
        </w:tc>
      </w:tr>
      <w:tr w:rsidR="006E50FF" w:rsidRPr="006E50FF" w14:paraId="2534F84E" w14:textId="77777777" w:rsidTr="0088638B">
        <w:trPr>
          <w:trHeight w:val="134"/>
        </w:trPr>
        <w:tc>
          <w:tcPr>
            <w:tcW w:w="1072" w:type="dxa"/>
            <w:tcBorders>
              <w:top w:val="single" w:sz="4" w:space="0" w:color="auto"/>
              <w:left w:val="single" w:sz="4" w:space="0" w:color="auto"/>
              <w:bottom w:val="single" w:sz="4" w:space="0" w:color="auto"/>
              <w:right w:val="single" w:sz="4" w:space="0" w:color="auto"/>
            </w:tcBorders>
          </w:tcPr>
          <w:p w14:paraId="0B310816"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730FDF26" w14:textId="77777777" w:rsidR="006E50FF" w:rsidRPr="006E50FF" w:rsidRDefault="006E50FF" w:rsidP="006E50FF">
            <w:pPr>
              <w:ind w:left="91"/>
              <w:rPr>
                <w:rFonts w:eastAsia="Aptos"/>
                <w:kern w:val="2"/>
                <w:sz w:val="16"/>
                <w:szCs w:val="16"/>
              </w:rPr>
            </w:pPr>
            <w:r w:rsidRPr="006E50FF">
              <w:rPr>
                <w:rFonts w:eastAsia="Aptos"/>
                <w:kern w:val="2"/>
                <w:sz w:val="16"/>
                <w:szCs w:val="16"/>
              </w:rPr>
              <w:t>Table 710.1(2).</w:t>
            </w:r>
          </w:p>
        </w:tc>
        <w:tc>
          <w:tcPr>
            <w:tcW w:w="7043" w:type="dxa"/>
            <w:gridSpan w:val="2"/>
            <w:tcBorders>
              <w:top w:val="single" w:sz="4" w:space="0" w:color="auto"/>
              <w:left w:val="single" w:sz="4" w:space="0" w:color="auto"/>
              <w:bottom w:val="single" w:sz="4" w:space="0" w:color="auto"/>
              <w:right w:val="single" w:sz="4" w:space="0" w:color="auto"/>
            </w:tcBorders>
          </w:tcPr>
          <w:p w14:paraId="42F0A69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Table 710.1(2)—Horizontal Fixture Branches and Soil Stacksa.</w:t>
            </w:r>
          </w:p>
        </w:tc>
      </w:tr>
      <w:tr w:rsidR="006E50FF" w:rsidRPr="006E50FF" w14:paraId="5415ADF1" w14:textId="77777777" w:rsidTr="0088638B">
        <w:trPr>
          <w:trHeight w:val="185"/>
        </w:trPr>
        <w:tc>
          <w:tcPr>
            <w:tcW w:w="10530" w:type="dxa"/>
            <w:gridSpan w:val="5"/>
            <w:tcBorders>
              <w:top w:val="nil"/>
              <w:left w:val="single" w:sz="6" w:space="0" w:color="000000"/>
              <w:bottom w:val="single" w:sz="4" w:space="0" w:color="auto"/>
              <w:right w:val="single" w:sz="6" w:space="0" w:color="000000"/>
            </w:tcBorders>
          </w:tcPr>
          <w:p w14:paraId="7C269A4E" w14:textId="77777777" w:rsidR="006E50FF" w:rsidRPr="006E50FF" w:rsidRDefault="006E50FF" w:rsidP="006E50FF">
            <w:pPr>
              <w:widowControl w:val="0"/>
              <w:autoSpaceDE w:val="0"/>
              <w:autoSpaceDN w:val="0"/>
              <w:spacing w:before="1"/>
              <w:ind w:left="91" w:right="90"/>
              <w:rPr>
                <w:sz w:val="16"/>
                <w:szCs w:val="16"/>
              </w:rPr>
            </w:pPr>
          </w:p>
          <w:tbl>
            <w:tblPr>
              <w:tblW w:w="0" w:type="auto"/>
              <w:jc w:val="center"/>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339"/>
              <w:gridCol w:w="2657"/>
              <w:gridCol w:w="1800"/>
              <w:gridCol w:w="1711"/>
              <w:gridCol w:w="1566"/>
            </w:tblGrid>
            <w:tr w:rsidR="006E50FF" w:rsidRPr="006E50FF" w14:paraId="496F2FE2" w14:textId="77777777" w:rsidTr="0088638B">
              <w:trPr>
                <w:trHeight w:val="182"/>
                <w:tblHeader/>
                <w:jc w:val="center"/>
              </w:trPr>
              <w:tc>
                <w:tcPr>
                  <w:tcW w:w="1339" w:type="dxa"/>
                  <w:vMerge w:val="restart"/>
                  <w:tcBorders>
                    <w:bottom w:val="single" w:sz="6" w:space="0" w:color="000000"/>
                    <w:right w:val="single" w:sz="6" w:space="0" w:color="000000"/>
                  </w:tcBorders>
                  <w:shd w:val="clear" w:color="auto" w:fill="BEBEBE"/>
                </w:tcPr>
                <w:p w14:paraId="6FFA9799" w14:textId="77777777" w:rsidR="006E50FF" w:rsidRPr="006E50FF" w:rsidRDefault="006E50FF" w:rsidP="006E50FF">
                  <w:pPr>
                    <w:widowControl w:val="0"/>
                    <w:autoSpaceDE w:val="0"/>
                    <w:autoSpaceDN w:val="0"/>
                    <w:ind w:left="91" w:right="90"/>
                    <w:rPr>
                      <w:sz w:val="16"/>
                      <w:szCs w:val="16"/>
                    </w:rPr>
                  </w:pPr>
                </w:p>
                <w:p w14:paraId="7B96ACC2" w14:textId="77777777" w:rsidR="006E50FF" w:rsidRPr="006E50FF" w:rsidRDefault="006E50FF" w:rsidP="006E50FF">
                  <w:pPr>
                    <w:widowControl w:val="0"/>
                    <w:autoSpaceDE w:val="0"/>
                    <w:autoSpaceDN w:val="0"/>
                    <w:spacing w:before="13"/>
                    <w:ind w:left="91" w:right="90"/>
                    <w:rPr>
                      <w:sz w:val="16"/>
                      <w:szCs w:val="16"/>
                    </w:rPr>
                  </w:pPr>
                </w:p>
                <w:p w14:paraId="5E6E8922" w14:textId="77777777" w:rsidR="006E50FF" w:rsidRPr="006E50FF" w:rsidRDefault="006E50FF" w:rsidP="006E50FF">
                  <w:pPr>
                    <w:widowControl w:val="0"/>
                    <w:autoSpaceDE w:val="0"/>
                    <w:autoSpaceDN w:val="0"/>
                    <w:ind w:left="91" w:right="90"/>
                    <w:rPr>
                      <w:b/>
                      <w:sz w:val="16"/>
                      <w:szCs w:val="16"/>
                    </w:rPr>
                  </w:pPr>
                  <w:r w:rsidRPr="006E50FF">
                    <w:rPr>
                      <w:b/>
                      <w:sz w:val="16"/>
                      <w:szCs w:val="16"/>
                    </w:rPr>
                    <w:t>Diameter of</w:t>
                  </w:r>
                  <w:r w:rsidRPr="006E50FF">
                    <w:rPr>
                      <w:b/>
                      <w:spacing w:val="40"/>
                      <w:sz w:val="16"/>
                      <w:szCs w:val="16"/>
                    </w:rPr>
                    <w:t xml:space="preserve"> </w:t>
                  </w:r>
                  <w:r w:rsidRPr="006E50FF">
                    <w:rPr>
                      <w:b/>
                      <w:sz w:val="16"/>
                      <w:szCs w:val="16"/>
                    </w:rPr>
                    <w:t>Pipe (inches)</w:t>
                  </w:r>
                  <w:r w:rsidRPr="006E50FF">
                    <w:rPr>
                      <w:b/>
                      <w:spacing w:val="40"/>
                      <w:sz w:val="16"/>
                      <w:szCs w:val="16"/>
                    </w:rPr>
                    <w:t xml:space="preserve"> </w:t>
                  </w:r>
                  <w:r w:rsidRPr="006E50FF">
                    <w:rPr>
                      <w:b/>
                      <w:sz w:val="16"/>
                      <w:szCs w:val="16"/>
                    </w:rPr>
                    <w:t>(The</w:t>
                  </w:r>
                  <w:r w:rsidRPr="006E50FF">
                    <w:rPr>
                      <w:b/>
                      <w:spacing w:val="-10"/>
                      <w:sz w:val="16"/>
                      <w:szCs w:val="16"/>
                    </w:rPr>
                    <w:t xml:space="preserve"> </w:t>
                  </w:r>
                  <w:r w:rsidRPr="006E50FF">
                    <w:rPr>
                      <w:b/>
                      <w:sz w:val="16"/>
                      <w:szCs w:val="16"/>
                    </w:rPr>
                    <w:t>minimum</w:t>
                  </w:r>
                  <w:r w:rsidRPr="006E50FF">
                    <w:rPr>
                      <w:b/>
                      <w:spacing w:val="40"/>
                      <w:sz w:val="16"/>
                      <w:szCs w:val="16"/>
                    </w:rPr>
                    <w:t xml:space="preserve"> </w:t>
                  </w:r>
                  <w:r w:rsidRPr="006E50FF">
                    <w:rPr>
                      <w:b/>
                      <w:sz w:val="16"/>
                      <w:szCs w:val="16"/>
                    </w:rPr>
                    <w:t>size of any</w:t>
                  </w:r>
                  <w:r w:rsidRPr="006E50FF">
                    <w:rPr>
                      <w:b/>
                      <w:spacing w:val="40"/>
                      <w:sz w:val="16"/>
                      <w:szCs w:val="16"/>
                    </w:rPr>
                    <w:t xml:space="preserve"> </w:t>
                  </w:r>
                  <w:r w:rsidRPr="006E50FF">
                    <w:rPr>
                      <w:b/>
                      <w:sz w:val="16"/>
                      <w:szCs w:val="16"/>
                    </w:rPr>
                    <w:t>branch or soil</w:t>
                  </w:r>
                  <w:r w:rsidRPr="006E50FF">
                    <w:rPr>
                      <w:b/>
                      <w:spacing w:val="40"/>
                      <w:sz w:val="16"/>
                      <w:szCs w:val="16"/>
                    </w:rPr>
                    <w:t xml:space="preserve"> </w:t>
                  </w:r>
                  <w:r w:rsidRPr="006E50FF">
                    <w:rPr>
                      <w:b/>
                      <w:sz w:val="16"/>
                      <w:szCs w:val="16"/>
                    </w:rPr>
                    <w:t>stack</w:t>
                  </w:r>
                  <w:r w:rsidRPr="006E50FF">
                    <w:rPr>
                      <w:b/>
                      <w:spacing w:val="-10"/>
                      <w:sz w:val="16"/>
                      <w:szCs w:val="16"/>
                    </w:rPr>
                    <w:t xml:space="preserve"> </w:t>
                  </w:r>
                  <w:r w:rsidRPr="006E50FF">
                    <w:rPr>
                      <w:b/>
                      <w:sz w:val="16"/>
                      <w:szCs w:val="16"/>
                    </w:rPr>
                    <w:t>serving</w:t>
                  </w:r>
                  <w:r w:rsidRPr="006E50FF">
                    <w:rPr>
                      <w:b/>
                      <w:spacing w:val="-10"/>
                      <w:sz w:val="16"/>
                      <w:szCs w:val="16"/>
                    </w:rPr>
                    <w:t xml:space="preserve"> </w:t>
                  </w:r>
                  <w:r w:rsidRPr="006E50FF">
                    <w:rPr>
                      <w:b/>
                      <w:sz w:val="16"/>
                      <w:szCs w:val="16"/>
                    </w:rPr>
                    <w:t>a</w:t>
                  </w:r>
                  <w:r w:rsidRPr="006E50FF">
                    <w:rPr>
                      <w:b/>
                      <w:spacing w:val="40"/>
                      <w:sz w:val="16"/>
                      <w:szCs w:val="16"/>
                    </w:rPr>
                    <w:t xml:space="preserve"> </w:t>
                  </w:r>
                  <w:r w:rsidRPr="006E50FF">
                    <w:rPr>
                      <w:b/>
                      <w:sz w:val="16"/>
                      <w:szCs w:val="16"/>
                    </w:rPr>
                    <w:t>water</w:t>
                  </w:r>
                  <w:r w:rsidRPr="006E50FF">
                    <w:rPr>
                      <w:b/>
                      <w:spacing w:val="-5"/>
                      <w:sz w:val="16"/>
                      <w:szCs w:val="16"/>
                    </w:rPr>
                    <w:t xml:space="preserve"> </w:t>
                  </w:r>
                  <w:r w:rsidRPr="006E50FF">
                    <w:rPr>
                      <w:b/>
                      <w:sz w:val="16"/>
                      <w:szCs w:val="16"/>
                    </w:rPr>
                    <w:t>closet</w:t>
                  </w:r>
                </w:p>
                <w:p w14:paraId="518FC487" w14:textId="77777777" w:rsidR="006E50FF" w:rsidRPr="006E50FF" w:rsidRDefault="006E50FF" w:rsidP="006E50FF">
                  <w:pPr>
                    <w:widowControl w:val="0"/>
                    <w:autoSpaceDE w:val="0"/>
                    <w:autoSpaceDN w:val="0"/>
                    <w:spacing w:line="164" w:lineRule="exact"/>
                    <w:ind w:left="91" w:right="90"/>
                    <w:rPr>
                      <w:b/>
                      <w:sz w:val="16"/>
                      <w:szCs w:val="16"/>
                    </w:rPr>
                  </w:pPr>
                  <w:r w:rsidRPr="006E50FF">
                    <w:rPr>
                      <w:b/>
                      <w:sz w:val="16"/>
                      <w:szCs w:val="16"/>
                    </w:rPr>
                    <w:t>shall</w:t>
                  </w:r>
                  <w:r w:rsidRPr="006E50FF">
                    <w:rPr>
                      <w:b/>
                      <w:spacing w:val="-2"/>
                      <w:sz w:val="16"/>
                      <w:szCs w:val="16"/>
                    </w:rPr>
                    <w:t xml:space="preserve"> </w:t>
                  </w:r>
                  <w:r w:rsidRPr="006E50FF">
                    <w:rPr>
                      <w:b/>
                      <w:sz w:val="16"/>
                      <w:szCs w:val="16"/>
                    </w:rPr>
                    <w:t>be</w:t>
                  </w:r>
                  <w:r w:rsidRPr="006E50FF">
                    <w:rPr>
                      <w:b/>
                      <w:spacing w:val="-4"/>
                      <w:sz w:val="16"/>
                      <w:szCs w:val="16"/>
                    </w:rPr>
                    <w:t xml:space="preserve"> 3”.)</w:t>
                  </w:r>
                </w:p>
              </w:tc>
              <w:tc>
                <w:tcPr>
                  <w:tcW w:w="7734" w:type="dxa"/>
                  <w:gridSpan w:val="4"/>
                  <w:tcBorders>
                    <w:left w:val="single" w:sz="6" w:space="0" w:color="000000"/>
                    <w:bottom w:val="single" w:sz="6" w:space="0" w:color="000000"/>
                  </w:tcBorders>
                  <w:shd w:val="clear" w:color="auto" w:fill="BEBEBE"/>
                </w:tcPr>
                <w:p w14:paraId="13734D75" w14:textId="77777777" w:rsidR="006E50FF" w:rsidRPr="006E50FF" w:rsidRDefault="006E50FF" w:rsidP="006E50FF">
                  <w:pPr>
                    <w:widowControl w:val="0"/>
                    <w:autoSpaceDE w:val="0"/>
                    <w:autoSpaceDN w:val="0"/>
                    <w:spacing w:line="162" w:lineRule="exact"/>
                    <w:ind w:left="91" w:right="90"/>
                    <w:rPr>
                      <w:b/>
                      <w:sz w:val="16"/>
                      <w:szCs w:val="16"/>
                    </w:rPr>
                  </w:pPr>
                  <w:r w:rsidRPr="006E50FF">
                    <w:rPr>
                      <w:b/>
                      <w:sz w:val="16"/>
                      <w:szCs w:val="16"/>
                    </w:rPr>
                    <w:t>Maximum</w:t>
                  </w:r>
                  <w:r w:rsidRPr="006E50FF">
                    <w:rPr>
                      <w:b/>
                      <w:spacing w:val="-9"/>
                      <w:sz w:val="16"/>
                      <w:szCs w:val="16"/>
                    </w:rPr>
                    <w:t xml:space="preserve"> </w:t>
                  </w:r>
                  <w:r w:rsidRPr="006E50FF">
                    <w:rPr>
                      <w:b/>
                      <w:sz w:val="16"/>
                      <w:szCs w:val="16"/>
                    </w:rPr>
                    <w:t>Number</w:t>
                  </w:r>
                  <w:r w:rsidRPr="006E50FF">
                    <w:rPr>
                      <w:b/>
                      <w:spacing w:val="-4"/>
                      <w:sz w:val="16"/>
                      <w:szCs w:val="16"/>
                    </w:rPr>
                    <w:t xml:space="preserve"> </w:t>
                  </w:r>
                  <w:r w:rsidRPr="006E50FF">
                    <w:rPr>
                      <w:b/>
                      <w:sz w:val="16"/>
                      <w:szCs w:val="16"/>
                    </w:rPr>
                    <w:t>of</w:t>
                  </w:r>
                  <w:r w:rsidRPr="006E50FF">
                    <w:rPr>
                      <w:b/>
                      <w:spacing w:val="-3"/>
                      <w:sz w:val="16"/>
                      <w:szCs w:val="16"/>
                    </w:rPr>
                    <w:t xml:space="preserve"> </w:t>
                  </w:r>
                  <w:r w:rsidRPr="006E50FF">
                    <w:rPr>
                      <w:b/>
                      <w:sz w:val="16"/>
                      <w:szCs w:val="16"/>
                    </w:rPr>
                    <w:t>Drainage</w:t>
                  </w:r>
                  <w:r w:rsidRPr="006E50FF">
                    <w:rPr>
                      <w:b/>
                      <w:spacing w:val="-7"/>
                      <w:sz w:val="16"/>
                      <w:szCs w:val="16"/>
                    </w:rPr>
                    <w:t xml:space="preserve"> </w:t>
                  </w:r>
                  <w:r w:rsidRPr="006E50FF">
                    <w:rPr>
                      <w:b/>
                      <w:sz w:val="16"/>
                      <w:szCs w:val="16"/>
                    </w:rPr>
                    <w:t>Fixture</w:t>
                  </w:r>
                  <w:r w:rsidRPr="006E50FF">
                    <w:rPr>
                      <w:b/>
                      <w:spacing w:val="-4"/>
                      <w:sz w:val="16"/>
                      <w:szCs w:val="16"/>
                    </w:rPr>
                    <w:t xml:space="preserve"> </w:t>
                  </w:r>
                  <w:r w:rsidRPr="006E50FF">
                    <w:rPr>
                      <w:b/>
                      <w:sz w:val="16"/>
                      <w:szCs w:val="16"/>
                    </w:rPr>
                    <w:t>Units</w:t>
                  </w:r>
                  <w:r w:rsidRPr="006E50FF">
                    <w:rPr>
                      <w:b/>
                      <w:spacing w:val="-4"/>
                      <w:sz w:val="16"/>
                      <w:szCs w:val="16"/>
                    </w:rPr>
                    <w:t xml:space="preserve"> (dfu)</w:t>
                  </w:r>
                </w:p>
              </w:tc>
            </w:tr>
            <w:tr w:rsidR="006E50FF" w:rsidRPr="006E50FF" w14:paraId="0B9F1A42" w14:textId="77777777" w:rsidTr="0088638B">
              <w:trPr>
                <w:trHeight w:val="184"/>
                <w:tblHeader/>
                <w:jc w:val="center"/>
              </w:trPr>
              <w:tc>
                <w:tcPr>
                  <w:tcW w:w="1339" w:type="dxa"/>
                  <w:vMerge/>
                  <w:tcBorders>
                    <w:top w:val="nil"/>
                    <w:bottom w:val="single" w:sz="6" w:space="0" w:color="000000"/>
                    <w:right w:val="single" w:sz="6" w:space="0" w:color="000000"/>
                  </w:tcBorders>
                  <w:shd w:val="clear" w:color="auto" w:fill="BEBEBE"/>
                </w:tcPr>
                <w:p w14:paraId="498CDBA6" w14:textId="77777777" w:rsidR="006E50FF" w:rsidRPr="006E50FF" w:rsidRDefault="006E50FF" w:rsidP="006E50FF">
                  <w:pPr>
                    <w:spacing w:line="278" w:lineRule="auto"/>
                    <w:ind w:left="91" w:right="90"/>
                    <w:rPr>
                      <w:rFonts w:eastAsia="Aptos"/>
                      <w:kern w:val="2"/>
                      <w:sz w:val="16"/>
                      <w:szCs w:val="16"/>
                    </w:rPr>
                  </w:pPr>
                </w:p>
              </w:tc>
              <w:tc>
                <w:tcPr>
                  <w:tcW w:w="2657" w:type="dxa"/>
                  <w:vMerge w:val="restart"/>
                  <w:tcBorders>
                    <w:top w:val="single" w:sz="6" w:space="0" w:color="000000"/>
                    <w:left w:val="single" w:sz="6" w:space="0" w:color="000000"/>
                    <w:bottom w:val="single" w:sz="6" w:space="0" w:color="000000"/>
                    <w:right w:val="single" w:sz="6" w:space="0" w:color="000000"/>
                  </w:tcBorders>
                  <w:shd w:val="clear" w:color="auto" w:fill="BEBEBE"/>
                </w:tcPr>
                <w:p w14:paraId="3BD35462" w14:textId="77777777" w:rsidR="006E50FF" w:rsidRPr="006E50FF" w:rsidRDefault="006E50FF" w:rsidP="006E50FF">
                  <w:pPr>
                    <w:widowControl w:val="0"/>
                    <w:autoSpaceDE w:val="0"/>
                    <w:autoSpaceDN w:val="0"/>
                    <w:ind w:left="91" w:right="90"/>
                    <w:rPr>
                      <w:b/>
                      <w:sz w:val="16"/>
                      <w:szCs w:val="16"/>
                    </w:rPr>
                  </w:pPr>
                  <w:r w:rsidRPr="006E50FF">
                    <w:rPr>
                      <w:b/>
                      <w:sz w:val="16"/>
                      <w:szCs w:val="16"/>
                    </w:rPr>
                    <w:t>Total for horizontal branch</w:t>
                  </w:r>
                  <w:r w:rsidRPr="006E50FF">
                    <w:rPr>
                      <w:b/>
                      <w:spacing w:val="40"/>
                      <w:sz w:val="16"/>
                      <w:szCs w:val="16"/>
                    </w:rPr>
                    <w:t xml:space="preserve"> </w:t>
                  </w:r>
                  <w:r w:rsidRPr="006E50FF">
                    <w:rPr>
                      <w:b/>
                      <w:sz w:val="16"/>
                      <w:szCs w:val="16"/>
                    </w:rPr>
                    <w:t>(Does</w:t>
                  </w:r>
                  <w:r w:rsidRPr="006E50FF">
                    <w:rPr>
                      <w:b/>
                      <w:spacing w:val="-7"/>
                      <w:sz w:val="16"/>
                      <w:szCs w:val="16"/>
                    </w:rPr>
                    <w:t xml:space="preserve"> </w:t>
                  </w:r>
                  <w:r w:rsidRPr="006E50FF">
                    <w:rPr>
                      <w:b/>
                      <w:sz w:val="16"/>
                      <w:szCs w:val="16"/>
                    </w:rPr>
                    <w:t>not</w:t>
                  </w:r>
                  <w:r w:rsidRPr="006E50FF">
                    <w:rPr>
                      <w:b/>
                      <w:spacing w:val="-8"/>
                      <w:sz w:val="16"/>
                      <w:szCs w:val="16"/>
                    </w:rPr>
                    <w:t xml:space="preserve"> </w:t>
                  </w:r>
                  <w:r w:rsidRPr="006E50FF">
                    <w:rPr>
                      <w:b/>
                      <w:sz w:val="16"/>
                      <w:szCs w:val="16"/>
                    </w:rPr>
                    <w:t>include</w:t>
                  </w:r>
                  <w:r w:rsidRPr="006E50FF">
                    <w:rPr>
                      <w:b/>
                      <w:spacing w:val="-9"/>
                      <w:sz w:val="16"/>
                      <w:szCs w:val="16"/>
                    </w:rPr>
                    <w:t xml:space="preserve"> </w:t>
                  </w:r>
                  <w:r w:rsidRPr="006E50FF">
                    <w:rPr>
                      <w:b/>
                      <w:sz w:val="16"/>
                      <w:szCs w:val="16"/>
                    </w:rPr>
                    <w:t>branches</w:t>
                  </w:r>
                  <w:r w:rsidRPr="006E50FF">
                    <w:rPr>
                      <w:b/>
                      <w:spacing w:val="-9"/>
                      <w:sz w:val="16"/>
                      <w:szCs w:val="16"/>
                    </w:rPr>
                    <w:t xml:space="preserve"> </w:t>
                  </w:r>
                  <w:r w:rsidRPr="006E50FF">
                    <w:rPr>
                      <w:b/>
                      <w:sz w:val="16"/>
                      <w:szCs w:val="16"/>
                    </w:rPr>
                    <w:t>of</w:t>
                  </w:r>
                  <w:r w:rsidRPr="006E50FF">
                    <w:rPr>
                      <w:b/>
                      <w:spacing w:val="-8"/>
                      <w:sz w:val="16"/>
                      <w:szCs w:val="16"/>
                    </w:rPr>
                    <w:t xml:space="preserve"> </w:t>
                  </w:r>
                  <w:r w:rsidRPr="006E50FF">
                    <w:rPr>
                      <w:b/>
                      <w:sz w:val="16"/>
                      <w:szCs w:val="16"/>
                    </w:rPr>
                    <w:t>the</w:t>
                  </w:r>
                </w:p>
                <w:p w14:paraId="35590EB7" w14:textId="77777777" w:rsidR="006E50FF" w:rsidRPr="006E50FF" w:rsidRDefault="006E50FF" w:rsidP="006E50FF">
                  <w:pPr>
                    <w:widowControl w:val="0"/>
                    <w:autoSpaceDE w:val="0"/>
                    <w:autoSpaceDN w:val="0"/>
                    <w:ind w:left="91" w:right="90"/>
                    <w:rPr>
                      <w:b/>
                      <w:sz w:val="16"/>
                      <w:szCs w:val="16"/>
                    </w:rPr>
                  </w:pPr>
                  <w:r w:rsidRPr="006E50FF">
                    <w:rPr>
                      <w:b/>
                      <w:sz w:val="16"/>
                      <w:szCs w:val="16"/>
                    </w:rPr>
                    <w:t>building</w:t>
                  </w:r>
                  <w:r w:rsidRPr="006E50FF">
                    <w:rPr>
                      <w:b/>
                      <w:spacing w:val="-7"/>
                      <w:sz w:val="16"/>
                      <w:szCs w:val="16"/>
                    </w:rPr>
                    <w:t xml:space="preserve"> </w:t>
                  </w:r>
                  <w:r w:rsidRPr="006E50FF">
                    <w:rPr>
                      <w:b/>
                      <w:sz w:val="16"/>
                      <w:szCs w:val="16"/>
                    </w:rPr>
                    <w:t>drain.</w:t>
                  </w:r>
                  <w:r w:rsidRPr="006E50FF">
                    <w:rPr>
                      <w:b/>
                      <w:spacing w:val="-7"/>
                      <w:sz w:val="16"/>
                      <w:szCs w:val="16"/>
                    </w:rPr>
                    <w:t xml:space="preserve"> </w:t>
                  </w:r>
                  <w:r w:rsidRPr="006E50FF">
                    <w:rPr>
                      <w:b/>
                      <w:sz w:val="16"/>
                      <w:szCs w:val="16"/>
                    </w:rPr>
                    <w:t>Use</w:t>
                  </w:r>
                  <w:r w:rsidRPr="006E50FF">
                    <w:rPr>
                      <w:b/>
                      <w:spacing w:val="-9"/>
                      <w:sz w:val="16"/>
                      <w:szCs w:val="16"/>
                    </w:rPr>
                    <w:t xml:space="preserve"> </w:t>
                  </w:r>
                  <w:r w:rsidRPr="006E50FF">
                    <w:rPr>
                      <w:b/>
                      <w:sz w:val="16"/>
                      <w:szCs w:val="16"/>
                    </w:rPr>
                    <w:t>50</w:t>
                  </w:r>
                  <w:r w:rsidRPr="006E50FF">
                    <w:rPr>
                      <w:b/>
                      <w:spacing w:val="-7"/>
                      <w:sz w:val="16"/>
                      <w:szCs w:val="16"/>
                    </w:rPr>
                    <w:t xml:space="preserve"> </w:t>
                  </w:r>
                  <w:r w:rsidRPr="006E50FF">
                    <w:rPr>
                      <w:b/>
                      <w:sz w:val="16"/>
                      <w:szCs w:val="16"/>
                    </w:rPr>
                    <w:t>percent</w:t>
                  </w:r>
                  <w:r w:rsidRPr="006E50FF">
                    <w:rPr>
                      <w:b/>
                      <w:spacing w:val="-10"/>
                      <w:sz w:val="16"/>
                      <w:szCs w:val="16"/>
                    </w:rPr>
                    <w:t xml:space="preserve"> </w:t>
                  </w:r>
                  <w:r w:rsidRPr="006E50FF">
                    <w:rPr>
                      <w:b/>
                      <w:sz w:val="16"/>
                      <w:szCs w:val="16"/>
                    </w:rPr>
                    <w:t>less</w:t>
                  </w:r>
                  <w:r w:rsidRPr="006E50FF">
                    <w:rPr>
                      <w:b/>
                      <w:spacing w:val="40"/>
                      <w:sz w:val="16"/>
                      <w:szCs w:val="16"/>
                    </w:rPr>
                    <w:t xml:space="preserve"> </w:t>
                  </w:r>
                  <w:r w:rsidRPr="006E50FF">
                    <w:rPr>
                      <w:b/>
                      <w:sz w:val="16"/>
                      <w:szCs w:val="16"/>
                    </w:rPr>
                    <w:t>dfu’s for any circuit or battery</w:t>
                  </w:r>
                  <w:r w:rsidRPr="006E50FF">
                    <w:rPr>
                      <w:b/>
                      <w:spacing w:val="40"/>
                      <w:sz w:val="16"/>
                      <w:szCs w:val="16"/>
                    </w:rPr>
                    <w:t xml:space="preserve"> </w:t>
                  </w:r>
                  <w:r w:rsidRPr="006E50FF">
                    <w:rPr>
                      <w:b/>
                      <w:sz w:val="16"/>
                      <w:szCs w:val="16"/>
                    </w:rPr>
                    <w:t>vented fixture branches, no size</w:t>
                  </w:r>
                  <w:r w:rsidRPr="006E50FF">
                    <w:rPr>
                      <w:b/>
                      <w:spacing w:val="40"/>
                      <w:sz w:val="16"/>
                      <w:szCs w:val="16"/>
                    </w:rPr>
                    <w:t xml:space="preserve"> </w:t>
                  </w:r>
                  <w:r w:rsidRPr="006E50FF">
                    <w:rPr>
                      <w:b/>
                      <w:sz w:val="16"/>
                      <w:szCs w:val="16"/>
                    </w:rPr>
                    <w:t>reduction permitted for circuit or</w:t>
                  </w:r>
                  <w:r w:rsidRPr="006E50FF">
                    <w:rPr>
                      <w:b/>
                      <w:spacing w:val="40"/>
                      <w:sz w:val="16"/>
                      <w:szCs w:val="16"/>
                    </w:rPr>
                    <w:t xml:space="preserve"> </w:t>
                  </w:r>
                  <w:r w:rsidRPr="006E50FF">
                    <w:rPr>
                      <w:b/>
                      <w:sz w:val="16"/>
                      <w:szCs w:val="16"/>
                    </w:rPr>
                    <w:t>battery vented branches</w:t>
                  </w:r>
                </w:p>
                <w:p w14:paraId="34965786"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throughout</w:t>
                  </w:r>
                  <w:r w:rsidRPr="006E50FF">
                    <w:rPr>
                      <w:b/>
                      <w:spacing w:val="-10"/>
                      <w:sz w:val="16"/>
                      <w:szCs w:val="16"/>
                    </w:rPr>
                    <w:t xml:space="preserve"> </w:t>
                  </w:r>
                  <w:r w:rsidRPr="006E50FF">
                    <w:rPr>
                      <w:b/>
                      <w:sz w:val="16"/>
                      <w:szCs w:val="16"/>
                    </w:rPr>
                    <w:t>the</w:t>
                  </w:r>
                  <w:r w:rsidRPr="006E50FF">
                    <w:rPr>
                      <w:b/>
                      <w:spacing w:val="-10"/>
                      <w:sz w:val="16"/>
                      <w:szCs w:val="16"/>
                    </w:rPr>
                    <w:t xml:space="preserve"> </w:t>
                  </w:r>
                  <w:r w:rsidRPr="006E50FF">
                    <w:rPr>
                      <w:b/>
                      <w:sz w:val="16"/>
                      <w:szCs w:val="16"/>
                    </w:rPr>
                    <w:t>entire</w:t>
                  </w:r>
                  <w:r w:rsidRPr="006E50FF">
                    <w:rPr>
                      <w:b/>
                      <w:spacing w:val="-10"/>
                      <w:sz w:val="16"/>
                      <w:szCs w:val="16"/>
                    </w:rPr>
                    <w:t xml:space="preserve"> </w:t>
                  </w:r>
                  <w:r w:rsidRPr="006E50FF">
                    <w:rPr>
                      <w:b/>
                      <w:sz w:val="16"/>
                      <w:szCs w:val="16"/>
                    </w:rPr>
                    <w:t>branch</w:t>
                  </w:r>
                  <w:r w:rsidRPr="006E50FF">
                    <w:rPr>
                      <w:b/>
                      <w:spacing w:val="40"/>
                      <w:sz w:val="16"/>
                      <w:szCs w:val="16"/>
                    </w:rPr>
                    <w:t xml:space="preserve"> </w:t>
                  </w:r>
                  <w:r w:rsidRPr="006E50FF">
                    <w:rPr>
                      <w:b/>
                      <w:spacing w:val="-2"/>
                      <w:sz w:val="16"/>
                      <w:szCs w:val="16"/>
                    </w:rPr>
                    <w:t>length.)</w:t>
                  </w:r>
                </w:p>
              </w:tc>
              <w:tc>
                <w:tcPr>
                  <w:tcW w:w="5077" w:type="dxa"/>
                  <w:gridSpan w:val="3"/>
                  <w:tcBorders>
                    <w:top w:val="single" w:sz="6" w:space="0" w:color="000000"/>
                    <w:left w:val="single" w:sz="6" w:space="0" w:color="000000"/>
                    <w:bottom w:val="single" w:sz="6" w:space="0" w:color="000000"/>
                  </w:tcBorders>
                  <w:shd w:val="clear" w:color="auto" w:fill="BEBEBE"/>
                </w:tcPr>
                <w:p w14:paraId="06A88FBE" w14:textId="77777777" w:rsidR="006E50FF" w:rsidRPr="006E50FF" w:rsidRDefault="006E50FF" w:rsidP="006E50FF">
                  <w:pPr>
                    <w:widowControl w:val="0"/>
                    <w:autoSpaceDE w:val="0"/>
                    <w:autoSpaceDN w:val="0"/>
                    <w:spacing w:line="164" w:lineRule="exact"/>
                    <w:ind w:left="91" w:right="90"/>
                    <w:rPr>
                      <w:b/>
                      <w:sz w:val="16"/>
                      <w:szCs w:val="16"/>
                    </w:rPr>
                  </w:pPr>
                  <w:r w:rsidRPr="006E50FF">
                    <w:rPr>
                      <w:b/>
                      <w:sz w:val="16"/>
                      <w:szCs w:val="16"/>
                    </w:rPr>
                    <w:t>Soil</w:t>
                  </w:r>
                  <w:r w:rsidRPr="006E50FF">
                    <w:rPr>
                      <w:b/>
                      <w:spacing w:val="-2"/>
                      <w:sz w:val="16"/>
                      <w:szCs w:val="16"/>
                    </w:rPr>
                    <w:t xml:space="preserve"> Stacks</w:t>
                  </w:r>
                  <w:r w:rsidRPr="006E50FF">
                    <w:rPr>
                      <w:b/>
                      <w:spacing w:val="-2"/>
                      <w:sz w:val="16"/>
                      <w:szCs w:val="16"/>
                      <w:vertAlign w:val="superscript"/>
                    </w:rPr>
                    <w:t>b</w:t>
                  </w:r>
                </w:p>
              </w:tc>
            </w:tr>
            <w:tr w:rsidR="006E50FF" w:rsidRPr="006E50FF" w14:paraId="678586D1" w14:textId="77777777" w:rsidTr="0088638B">
              <w:trPr>
                <w:trHeight w:val="1456"/>
                <w:tblHeader/>
                <w:jc w:val="center"/>
              </w:trPr>
              <w:tc>
                <w:tcPr>
                  <w:tcW w:w="1339" w:type="dxa"/>
                  <w:vMerge/>
                  <w:tcBorders>
                    <w:top w:val="nil"/>
                    <w:bottom w:val="single" w:sz="6" w:space="0" w:color="000000"/>
                    <w:right w:val="single" w:sz="6" w:space="0" w:color="000000"/>
                  </w:tcBorders>
                  <w:shd w:val="clear" w:color="auto" w:fill="BEBEBE"/>
                </w:tcPr>
                <w:p w14:paraId="71BF0C39" w14:textId="77777777" w:rsidR="006E50FF" w:rsidRPr="006E50FF" w:rsidRDefault="006E50FF" w:rsidP="006E50FF">
                  <w:pPr>
                    <w:spacing w:line="278" w:lineRule="auto"/>
                    <w:ind w:left="91" w:right="90"/>
                    <w:rPr>
                      <w:rFonts w:eastAsia="Aptos"/>
                      <w:kern w:val="2"/>
                      <w:sz w:val="16"/>
                      <w:szCs w:val="16"/>
                    </w:rPr>
                  </w:pPr>
                </w:p>
              </w:tc>
              <w:tc>
                <w:tcPr>
                  <w:tcW w:w="2657" w:type="dxa"/>
                  <w:vMerge/>
                  <w:tcBorders>
                    <w:top w:val="nil"/>
                    <w:left w:val="single" w:sz="6" w:space="0" w:color="000000"/>
                    <w:bottom w:val="single" w:sz="6" w:space="0" w:color="000000"/>
                    <w:right w:val="single" w:sz="6" w:space="0" w:color="000000"/>
                  </w:tcBorders>
                  <w:shd w:val="clear" w:color="auto" w:fill="BEBEBE"/>
                </w:tcPr>
                <w:p w14:paraId="4944D407" w14:textId="77777777" w:rsidR="006E50FF" w:rsidRPr="006E50FF" w:rsidRDefault="006E50FF" w:rsidP="006E50FF">
                  <w:pPr>
                    <w:spacing w:line="278" w:lineRule="auto"/>
                    <w:ind w:left="91" w:right="90"/>
                    <w:rPr>
                      <w:rFonts w:eastAsia="Aptos"/>
                      <w:kern w:val="2"/>
                      <w:sz w:val="16"/>
                      <w:szCs w:val="16"/>
                    </w:rPr>
                  </w:pPr>
                </w:p>
              </w:tc>
              <w:tc>
                <w:tcPr>
                  <w:tcW w:w="1800" w:type="dxa"/>
                  <w:tcBorders>
                    <w:top w:val="single" w:sz="6" w:space="0" w:color="000000"/>
                    <w:left w:val="single" w:sz="6" w:space="0" w:color="000000"/>
                    <w:bottom w:val="single" w:sz="6" w:space="0" w:color="000000"/>
                    <w:right w:val="single" w:sz="6" w:space="0" w:color="000000"/>
                  </w:tcBorders>
                  <w:shd w:val="clear" w:color="auto" w:fill="BEBEBE"/>
                </w:tcPr>
                <w:p w14:paraId="7086EAFB" w14:textId="77777777" w:rsidR="006E50FF" w:rsidRPr="006E50FF" w:rsidRDefault="006E50FF" w:rsidP="006E50FF">
                  <w:pPr>
                    <w:widowControl w:val="0"/>
                    <w:autoSpaceDE w:val="0"/>
                    <w:autoSpaceDN w:val="0"/>
                    <w:ind w:left="91" w:right="90"/>
                    <w:rPr>
                      <w:sz w:val="16"/>
                      <w:szCs w:val="16"/>
                    </w:rPr>
                  </w:pPr>
                </w:p>
                <w:p w14:paraId="02F1823E" w14:textId="77777777" w:rsidR="006E50FF" w:rsidRPr="006E50FF" w:rsidRDefault="006E50FF" w:rsidP="006E50FF">
                  <w:pPr>
                    <w:widowControl w:val="0"/>
                    <w:autoSpaceDE w:val="0"/>
                    <w:autoSpaceDN w:val="0"/>
                    <w:ind w:left="91" w:right="90"/>
                    <w:rPr>
                      <w:sz w:val="16"/>
                      <w:szCs w:val="16"/>
                    </w:rPr>
                  </w:pPr>
                </w:p>
                <w:p w14:paraId="061E3D19" w14:textId="77777777" w:rsidR="006E50FF" w:rsidRPr="006E50FF" w:rsidRDefault="006E50FF" w:rsidP="006E50FF">
                  <w:pPr>
                    <w:widowControl w:val="0"/>
                    <w:autoSpaceDE w:val="0"/>
                    <w:autoSpaceDN w:val="0"/>
                    <w:spacing w:before="167"/>
                    <w:ind w:left="91" w:right="90"/>
                    <w:rPr>
                      <w:sz w:val="16"/>
                      <w:szCs w:val="16"/>
                    </w:rPr>
                  </w:pPr>
                </w:p>
                <w:p w14:paraId="511AA0E1" w14:textId="77777777" w:rsidR="006E50FF" w:rsidRPr="006E50FF" w:rsidRDefault="006E50FF" w:rsidP="006E50FF">
                  <w:pPr>
                    <w:widowControl w:val="0"/>
                    <w:autoSpaceDE w:val="0"/>
                    <w:autoSpaceDN w:val="0"/>
                    <w:ind w:left="91" w:right="90"/>
                    <w:rPr>
                      <w:b/>
                      <w:sz w:val="16"/>
                      <w:szCs w:val="16"/>
                    </w:rPr>
                  </w:pPr>
                  <w:r w:rsidRPr="006E50FF">
                    <w:rPr>
                      <w:b/>
                      <w:sz w:val="16"/>
                      <w:szCs w:val="16"/>
                    </w:rPr>
                    <w:t>Total</w:t>
                  </w:r>
                  <w:r w:rsidRPr="006E50FF">
                    <w:rPr>
                      <w:b/>
                      <w:spacing w:val="-10"/>
                      <w:sz w:val="16"/>
                      <w:szCs w:val="16"/>
                    </w:rPr>
                    <w:t xml:space="preserve"> </w:t>
                  </w:r>
                  <w:r w:rsidRPr="006E50FF">
                    <w:rPr>
                      <w:b/>
                      <w:sz w:val="16"/>
                      <w:szCs w:val="16"/>
                    </w:rPr>
                    <w:t>discharge</w:t>
                  </w:r>
                  <w:r w:rsidRPr="006E50FF">
                    <w:rPr>
                      <w:b/>
                      <w:spacing w:val="-10"/>
                      <w:sz w:val="16"/>
                      <w:szCs w:val="16"/>
                    </w:rPr>
                    <w:t xml:space="preserve"> </w:t>
                  </w:r>
                  <w:r w:rsidRPr="006E50FF">
                    <w:rPr>
                      <w:b/>
                      <w:sz w:val="16"/>
                      <w:szCs w:val="16"/>
                    </w:rPr>
                    <w:t>into</w:t>
                  </w:r>
                  <w:r w:rsidRPr="006E50FF">
                    <w:rPr>
                      <w:b/>
                      <w:spacing w:val="40"/>
                      <w:sz w:val="16"/>
                      <w:szCs w:val="16"/>
                    </w:rPr>
                    <w:t xml:space="preserve"> </w:t>
                  </w:r>
                  <w:r w:rsidRPr="006E50FF">
                    <w:rPr>
                      <w:b/>
                      <w:sz w:val="16"/>
                      <w:szCs w:val="16"/>
                    </w:rPr>
                    <w:t>one</w:t>
                  </w:r>
                  <w:r w:rsidRPr="006E50FF">
                    <w:rPr>
                      <w:b/>
                      <w:spacing w:val="-4"/>
                      <w:sz w:val="16"/>
                      <w:szCs w:val="16"/>
                    </w:rPr>
                    <w:t xml:space="preserve"> </w:t>
                  </w:r>
                  <w:r w:rsidRPr="006E50FF">
                    <w:rPr>
                      <w:b/>
                      <w:sz w:val="16"/>
                      <w:szCs w:val="16"/>
                    </w:rPr>
                    <w:t>branch</w:t>
                  </w:r>
                  <w:r w:rsidRPr="006E50FF">
                    <w:rPr>
                      <w:b/>
                      <w:spacing w:val="-4"/>
                      <w:sz w:val="16"/>
                      <w:szCs w:val="16"/>
                    </w:rPr>
                    <w:t xml:space="preserve"> </w:t>
                  </w:r>
                  <w:r w:rsidRPr="006E50FF">
                    <w:rPr>
                      <w:b/>
                      <w:spacing w:val="-2"/>
                      <w:sz w:val="16"/>
                      <w:szCs w:val="16"/>
                    </w:rPr>
                    <w:t>interval</w:t>
                  </w:r>
                </w:p>
                <w:p w14:paraId="059ABC70"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when greater than</w:t>
                  </w:r>
                  <w:r w:rsidRPr="006E50FF">
                    <w:rPr>
                      <w:b/>
                      <w:spacing w:val="40"/>
                      <w:sz w:val="16"/>
                      <w:szCs w:val="16"/>
                    </w:rPr>
                    <w:t xml:space="preserve"> </w:t>
                  </w:r>
                  <w:r w:rsidRPr="006E50FF">
                    <w:rPr>
                      <w:b/>
                      <w:sz w:val="16"/>
                      <w:szCs w:val="16"/>
                    </w:rPr>
                    <w:t>three</w:t>
                  </w:r>
                  <w:r w:rsidRPr="006E50FF">
                    <w:rPr>
                      <w:b/>
                      <w:spacing w:val="-10"/>
                      <w:sz w:val="16"/>
                      <w:szCs w:val="16"/>
                    </w:rPr>
                    <w:t xml:space="preserve"> </w:t>
                  </w:r>
                  <w:r w:rsidRPr="006E50FF">
                    <w:rPr>
                      <w:b/>
                      <w:sz w:val="16"/>
                      <w:szCs w:val="16"/>
                    </w:rPr>
                    <w:t>branch</w:t>
                  </w:r>
                  <w:r w:rsidRPr="006E50FF">
                    <w:rPr>
                      <w:b/>
                      <w:spacing w:val="-10"/>
                      <w:sz w:val="16"/>
                      <w:szCs w:val="16"/>
                    </w:rPr>
                    <w:t xml:space="preserve"> </w:t>
                  </w:r>
                  <w:r w:rsidRPr="006E50FF">
                    <w:rPr>
                      <w:b/>
                      <w:sz w:val="16"/>
                      <w:szCs w:val="16"/>
                    </w:rPr>
                    <w:t>intervals</w:t>
                  </w:r>
                </w:p>
              </w:tc>
              <w:tc>
                <w:tcPr>
                  <w:tcW w:w="1711" w:type="dxa"/>
                  <w:tcBorders>
                    <w:top w:val="single" w:sz="6" w:space="0" w:color="000000"/>
                    <w:left w:val="single" w:sz="6" w:space="0" w:color="000000"/>
                    <w:bottom w:val="single" w:sz="6" w:space="0" w:color="000000"/>
                    <w:right w:val="single" w:sz="6" w:space="0" w:color="000000"/>
                  </w:tcBorders>
                  <w:shd w:val="clear" w:color="auto" w:fill="BEBEBE"/>
                </w:tcPr>
                <w:p w14:paraId="1C3BBDAD" w14:textId="77777777" w:rsidR="006E50FF" w:rsidRPr="006E50FF" w:rsidRDefault="006E50FF" w:rsidP="006E50FF">
                  <w:pPr>
                    <w:widowControl w:val="0"/>
                    <w:autoSpaceDE w:val="0"/>
                    <w:autoSpaceDN w:val="0"/>
                    <w:ind w:left="91" w:right="90"/>
                    <w:rPr>
                      <w:sz w:val="16"/>
                      <w:szCs w:val="16"/>
                    </w:rPr>
                  </w:pPr>
                </w:p>
                <w:p w14:paraId="3AE85709" w14:textId="77777777" w:rsidR="006E50FF" w:rsidRPr="006E50FF" w:rsidRDefault="006E50FF" w:rsidP="006E50FF">
                  <w:pPr>
                    <w:widowControl w:val="0"/>
                    <w:autoSpaceDE w:val="0"/>
                    <w:autoSpaceDN w:val="0"/>
                    <w:ind w:left="91" w:right="90"/>
                    <w:rPr>
                      <w:sz w:val="16"/>
                      <w:szCs w:val="16"/>
                    </w:rPr>
                  </w:pPr>
                </w:p>
                <w:p w14:paraId="7E5FCF27" w14:textId="77777777" w:rsidR="006E50FF" w:rsidRPr="006E50FF" w:rsidRDefault="006E50FF" w:rsidP="006E50FF">
                  <w:pPr>
                    <w:widowControl w:val="0"/>
                    <w:autoSpaceDE w:val="0"/>
                    <w:autoSpaceDN w:val="0"/>
                    <w:ind w:left="91" w:right="90"/>
                    <w:rPr>
                      <w:sz w:val="16"/>
                      <w:szCs w:val="16"/>
                    </w:rPr>
                  </w:pPr>
                </w:p>
                <w:p w14:paraId="3C9B1809" w14:textId="77777777" w:rsidR="006E50FF" w:rsidRPr="006E50FF" w:rsidRDefault="006E50FF" w:rsidP="006E50FF">
                  <w:pPr>
                    <w:widowControl w:val="0"/>
                    <w:autoSpaceDE w:val="0"/>
                    <w:autoSpaceDN w:val="0"/>
                    <w:spacing w:before="168"/>
                    <w:ind w:left="91" w:right="90"/>
                    <w:rPr>
                      <w:sz w:val="16"/>
                      <w:szCs w:val="16"/>
                    </w:rPr>
                  </w:pPr>
                </w:p>
                <w:p w14:paraId="24F5D754" w14:textId="77777777" w:rsidR="006E50FF" w:rsidRPr="006E50FF" w:rsidRDefault="006E50FF" w:rsidP="006E50FF">
                  <w:pPr>
                    <w:widowControl w:val="0"/>
                    <w:autoSpaceDE w:val="0"/>
                    <w:autoSpaceDN w:val="0"/>
                    <w:ind w:left="91" w:right="90"/>
                    <w:rPr>
                      <w:b/>
                      <w:sz w:val="16"/>
                      <w:szCs w:val="16"/>
                    </w:rPr>
                  </w:pPr>
                  <w:r w:rsidRPr="006E50FF">
                    <w:rPr>
                      <w:b/>
                      <w:sz w:val="16"/>
                      <w:szCs w:val="16"/>
                    </w:rPr>
                    <w:t>Total</w:t>
                  </w:r>
                  <w:r w:rsidRPr="006E50FF">
                    <w:rPr>
                      <w:b/>
                      <w:spacing w:val="-4"/>
                      <w:sz w:val="16"/>
                      <w:szCs w:val="16"/>
                    </w:rPr>
                    <w:t xml:space="preserve"> </w:t>
                  </w:r>
                  <w:r w:rsidRPr="006E50FF">
                    <w:rPr>
                      <w:b/>
                      <w:sz w:val="16"/>
                      <w:szCs w:val="16"/>
                    </w:rPr>
                    <w:t>for</w:t>
                  </w:r>
                  <w:r w:rsidRPr="006E50FF">
                    <w:rPr>
                      <w:b/>
                      <w:spacing w:val="-4"/>
                      <w:sz w:val="16"/>
                      <w:szCs w:val="16"/>
                    </w:rPr>
                    <w:t xml:space="preserve"> </w:t>
                  </w:r>
                  <w:r w:rsidRPr="006E50FF">
                    <w:rPr>
                      <w:b/>
                      <w:sz w:val="16"/>
                      <w:szCs w:val="16"/>
                    </w:rPr>
                    <w:t>soil</w:t>
                  </w:r>
                  <w:r w:rsidRPr="006E50FF">
                    <w:rPr>
                      <w:b/>
                      <w:spacing w:val="-3"/>
                      <w:sz w:val="16"/>
                      <w:szCs w:val="16"/>
                    </w:rPr>
                    <w:t xml:space="preserve"> </w:t>
                  </w:r>
                  <w:r w:rsidRPr="006E50FF">
                    <w:rPr>
                      <w:b/>
                      <w:spacing w:val="-2"/>
                      <w:sz w:val="16"/>
                      <w:szCs w:val="16"/>
                    </w:rPr>
                    <w:t>stack</w:t>
                  </w:r>
                </w:p>
                <w:p w14:paraId="065284FD"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when</w:t>
                  </w:r>
                  <w:r w:rsidRPr="006E50FF">
                    <w:rPr>
                      <w:b/>
                      <w:spacing w:val="-10"/>
                      <w:sz w:val="16"/>
                      <w:szCs w:val="16"/>
                    </w:rPr>
                    <w:t xml:space="preserve"> </w:t>
                  </w:r>
                  <w:r w:rsidRPr="006E50FF">
                    <w:rPr>
                      <w:b/>
                      <w:sz w:val="16"/>
                      <w:szCs w:val="16"/>
                    </w:rPr>
                    <w:t>three</w:t>
                  </w:r>
                  <w:r w:rsidRPr="006E50FF">
                    <w:rPr>
                      <w:b/>
                      <w:spacing w:val="-10"/>
                      <w:sz w:val="16"/>
                      <w:szCs w:val="16"/>
                    </w:rPr>
                    <w:t xml:space="preserve"> </w:t>
                  </w:r>
                  <w:r w:rsidRPr="006E50FF">
                    <w:rPr>
                      <w:b/>
                      <w:sz w:val="16"/>
                      <w:szCs w:val="16"/>
                    </w:rPr>
                    <w:t>branch</w:t>
                  </w:r>
                  <w:r w:rsidRPr="006E50FF">
                    <w:rPr>
                      <w:b/>
                      <w:spacing w:val="40"/>
                      <w:sz w:val="16"/>
                      <w:szCs w:val="16"/>
                    </w:rPr>
                    <w:t xml:space="preserve"> </w:t>
                  </w:r>
                  <w:r w:rsidRPr="006E50FF">
                    <w:rPr>
                      <w:b/>
                      <w:sz w:val="16"/>
                      <w:szCs w:val="16"/>
                    </w:rPr>
                    <w:t>intervals or less</w:t>
                  </w:r>
                </w:p>
              </w:tc>
              <w:tc>
                <w:tcPr>
                  <w:tcW w:w="1566" w:type="dxa"/>
                  <w:tcBorders>
                    <w:top w:val="single" w:sz="6" w:space="0" w:color="000000"/>
                    <w:left w:val="single" w:sz="6" w:space="0" w:color="000000"/>
                    <w:bottom w:val="single" w:sz="6" w:space="0" w:color="000000"/>
                  </w:tcBorders>
                  <w:shd w:val="clear" w:color="auto" w:fill="BEBEBE"/>
                </w:tcPr>
                <w:p w14:paraId="26C49EBA" w14:textId="77777777" w:rsidR="006E50FF" w:rsidRPr="006E50FF" w:rsidRDefault="006E50FF" w:rsidP="006E50FF">
                  <w:pPr>
                    <w:widowControl w:val="0"/>
                    <w:autoSpaceDE w:val="0"/>
                    <w:autoSpaceDN w:val="0"/>
                    <w:ind w:left="91" w:right="90"/>
                    <w:rPr>
                      <w:sz w:val="16"/>
                      <w:szCs w:val="16"/>
                    </w:rPr>
                  </w:pPr>
                </w:p>
                <w:p w14:paraId="6009FD9D" w14:textId="77777777" w:rsidR="006E50FF" w:rsidRPr="006E50FF" w:rsidRDefault="006E50FF" w:rsidP="006E50FF">
                  <w:pPr>
                    <w:widowControl w:val="0"/>
                    <w:autoSpaceDE w:val="0"/>
                    <w:autoSpaceDN w:val="0"/>
                    <w:ind w:left="91" w:right="90"/>
                    <w:rPr>
                      <w:sz w:val="16"/>
                      <w:szCs w:val="16"/>
                    </w:rPr>
                  </w:pPr>
                </w:p>
                <w:p w14:paraId="7A536B24" w14:textId="77777777" w:rsidR="006E50FF" w:rsidRPr="006E50FF" w:rsidRDefault="006E50FF" w:rsidP="006E50FF">
                  <w:pPr>
                    <w:widowControl w:val="0"/>
                    <w:autoSpaceDE w:val="0"/>
                    <w:autoSpaceDN w:val="0"/>
                    <w:spacing w:before="167"/>
                    <w:ind w:left="91" w:right="90"/>
                    <w:rPr>
                      <w:sz w:val="16"/>
                      <w:szCs w:val="16"/>
                    </w:rPr>
                  </w:pPr>
                </w:p>
                <w:p w14:paraId="6D422EA0" w14:textId="77777777" w:rsidR="006E50FF" w:rsidRPr="006E50FF" w:rsidRDefault="006E50FF" w:rsidP="006E50FF">
                  <w:pPr>
                    <w:widowControl w:val="0"/>
                    <w:autoSpaceDE w:val="0"/>
                    <w:autoSpaceDN w:val="0"/>
                    <w:ind w:left="91" w:right="90"/>
                    <w:rPr>
                      <w:b/>
                      <w:sz w:val="16"/>
                      <w:szCs w:val="16"/>
                    </w:rPr>
                  </w:pPr>
                  <w:r w:rsidRPr="006E50FF">
                    <w:rPr>
                      <w:b/>
                      <w:sz w:val="16"/>
                      <w:szCs w:val="16"/>
                    </w:rPr>
                    <w:t>Total</w:t>
                  </w:r>
                  <w:r w:rsidRPr="006E50FF">
                    <w:rPr>
                      <w:b/>
                      <w:spacing w:val="-10"/>
                      <w:sz w:val="16"/>
                      <w:szCs w:val="16"/>
                    </w:rPr>
                    <w:t xml:space="preserve"> </w:t>
                  </w:r>
                  <w:r w:rsidRPr="006E50FF">
                    <w:rPr>
                      <w:b/>
                      <w:sz w:val="16"/>
                      <w:szCs w:val="16"/>
                    </w:rPr>
                    <w:t>for</w:t>
                  </w:r>
                  <w:r w:rsidRPr="006E50FF">
                    <w:rPr>
                      <w:b/>
                      <w:spacing w:val="-10"/>
                      <w:sz w:val="16"/>
                      <w:szCs w:val="16"/>
                    </w:rPr>
                    <w:t xml:space="preserve"> </w:t>
                  </w:r>
                  <w:r w:rsidRPr="006E50FF">
                    <w:rPr>
                      <w:b/>
                      <w:sz w:val="16"/>
                      <w:szCs w:val="16"/>
                    </w:rPr>
                    <w:t>soil</w:t>
                  </w:r>
                  <w:r w:rsidRPr="006E50FF">
                    <w:rPr>
                      <w:b/>
                      <w:spacing w:val="-10"/>
                      <w:sz w:val="16"/>
                      <w:szCs w:val="16"/>
                    </w:rPr>
                    <w:t xml:space="preserve"> </w:t>
                  </w:r>
                  <w:r w:rsidRPr="006E50FF">
                    <w:rPr>
                      <w:b/>
                      <w:sz w:val="16"/>
                      <w:szCs w:val="16"/>
                    </w:rPr>
                    <w:t>stack</w:t>
                  </w:r>
                  <w:r w:rsidRPr="006E50FF">
                    <w:rPr>
                      <w:b/>
                      <w:spacing w:val="40"/>
                      <w:sz w:val="16"/>
                      <w:szCs w:val="16"/>
                    </w:rPr>
                    <w:t xml:space="preserve"> </w:t>
                  </w:r>
                  <w:r w:rsidRPr="006E50FF">
                    <w:rPr>
                      <w:b/>
                      <w:sz w:val="16"/>
                      <w:szCs w:val="16"/>
                    </w:rPr>
                    <w:t>when</w:t>
                  </w:r>
                  <w:r w:rsidRPr="006E50FF">
                    <w:rPr>
                      <w:b/>
                      <w:spacing w:val="-6"/>
                      <w:sz w:val="16"/>
                      <w:szCs w:val="16"/>
                    </w:rPr>
                    <w:t xml:space="preserve"> </w:t>
                  </w:r>
                  <w:r w:rsidRPr="006E50FF">
                    <w:rPr>
                      <w:b/>
                      <w:sz w:val="16"/>
                      <w:szCs w:val="16"/>
                    </w:rPr>
                    <w:t>greater</w:t>
                  </w:r>
                  <w:r w:rsidRPr="006E50FF">
                    <w:rPr>
                      <w:b/>
                      <w:spacing w:val="-4"/>
                      <w:sz w:val="16"/>
                      <w:szCs w:val="16"/>
                    </w:rPr>
                    <w:t xml:space="preserve"> than</w:t>
                  </w:r>
                </w:p>
                <w:p w14:paraId="1F03955B"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three</w:t>
                  </w:r>
                  <w:r w:rsidRPr="006E50FF">
                    <w:rPr>
                      <w:b/>
                      <w:spacing w:val="-10"/>
                      <w:sz w:val="16"/>
                      <w:szCs w:val="16"/>
                    </w:rPr>
                    <w:t xml:space="preserve"> </w:t>
                  </w:r>
                  <w:r w:rsidRPr="006E50FF">
                    <w:rPr>
                      <w:b/>
                      <w:sz w:val="16"/>
                      <w:szCs w:val="16"/>
                    </w:rPr>
                    <w:t>branch</w:t>
                  </w:r>
                  <w:r w:rsidRPr="006E50FF">
                    <w:rPr>
                      <w:b/>
                      <w:spacing w:val="40"/>
                      <w:sz w:val="16"/>
                      <w:szCs w:val="16"/>
                    </w:rPr>
                    <w:t xml:space="preserve"> </w:t>
                  </w:r>
                  <w:r w:rsidRPr="006E50FF">
                    <w:rPr>
                      <w:b/>
                      <w:spacing w:val="-2"/>
                      <w:sz w:val="16"/>
                      <w:szCs w:val="16"/>
                    </w:rPr>
                    <w:t>intervals</w:t>
                  </w:r>
                </w:p>
              </w:tc>
            </w:tr>
            <w:tr w:rsidR="006E50FF" w:rsidRPr="006E50FF" w14:paraId="13B12423"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0891FA1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w:t>
                  </w:r>
                  <w:r w:rsidRPr="006E50FF">
                    <w:rPr>
                      <w:spacing w:val="-1"/>
                      <w:sz w:val="16"/>
                      <w:szCs w:val="16"/>
                    </w:rPr>
                    <w:t xml:space="preserve"> </w:t>
                  </w:r>
                  <w:r w:rsidRPr="006E50FF">
                    <w:rPr>
                      <w:spacing w:val="-5"/>
                      <w:sz w:val="16"/>
                      <w:szCs w:val="16"/>
                    </w:rPr>
                    <w:t>1/2</w:t>
                  </w:r>
                </w:p>
              </w:tc>
              <w:tc>
                <w:tcPr>
                  <w:tcW w:w="2657" w:type="dxa"/>
                  <w:tcBorders>
                    <w:top w:val="single" w:sz="6" w:space="0" w:color="000000"/>
                    <w:left w:val="single" w:sz="6" w:space="0" w:color="000000"/>
                    <w:bottom w:val="single" w:sz="6" w:space="0" w:color="000000"/>
                    <w:right w:val="single" w:sz="6" w:space="0" w:color="000000"/>
                  </w:tcBorders>
                </w:tcPr>
                <w:p w14:paraId="6332EE2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3</w:t>
                  </w:r>
                </w:p>
              </w:tc>
              <w:tc>
                <w:tcPr>
                  <w:tcW w:w="1800" w:type="dxa"/>
                  <w:tcBorders>
                    <w:top w:val="single" w:sz="6" w:space="0" w:color="000000"/>
                    <w:left w:val="single" w:sz="6" w:space="0" w:color="000000"/>
                    <w:bottom w:val="single" w:sz="6" w:space="0" w:color="000000"/>
                    <w:right w:val="single" w:sz="6" w:space="0" w:color="000000"/>
                  </w:tcBorders>
                </w:tcPr>
                <w:p w14:paraId="33E682A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2</w:t>
                  </w:r>
                </w:p>
              </w:tc>
              <w:tc>
                <w:tcPr>
                  <w:tcW w:w="1711" w:type="dxa"/>
                  <w:tcBorders>
                    <w:top w:val="single" w:sz="6" w:space="0" w:color="000000"/>
                    <w:left w:val="single" w:sz="6" w:space="0" w:color="000000"/>
                    <w:bottom w:val="single" w:sz="6" w:space="0" w:color="000000"/>
                    <w:right w:val="single" w:sz="6" w:space="0" w:color="000000"/>
                  </w:tcBorders>
                </w:tcPr>
                <w:p w14:paraId="2D2EA3D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4</w:t>
                  </w:r>
                </w:p>
              </w:tc>
              <w:tc>
                <w:tcPr>
                  <w:tcW w:w="1566" w:type="dxa"/>
                  <w:tcBorders>
                    <w:top w:val="single" w:sz="6" w:space="0" w:color="000000"/>
                    <w:left w:val="single" w:sz="6" w:space="0" w:color="000000"/>
                    <w:bottom w:val="single" w:sz="6" w:space="0" w:color="000000"/>
                  </w:tcBorders>
                </w:tcPr>
                <w:p w14:paraId="714F8BB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8</w:t>
                  </w:r>
                </w:p>
              </w:tc>
            </w:tr>
            <w:tr w:rsidR="006E50FF" w:rsidRPr="006E50FF" w14:paraId="15D28355"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0DC40F09"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2</w:t>
                  </w:r>
                </w:p>
              </w:tc>
              <w:tc>
                <w:tcPr>
                  <w:tcW w:w="2657" w:type="dxa"/>
                  <w:tcBorders>
                    <w:top w:val="single" w:sz="6" w:space="0" w:color="000000"/>
                    <w:left w:val="single" w:sz="6" w:space="0" w:color="000000"/>
                    <w:bottom w:val="single" w:sz="6" w:space="0" w:color="000000"/>
                    <w:right w:val="single" w:sz="6" w:space="0" w:color="000000"/>
                  </w:tcBorders>
                </w:tcPr>
                <w:p w14:paraId="35818837"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6</w:t>
                  </w:r>
                </w:p>
              </w:tc>
              <w:tc>
                <w:tcPr>
                  <w:tcW w:w="1800" w:type="dxa"/>
                  <w:tcBorders>
                    <w:top w:val="single" w:sz="6" w:space="0" w:color="000000"/>
                    <w:left w:val="single" w:sz="6" w:space="0" w:color="000000"/>
                    <w:bottom w:val="single" w:sz="6" w:space="0" w:color="000000"/>
                    <w:right w:val="single" w:sz="6" w:space="0" w:color="000000"/>
                  </w:tcBorders>
                </w:tcPr>
                <w:p w14:paraId="4553657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6</w:t>
                  </w:r>
                </w:p>
              </w:tc>
              <w:tc>
                <w:tcPr>
                  <w:tcW w:w="1711" w:type="dxa"/>
                  <w:tcBorders>
                    <w:top w:val="single" w:sz="6" w:space="0" w:color="000000"/>
                    <w:left w:val="single" w:sz="6" w:space="0" w:color="000000"/>
                    <w:bottom w:val="single" w:sz="6" w:space="0" w:color="000000"/>
                    <w:right w:val="single" w:sz="6" w:space="0" w:color="000000"/>
                  </w:tcBorders>
                </w:tcPr>
                <w:p w14:paraId="2B679A7C"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10</w:t>
                  </w:r>
                </w:p>
              </w:tc>
              <w:tc>
                <w:tcPr>
                  <w:tcW w:w="1566" w:type="dxa"/>
                  <w:tcBorders>
                    <w:top w:val="single" w:sz="6" w:space="0" w:color="000000"/>
                    <w:left w:val="single" w:sz="6" w:space="0" w:color="000000"/>
                    <w:bottom w:val="single" w:sz="6" w:space="0" w:color="000000"/>
                  </w:tcBorders>
                </w:tcPr>
                <w:p w14:paraId="409E593E"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24</w:t>
                  </w:r>
                </w:p>
              </w:tc>
            </w:tr>
            <w:tr w:rsidR="006E50FF" w:rsidRPr="006E50FF" w14:paraId="6B1546DE"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48050542"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w:t>
                  </w:r>
                  <w:r w:rsidRPr="006E50FF">
                    <w:rPr>
                      <w:spacing w:val="-1"/>
                      <w:sz w:val="16"/>
                      <w:szCs w:val="16"/>
                    </w:rPr>
                    <w:t xml:space="preserve"> </w:t>
                  </w:r>
                  <w:r w:rsidRPr="006E50FF">
                    <w:rPr>
                      <w:spacing w:val="-5"/>
                      <w:sz w:val="16"/>
                      <w:szCs w:val="16"/>
                    </w:rPr>
                    <w:t>1/2</w:t>
                  </w:r>
                </w:p>
              </w:tc>
              <w:tc>
                <w:tcPr>
                  <w:tcW w:w="2657" w:type="dxa"/>
                  <w:tcBorders>
                    <w:top w:val="single" w:sz="6" w:space="0" w:color="000000"/>
                    <w:left w:val="single" w:sz="6" w:space="0" w:color="000000"/>
                    <w:bottom w:val="single" w:sz="6" w:space="0" w:color="000000"/>
                    <w:right w:val="single" w:sz="6" w:space="0" w:color="000000"/>
                  </w:tcBorders>
                </w:tcPr>
                <w:p w14:paraId="03A7835B"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12</w:t>
                  </w:r>
                </w:p>
              </w:tc>
              <w:tc>
                <w:tcPr>
                  <w:tcW w:w="1800" w:type="dxa"/>
                  <w:tcBorders>
                    <w:top w:val="single" w:sz="6" w:space="0" w:color="000000"/>
                    <w:left w:val="single" w:sz="6" w:space="0" w:color="000000"/>
                    <w:bottom w:val="single" w:sz="6" w:space="0" w:color="000000"/>
                    <w:right w:val="single" w:sz="6" w:space="0" w:color="000000"/>
                  </w:tcBorders>
                </w:tcPr>
                <w:p w14:paraId="4C66ED6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9</w:t>
                  </w:r>
                </w:p>
              </w:tc>
              <w:tc>
                <w:tcPr>
                  <w:tcW w:w="1711" w:type="dxa"/>
                  <w:tcBorders>
                    <w:top w:val="single" w:sz="6" w:space="0" w:color="000000"/>
                    <w:left w:val="single" w:sz="6" w:space="0" w:color="000000"/>
                    <w:bottom w:val="single" w:sz="6" w:space="0" w:color="000000"/>
                    <w:right w:val="single" w:sz="6" w:space="0" w:color="000000"/>
                  </w:tcBorders>
                </w:tcPr>
                <w:p w14:paraId="23ADB2B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20</w:t>
                  </w:r>
                </w:p>
              </w:tc>
              <w:tc>
                <w:tcPr>
                  <w:tcW w:w="1566" w:type="dxa"/>
                  <w:tcBorders>
                    <w:top w:val="single" w:sz="6" w:space="0" w:color="000000"/>
                    <w:left w:val="single" w:sz="6" w:space="0" w:color="000000"/>
                    <w:bottom w:val="single" w:sz="6" w:space="0" w:color="000000"/>
                  </w:tcBorders>
                </w:tcPr>
                <w:p w14:paraId="59AD5EA8"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42</w:t>
                  </w:r>
                </w:p>
              </w:tc>
            </w:tr>
            <w:tr w:rsidR="006E50FF" w:rsidRPr="006E50FF" w14:paraId="32851BDC" w14:textId="77777777" w:rsidTr="0088638B">
              <w:trPr>
                <w:trHeight w:val="368"/>
                <w:jc w:val="center"/>
              </w:trPr>
              <w:tc>
                <w:tcPr>
                  <w:tcW w:w="1339" w:type="dxa"/>
                  <w:tcBorders>
                    <w:top w:val="single" w:sz="6" w:space="0" w:color="000000"/>
                    <w:bottom w:val="single" w:sz="6" w:space="0" w:color="000000"/>
                    <w:right w:val="single" w:sz="6" w:space="0" w:color="000000"/>
                  </w:tcBorders>
                </w:tcPr>
                <w:p w14:paraId="2A4CABCF" w14:textId="77777777" w:rsidR="006E50FF" w:rsidRPr="006E50FF" w:rsidRDefault="006E50FF" w:rsidP="006E50FF">
                  <w:pPr>
                    <w:widowControl w:val="0"/>
                    <w:autoSpaceDE w:val="0"/>
                    <w:autoSpaceDN w:val="0"/>
                    <w:spacing w:before="88"/>
                    <w:ind w:left="91" w:right="90"/>
                    <w:rPr>
                      <w:sz w:val="16"/>
                      <w:szCs w:val="16"/>
                    </w:rPr>
                  </w:pPr>
                  <w:r w:rsidRPr="006E50FF">
                    <w:rPr>
                      <w:spacing w:val="-10"/>
                      <w:sz w:val="16"/>
                      <w:szCs w:val="16"/>
                    </w:rPr>
                    <w:t>3</w:t>
                  </w:r>
                </w:p>
              </w:tc>
              <w:tc>
                <w:tcPr>
                  <w:tcW w:w="2657" w:type="dxa"/>
                  <w:tcBorders>
                    <w:top w:val="single" w:sz="6" w:space="0" w:color="000000"/>
                    <w:left w:val="single" w:sz="6" w:space="0" w:color="000000"/>
                    <w:bottom w:val="single" w:sz="6" w:space="0" w:color="000000"/>
                    <w:right w:val="single" w:sz="6" w:space="0" w:color="000000"/>
                  </w:tcBorders>
                </w:tcPr>
                <w:p w14:paraId="5A67F319" w14:textId="77777777" w:rsidR="006E50FF" w:rsidRPr="006E50FF" w:rsidRDefault="006E50FF" w:rsidP="006E50FF">
                  <w:pPr>
                    <w:widowControl w:val="0"/>
                    <w:autoSpaceDE w:val="0"/>
                    <w:autoSpaceDN w:val="0"/>
                    <w:spacing w:before="88"/>
                    <w:ind w:left="91" w:right="90"/>
                    <w:rPr>
                      <w:sz w:val="16"/>
                      <w:szCs w:val="16"/>
                    </w:rPr>
                  </w:pPr>
                  <w:r w:rsidRPr="006E50FF">
                    <w:rPr>
                      <w:sz w:val="16"/>
                      <w:szCs w:val="16"/>
                    </w:rPr>
                    <w:t>20</w:t>
                  </w:r>
                  <w:r w:rsidRPr="006E50FF">
                    <w:rPr>
                      <w:spacing w:val="-4"/>
                      <w:sz w:val="16"/>
                      <w:szCs w:val="16"/>
                    </w:rPr>
                    <w:t xml:space="preserve"> </w:t>
                  </w:r>
                  <w:r w:rsidRPr="006E50FF">
                    <w:rPr>
                      <w:sz w:val="16"/>
                      <w:szCs w:val="16"/>
                    </w:rPr>
                    <w:t>(not</w:t>
                  </w:r>
                  <w:r w:rsidRPr="006E50FF">
                    <w:rPr>
                      <w:spacing w:val="-4"/>
                      <w:sz w:val="16"/>
                      <w:szCs w:val="16"/>
                    </w:rPr>
                    <w:t xml:space="preserve"> </w:t>
                  </w:r>
                  <w:r w:rsidRPr="006E50FF">
                    <w:rPr>
                      <w:sz w:val="16"/>
                      <w:szCs w:val="16"/>
                    </w:rPr>
                    <w:t>over</w:t>
                  </w:r>
                  <w:r w:rsidRPr="006E50FF">
                    <w:rPr>
                      <w:spacing w:val="-4"/>
                      <w:sz w:val="16"/>
                      <w:szCs w:val="16"/>
                    </w:rPr>
                    <w:t xml:space="preserve"> </w:t>
                  </w:r>
                  <w:r w:rsidRPr="006E50FF">
                    <w:rPr>
                      <w:sz w:val="16"/>
                      <w:szCs w:val="16"/>
                    </w:rPr>
                    <w:t>two</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pacing w:val="-2"/>
                      <w:sz w:val="16"/>
                      <w:szCs w:val="16"/>
                    </w:rPr>
                    <w:t>closets)</w:t>
                  </w:r>
                </w:p>
              </w:tc>
              <w:tc>
                <w:tcPr>
                  <w:tcW w:w="1800" w:type="dxa"/>
                  <w:tcBorders>
                    <w:top w:val="single" w:sz="6" w:space="0" w:color="000000"/>
                    <w:left w:val="single" w:sz="6" w:space="0" w:color="000000"/>
                    <w:bottom w:val="single" w:sz="6" w:space="0" w:color="000000"/>
                    <w:right w:val="single" w:sz="6" w:space="0" w:color="000000"/>
                  </w:tcBorders>
                </w:tcPr>
                <w:p w14:paraId="60E5EA2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16</w:t>
                  </w:r>
                  <w:r w:rsidRPr="006E50FF">
                    <w:rPr>
                      <w:spacing w:val="-4"/>
                      <w:sz w:val="16"/>
                      <w:szCs w:val="16"/>
                    </w:rPr>
                    <w:t xml:space="preserve"> </w:t>
                  </w:r>
                  <w:r w:rsidRPr="006E50FF">
                    <w:rPr>
                      <w:sz w:val="16"/>
                      <w:szCs w:val="16"/>
                    </w:rPr>
                    <w:t>(not</w:t>
                  </w:r>
                  <w:r w:rsidRPr="006E50FF">
                    <w:rPr>
                      <w:spacing w:val="-3"/>
                      <w:sz w:val="16"/>
                      <w:szCs w:val="16"/>
                    </w:rPr>
                    <w:t xml:space="preserve"> </w:t>
                  </w:r>
                  <w:r w:rsidRPr="006E50FF">
                    <w:rPr>
                      <w:sz w:val="16"/>
                      <w:szCs w:val="16"/>
                    </w:rPr>
                    <w:t>over</w:t>
                  </w:r>
                  <w:r w:rsidRPr="006E50FF">
                    <w:rPr>
                      <w:spacing w:val="-4"/>
                      <w:sz w:val="16"/>
                      <w:szCs w:val="16"/>
                    </w:rPr>
                    <w:t xml:space="preserve"> </w:t>
                  </w:r>
                  <w:r w:rsidRPr="006E50FF">
                    <w:rPr>
                      <w:sz w:val="16"/>
                      <w:szCs w:val="16"/>
                    </w:rPr>
                    <w:t>two</w:t>
                  </w:r>
                  <w:r w:rsidRPr="006E50FF">
                    <w:rPr>
                      <w:spacing w:val="-3"/>
                      <w:sz w:val="16"/>
                      <w:szCs w:val="16"/>
                    </w:rPr>
                    <w:t xml:space="preserve"> </w:t>
                  </w:r>
                  <w:r w:rsidRPr="006E50FF">
                    <w:rPr>
                      <w:spacing w:val="-2"/>
                      <w:sz w:val="16"/>
                      <w:szCs w:val="16"/>
                    </w:rPr>
                    <w:t>water</w:t>
                  </w:r>
                </w:p>
                <w:p w14:paraId="6F5600B0"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pacing w:val="-2"/>
                      <w:sz w:val="16"/>
                      <w:szCs w:val="16"/>
                    </w:rPr>
                    <w:t>closets)</w:t>
                  </w:r>
                </w:p>
              </w:tc>
              <w:tc>
                <w:tcPr>
                  <w:tcW w:w="1711" w:type="dxa"/>
                  <w:tcBorders>
                    <w:top w:val="single" w:sz="6" w:space="0" w:color="000000"/>
                    <w:left w:val="single" w:sz="6" w:space="0" w:color="000000"/>
                    <w:bottom w:val="single" w:sz="6" w:space="0" w:color="000000"/>
                    <w:right w:val="single" w:sz="6" w:space="0" w:color="000000"/>
                  </w:tcBorders>
                </w:tcPr>
                <w:p w14:paraId="51654431"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30</w:t>
                  </w:r>
                  <w:r w:rsidRPr="006E50FF">
                    <w:rPr>
                      <w:spacing w:val="-6"/>
                      <w:sz w:val="16"/>
                      <w:szCs w:val="16"/>
                    </w:rPr>
                    <w:t xml:space="preserve"> </w:t>
                  </w:r>
                  <w:r w:rsidRPr="006E50FF">
                    <w:rPr>
                      <w:sz w:val="16"/>
                      <w:szCs w:val="16"/>
                    </w:rPr>
                    <w:t>(not</w:t>
                  </w:r>
                  <w:r w:rsidRPr="006E50FF">
                    <w:rPr>
                      <w:spacing w:val="-3"/>
                      <w:sz w:val="16"/>
                      <w:szCs w:val="16"/>
                    </w:rPr>
                    <w:t xml:space="preserve"> </w:t>
                  </w:r>
                  <w:r w:rsidRPr="006E50FF">
                    <w:rPr>
                      <w:sz w:val="16"/>
                      <w:szCs w:val="16"/>
                    </w:rPr>
                    <w:t>over</w:t>
                  </w:r>
                  <w:r w:rsidRPr="006E50FF">
                    <w:rPr>
                      <w:spacing w:val="-3"/>
                      <w:sz w:val="16"/>
                      <w:szCs w:val="16"/>
                    </w:rPr>
                    <w:t xml:space="preserve"> </w:t>
                  </w:r>
                  <w:r w:rsidRPr="006E50FF">
                    <w:rPr>
                      <w:sz w:val="16"/>
                      <w:szCs w:val="16"/>
                    </w:rPr>
                    <w:t>six</w:t>
                  </w:r>
                  <w:r w:rsidRPr="006E50FF">
                    <w:rPr>
                      <w:spacing w:val="-3"/>
                      <w:sz w:val="16"/>
                      <w:szCs w:val="16"/>
                    </w:rPr>
                    <w:t xml:space="preserve"> </w:t>
                  </w:r>
                  <w:r w:rsidRPr="006E50FF">
                    <w:rPr>
                      <w:spacing w:val="-2"/>
                      <w:sz w:val="16"/>
                      <w:szCs w:val="16"/>
                    </w:rPr>
                    <w:t>water</w:t>
                  </w:r>
                </w:p>
                <w:p w14:paraId="34F5E724"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pacing w:val="-2"/>
                      <w:sz w:val="16"/>
                      <w:szCs w:val="16"/>
                    </w:rPr>
                    <w:t>closets)</w:t>
                  </w:r>
                </w:p>
              </w:tc>
              <w:tc>
                <w:tcPr>
                  <w:tcW w:w="1566" w:type="dxa"/>
                  <w:tcBorders>
                    <w:top w:val="single" w:sz="6" w:space="0" w:color="000000"/>
                    <w:left w:val="single" w:sz="6" w:space="0" w:color="000000"/>
                    <w:bottom w:val="single" w:sz="6" w:space="0" w:color="000000"/>
                  </w:tcBorders>
                </w:tcPr>
                <w:p w14:paraId="58B113A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60</w:t>
                  </w:r>
                  <w:r w:rsidRPr="006E50FF">
                    <w:rPr>
                      <w:spacing w:val="-4"/>
                      <w:sz w:val="16"/>
                      <w:szCs w:val="16"/>
                    </w:rPr>
                    <w:t xml:space="preserve"> </w:t>
                  </w:r>
                  <w:r w:rsidRPr="006E50FF">
                    <w:rPr>
                      <w:sz w:val="16"/>
                      <w:szCs w:val="16"/>
                    </w:rPr>
                    <w:t>(not</w:t>
                  </w:r>
                  <w:r w:rsidRPr="006E50FF">
                    <w:rPr>
                      <w:spacing w:val="-4"/>
                      <w:sz w:val="16"/>
                      <w:szCs w:val="16"/>
                    </w:rPr>
                    <w:t xml:space="preserve"> </w:t>
                  </w:r>
                  <w:r w:rsidRPr="006E50FF">
                    <w:rPr>
                      <w:sz w:val="16"/>
                      <w:szCs w:val="16"/>
                    </w:rPr>
                    <w:t>over</w:t>
                  </w:r>
                  <w:r w:rsidRPr="006E50FF">
                    <w:rPr>
                      <w:spacing w:val="-4"/>
                      <w:sz w:val="16"/>
                      <w:szCs w:val="16"/>
                    </w:rPr>
                    <w:t xml:space="preserve"> </w:t>
                  </w:r>
                  <w:r w:rsidRPr="006E50FF">
                    <w:rPr>
                      <w:spacing w:val="-5"/>
                      <w:sz w:val="16"/>
                      <w:szCs w:val="16"/>
                    </w:rPr>
                    <w:t>six</w:t>
                  </w:r>
                </w:p>
                <w:p w14:paraId="1C4C3475"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water</w:t>
                  </w:r>
                  <w:r w:rsidRPr="006E50FF">
                    <w:rPr>
                      <w:spacing w:val="-7"/>
                      <w:sz w:val="16"/>
                      <w:szCs w:val="16"/>
                    </w:rPr>
                    <w:t xml:space="preserve"> </w:t>
                  </w:r>
                  <w:r w:rsidRPr="006E50FF">
                    <w:rPr>
                      <w:spacing w:val="-2"/>
                      <w:sz w:val="16"/>
                      <w:szCs w:val="16"/>
                    </w:rPr>
                    <w:t>closets)</w:t>
                  </w:r>
                </w:p>
              </w:tc>
            </w:tr>
            <w:tr w:rsidR="006E50FF" w:rsidRPr="006E50FF" w14:paraId="74C0CF42" w14:textId="77777777" w:rsidTr="0088638B">
              <w:trPr>
                <w:trHeight w:val="181"/>
                <w:jc w:val="center"/>
              </w:trPr>
              <w:tc>
                <w:tcPr>
                  <w:tcW w:w="1339" w:type="dxa"/>
                  <w:tcBorders>
                    <w:top w:val="single" w:sz="6" w:space="0" w:color="000000"/>
                    <w:bottom w:val="single" w:sz="6" w:space="0" w:color="000000"/>
                    <w:right w:val="single" w:sz="6" w:space="0" w:color="000000"/>
                  </w:tcBorders>
                </w:tcPr>
                <w:p w14:paraId="378A98F8"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10"/>
                      <w:sz w:val="16"/>
                      <w:szCs w:val="16"/>
                    </w:rPr>
                    <w:t>4</w:t>
                  </w:r>
                </w:p>
              </w:tc>
              <w:tc>
                <w:tcPr>
                  <w:tcW w:w="2657" w:type="dxa"/>
                  <w:tcBorders>
                    <w:top w:val="single" w:sz="6" w:space="0" w:color="000000"/>
                    <w:left w:val="single" w:sz="6" w:space="0" w:color="000000"/>
                    <w:bottom w:val="single" w:sz="6" w:space="0" w:color="000000"/>
                    <w:right w:val="single" w:sz="6" w:space="0" w:color="000000"/>
                  </w:tcBorders>
                </w:tcPr>
                <w:p w14:paraId="5B1B37F6"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160</w:t>
                  </w:r>
                </w:p>
              </w:tc>
              <w:tc>
                <w:tcPr>
                  <w:tcW w:w="1800" w:type="dxa"/>
                  <w:tcBorders>
                    <w:top w:val="single" w:sz="6" w:space="0" w:color="000000"/>
                    <w:left w:val="single" w:sz="6" w:space="0" w:color="000000"/>
                    <w:bottom w:val="single" w:sz="6" w:space="0" w:color="000000"/>
                    <w:right w:val="single" w:sz="6" w:space="0" w:color="000000"/>
                  </w:tcBorders>
                </w:tcPr>
                <w:p w14:paraId="3E3EB85A"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90</w:t>
                  </w:r>
                </w:p>
              </w:tc>
              <w:tc>
                <w:tcPr>
                  <w:tcW w:w="1711" w:type="dxa"/>
                  <w:tcBorders>
                    <w:top w:val="single" w:sz="6" w:space="0" w:color="000000"/>
                    <w:left w:val="single" w:sz="6" w:space="0" w:color="000000"/>
                    <w:bottom w:val="single" w:sz="6" w:space="0" w:color="000000"/>
                    <w:right w:val="single" w:sz="6" w:space="0" w:color="000000"/>
                  </w:tcBorders>
                </w:tcPr>
                <w:p w14:paraId="07332253"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240</w:t>
                  </w:r>
                </w:p>
              </w:tc>
              <w:tc>
                <w:tcPr>
                  <w:tcW w:w="1566" w:type="dxa"/>
                  <w:tcBorders>
                    <w:top w:val="single" w:sz="6" w:space="0" w:color="000000"/>
                    <w:left w:val="single" w:sz="6" w:space="0" w:color="000000"/>
                    <w:bottom w:val="single" w:sz="6" w:space="0" w:color="000000"/>
                  </w:tcBorders>
                </w:tcPr>
                <w:p w14:paraId="4FB88485"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500</w:t>
                  </w:r>
                </w:p>
              </w:tc>
            </w:tr>
            <w:tr w:rsidR="006E50FF" w:rsidRPr="006E50FF" w14:paraId="6C9D06C7"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23DC1B3A"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lastRenderedPageBreak/>
                    <w:t>5</w:t>
                  </w:r>
                </w:p>
              </w:tc>
              <w:tc>
                <w:tcPr>
                  <w:tcW w:w="2657" w:type="dxa"/>
                  <w:tcBorders>
                    <w:top w:val="single" w:sz="6" w:space="0" w:color="000000"/>
                    <w:left w:val="single" w:sz="6" w:space="0" w:color="000000"/>
                    <w:bottom w:val="single" w:sz="6" w:space="0" w:color="000000"/>
                    <w:right w:val="single" w:sz="6" w:space="0" w:color="000000"/>
                  </w:tcBorders>
                </w:tcPr>
                <w:p w14:paraId="4E0D4A79"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360</w:t>
                  </w:r>
                </w:p>
              </w:tc>
              <w:tc>
                <w:tcPr>
                  <w:tcW w:w="1800" w:type="dxa"/>
                  <w:tcBorders>
                    <w:top w:val="single" w:sz="6" w:space="0" w:color="000000"/>
                    <w:left w:val="single" w:sz="6" w:space="0" w:color="000000"/>
                    <w:bottom w:val="single" w:sz="6" w:space="0" w:color="000000"/>
                    <w:right w:val="single" w:sz="6" w:space="0" w:color="000000"/>
                  </w:tcBorders>
                </w:tcPr>
                <w:p w14:paraId="6EEEEBF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200</w:t>
                  </w:r>
                </w:p>
              </w:tc>
              <w:tc>
                <w:tcPr>
                  <w:tcW w:w="1711" w:type="dxa"/>
                  <w:tcBorders>
                    <w:top w:val="single" w:sz="6" w:space="0" w:color="000000"/>
                    <w:left w:val="single" w:sz="6" w:space="0" w:color="000000"/>
                    <w:bottom w:val="single" w:sz="6" w:space="0" w:color="000000"/>
                    <w:right w:val="single" w:sz="6" w:space="0" w:color="000000"/>
                  </w:tcBorders>
                </w:tcPr>
                <w:p w14:paraId="5EDEF456"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540</w:t>
                  </w:r>
                </w:p>
              </w:tc>
              <w:tc>
                <w:tcPr>
                  <w:tcW w:w="1566" w:type="dxa"/>
                  <w:tcBorders>
                    <w:top w:val="single" w:sz="6" w:space="0" w:color="000000"/>
                    <w:left w:val="single" w:sz="6" w:space="0" w:color="000000"/>
                    <w:bottom w:val="single" w:sz="6" w:space="0" w:color="000000"/>
                  </w:tcBorders>
                </w:tcPr>
                <w:p w14:paraId="2A507B75"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1,100</w:t>
                  </w:r>
                </w:p>
              </w:tc>
            </w:tr>
            <w:tr w:rsidR="006E50FF" w:rsidRPr="006E50FF" w14:paraId="442C3B6E"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5F19E0E0"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6</w:t>
                  </w:r>
                </w:p>
              </w:tc>
              <w:tc>
                <w:tcPr>
                  <w:tcW w:w="2657" w:type="dxa"/>
                  <w:tcBorders>
                    <w:top w:val="single" w:sz="6" w:space="0" w:color="000000"/>
                    <w:left w:val="single" w:sz="6" w:space="0" w:color="000000"/>
                    <w:bottom w:val="single" w:sz="6" w:space="0" w:color="000000"/>
                    <w:right w:val="single" w:sz="6" w:space="0" w:color="000000"/>
                  </w:tcBorders>
                </w:tcPr>
                <w:p w14:paraId="7ED4D075"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620</w:t>
                  </w:r>
                </w:p>
              </w:tc>
              <w:tc>
                <w:tcPr>
                  <w:tcW w:w="1800" w:type="dxa"/>
                  <w:tcBorders>
                    <w:top w:val="single" w:sz="6" w:space="0" w:color="000000"/>
                    <w:left w:val="single" w:sz="6" w:space="0" w:color="000000"/>
                    <w:bottom w:val="single" w:sz="6" w:space="0" w:color="000000"/>
                    <w:right w:val="single" w:sz="6" w:space="0" w:color="000000"/>
                  </w:tcBorders>
                </w:tcPr>
                <w:p w14:paraId="454E0599"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350</w:t>
                  </w:r>
                </w:p>
              </w:tc>
              <w:tc>
                <w:tcPr>
                  <w:tcW w:w="1711" w:type="dxa"/>
                  <w:tcBorders>
                    <w:top w:val="single" w:sz="6" w:space="0" w:color="000000"/>
                    <w:left w:val="single" w:sz="6" w:space="0" w:color="000000"/>
                    <w:bottom w:val="single" w:sz="6" w:space="0" w:color="000000"/>
                    <w:right w:val="single" w:sz="6" w:space="0" w:color="000000"/>
                  </w:tcBorders>
                </w:tcPr>
                <w:p w14:paraId="5D39AA67"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960</w:t>
                  </w:r>
                </w:p>
              </w:tc>
              <w:tc>
                <w:tcPr>
                  <w:tcW w:w="1566" w:type="dxa"/>
                  <w:tcBorders>
                    <w:top w:val="single" w:sz="6" w:space="0" w:color="000000"/>
                    <w:left w:val="single" w:sz="6" w:space="0" w:color="000000"/>
                    <w:bottom w:val="single" w:sz="6" w:space="0" w:color="000000"/>
                  </w:tcBorders>
                </w:tcPr>
                <w:p w14:paraId="084B19D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1,900</w:t>
                  </w:r>
                </w:p>
              </w:tc>
            </w:tr>
            <w:tr w:rsidR="006E50FF" w:rsidRPr="006E50FF" w14:paraId="1740F854"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6FF0C65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8</w:t>
                  </w:r>
                </w:p>
              </w:tc>
              <w:tc>
                <w:tcPr>
                  <w:tcW w:w="2657" w:type="dxa"/>
                  <w:tcBorders>
                    <w:top w:val="single" w:sz="6" w:space="0" w:color="000000"/>
                    <w:left w:val="single" w:sz="6" w:space="0" w:color="000000"/>
                    <w:bottom w:val="single" w:sz="6" w:space="0" w:color="000000"/>
                    <w:right w:val="single" w:sz="6" w:space="0" w:color="000000"/>
                  </w:tcBorders>
                </w:tcPr>
                <w:p w14:paraId="02F71B6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1,400</w:t>
                  </w:r>
                </w:p>
              </w:tc>
              <w:tc>
                <w:tcPr>
                  <w:tcW w:w="1800" w:type="dxa"/>
                  <w:tcBorders>
                    <w:top w:val="single" w:sz="6" w:space="0" w:color="000000"/>
                    <w:left w:val="single" w:sz="6" w:space="0" w:color="000000"/>
                    <w:bottom w:val="single" w:sz="6" w:space="0" w:color="000000"/>
                    <w:right w:val="single" w:sz="6" w:space="0" w:color="000000"/>
                  </w:tcBorders>
                </w:tcPr>
                <w:p w14:paraId="5CE41A9C"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600</w:t>
                  </w:r>
                </w:p>
              </w:tc>
              <w:tc>
                <w:tcPr>
                  <w:tcW w:w="1711" w:type="dxa"/>
                  <w:tcBorders>
                    <w:top w:val="single" w:sz="6" w:space="0" w:color="000000"/>
                    <w:left w:val="single" w:sz="6" w:space="0" w:color="000000"/>
                    <w:bottom w:val="single" w:sz="6" w:space="0" w:color="000000"/>
                    <w:right w:val="single" w:sz="6" w:space="0" w:color="000000"/>
                  </w:tcBorders>
                </w:tcPr>
                <w:p w14:paraId="35DDAFBC"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2,200</w:t>
                  </w:r>
                </w:p>
              </w:tc>
              <w:tc>
                <w:tcPr>
                  <w:tcW w:w="1566" w:type="dxa"/>
                  <w:tcBorders>
                    <w:top w:val="single" w:sz="6" w:space="0" w:color="000000"/>
                    <w:left w:val="single" w:sz="6" w:space="0" w:color="000000"/>
                    <w:bottom w:val="single" w:sz="6" w:space="0" w:color="000000"/>
                  </w:tcBorders>
                </w:tcPr>
                <w:p w14:paraId="14ABA0B5"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3,600</w:t>
                  </w:r>
                </w:p>
              </w:tc>
            </w:tr>
            <w:tr w:rsidR="006E50FF" w:rsidRPr="006E50FF" w14:paraId="49F4C383"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32836750"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10</w:t>
                  </w:r>
                </w:p>
              </w:tc>
              <w:tc>
                <w:tcPr>
                  <w:tcW w:w="2657" w:type="dxa"/>
                  <w:tcBorders>
                    <w:top w:val="single" w:sz="6" w:space="0" w:color="000000"/>
                    <w:left w:val="single" w:sz="6" w:space="0" w:color="000000"/>
                    <w:bottom w:val="single" w:sz="6" w:space="0" w:color="000000"/>
                    <w:right w:val="single" w:sz="6" w:space="0" w:color="000000"/>
                  </w:tcBorders>
                </w:tcPr>
                <w:p w14:paraId="761F35C3"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2,500</w:t>
                  </w:r>
                </w:p>
              </w:tc>
              <w:tc>
                <w:tcPr>
                  <w:tcW w:w="1800" w:type="dxa"/>
                  <w:tcBorders>
                    <w:top w:val="single" w:sz="6" w:space="0" w:color="000000"/>
                    <w:left w:val="single" w:sz="6" w:space="0" w:color="000000"/>
                    <w:bottom w:val="single" w:sz="6" w:space="0" w:color="000000"/>
                    <w:right w:val="single" w:sz="6" w:space="0" w:color="000000"/>
                  </w:tcBorders>
                </w:tcPr>
                <w:p w14:paraId="265E618B"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1,000</w:t>
                  </w:r>
                </w:p>
              </w:tc>
              <w:tc>
                <w:tcPr>
                  <w:tcW w:w="1711" w:type="dxa"/>
                  <w:tcBorders>
                    <w:top w:val="single" w:sz="6" w:space="0" w:color="000000"/>
                    <w:left w:val="single" w:sz="6" w:space="0" w:color="000000"/>
                    <w:bottom w:val="single" w:sz="6" w:space="0" w:color="000000"/>
                    <w:right w:val="single" w:sz="6" w:space="0" w:color="000000"/>
                  </w:tcBorders>
                </w:tcPr>
                <w:p w14:paraId="0DD0D3F6"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3,800</w:t>
                  </w:r>
                </w:p>
              </w:tc>
              <w:tc>
                <w:tcPr>
                  <w:tcW w:w="1566" w:type="dxa"/>
                  <w:tcBorders>
                    <w:top w:val="single" w:sz="6" w:space="0" w:color="000000"/>
                    <w:left w:val="single" w:sz="6" w:space="0" w:color="000000"/>
                    <w:bottom w:val="single" w:sz="6" w:space="0" w:color="000000"/>
                  </w:tcBorders>
                </w:tcPr>
                <w:p w14:paraId="1F603C4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5,600</w:t>
                  </w:r>
                </w:p>
              </w:tc>
            </w:tr>
            <w:tr w:rsidR="006E50FF" w:rsidRPr="006E50FF" w14:paraId="6EAD4496"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4DFD4504"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5"/>
                      <w:sz w:val="16"/>
                      <w:szCs w:val="16"/>
                    </w:rPr>
                    <w:t>12</w:t>
                  </w:r>
                </w:p>
              </w:tc>
              <w:tc>
                <w:tcPr>
                  <w:tcW w:w="2657" w:type="dxa"/>
                  <w:tcBorders>
                    <w:top w:val="single" w:sz="6" w:space="0" w:color="000000"/>
                    <w:left w:val="single" w:sz="6" w:space="0" w:color="000000"/>
                    <w:bottom w:val="single" w:sz="6" w:space="0" w:color="000000"/>
                    <w:right w:val="single" w:sz="6" w:space="0" w:color="000000"/>
                  </w:tcBorders>
                </w:tcPr>
                <w:p w14:paraId="084D8EC9"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3,900</w:t>
                  </w:r>
                </w:p>
              </w:tc>
              <w:tc>
                <w:tcPr>
                  <w:tcW w:w="1800" w:type="dxa"/>
                  <w:tcBorders>
                    <w:top w:val="single" w:sz="6" w:space="0" w:color="000000"/>
                    <w:left w:val="single" w:sz="6" w:space="0" w:color="000000"/>
                    <w:bottom w:val="single" w:sz="6" w:space="0" w:color="000000"/>
                    <w:right w:val="single" w:sz="6" w:space="0" w:color="000000"/>
                  </w:tcBorders>
                </w:tcPr>
                <w:p w14:paraId="226B70D0"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1,500</w:t>
                  </w:r>
                </w:p>
              </w:tc>
              <w:tc>
                <w:tcPr>
                  <w:tcW w:w="1711" w:type="dxa"/>
                  <w:tcBorders>
                    <w:top w:val="single" w:sz="6" w:space="0" w:color="000000"/>
                    <w:left w:val="single" w:sz="6" w:space="0" w:color="000000"/>
                    <w:bottom w:val="single" w:sz="6" w:space="0" w:color="000000"/>
                    <w:right w:val="single" w:sz="6" w:space="0" w:color="000000"/>
                  </w:tcBorders>
                </w:tcPr>
                <w:p w14:paraId="0ED3B375"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6,000</w:t>
                  </w:r>
                </w:p>
              </w:tc>
              <w:tc>
                <w:tcPr>
                  <w:tcW w:w="1566" w:type="dxa"/>
                  <w:tcBorders>
                    <w:top w:val="single" w:sz="6" w:space="0" w:color="000000"/>
                    <w:left w:val="single" w:sz="6" w:space="0" w:color="000000"/>
                    <w:bottom w:val="single" w:sz="6" w:space="0" w:color="000000"/>
                  </w:tcBorders>
                </w:tcPr>
                <w:p w14:paraId="6A984573"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8,400</w:t>
                  </w:r>
                </w:p>
              </w:tc>
            </w:tr>
            <w:tr w:rsidR="006E50FF" w:rsidRPr="006E50FF" w14:paraId="7FE01A31" w14:textId="77777777" w:rsidTr="0088638B">
              <w:trPr>
                <w:trHeight w:val="185"/>
                <w:jc w:val="center"/>
              </w:trPr>
              <w:tc>
                <w:tcPr>
                  <w:tcW w:w="1339" w:type="dxa"/>
                  <w:tcBorders>
                    <w:top w:val="single" w:sz="6" w:space="0" w:color="000000"/>
                    <w:right w:val="single" w:sz="6" w:space="0" w:color="000000"/>
                  </w:tcBorders>
                </w:tcPr>
                <w:p w14:paraId="082D1958" w14:textId="77777777" w:rsidR="006E50FF" w:rsidRPr="006E50FF" w:rsidRDefault="006E50FF" w:rsidP="006E50FF">
                  <w:pPr>
                    <w:widowControl w:val="0"/>
                    <w:autoSpaceDE w:val="0"/>
                    <w:autoSpaceDN w:val="0"/>
                    <w:spacing w:line="166" w:lineRule="exact"/>
                    <w:ind w:left="91" w:right="90"/>
                    <w:rPr>
                      <w:sz w:val="16"/>
                      <w:szCs w:val="16"/>
                    </w:rPr>
                  </w:pPr>
                  <w:r w:rsidRPr="006E50FF">
                    <w:rPr>
                      <w:spacing w:val="-5"/>
                      <w:sz w:val="16"/>
                      <w:szCs w:val="16"/>
                    </w:rPr>
                    <w:t>15</w:t>
                  </w:r>
                </w:p>
              </w:tc>
              <w:tc>
                <w:tcPr>
                  <w:tcW w:w="2657" w:type="dxa"/>
                  <w:tcBorders>
                    <w:top w:val="single" w:sz="6" w:space="0" w:color="000000"/>
                    <w:left w:val="single" w:sz="6" w:space="0" w:color="000000"/>
                    <w:right w:val="single" w:sz="6" w:space="0" w:color="000000"/>
                  </w:tcBorders>
                </w:tcPr>
                <w:p w14:paraId="4531F958" w14:textId="77777777" w:rsidR="006E50FF" w:rsidRPr="006E50FF" w:rsidRDefault="006E50FF" w:rsidP="006E50FF">
                  <w:pPr>
                    <w:widowControl w:val="0"/>
                    <w:autoSpaceDE w:val="0"/>
                    <w:autoSpaceDN w:val="0"/>
                    <w:spacing w:line="166" w:lineRule="exact"/>
                    <w:ind w:left="91" w:right="90"/>
                    <w:rPr>
                      <w:sz w:val="16"/>
                      <w:szCs w:val="16"/>
                    </w:rPr>
                  </w:pPr>
                  <w:r w:rsidRPr="006E50FF">
                    <w:rPr>
                      <w:spacing w:val="-2"/>
                      <w:sz w:val="16"/>
                      <w:szCs w:val="16"/>
                    </w:rPr>
                    <w:t>7,000</w:t>
                  </w:r>
                </w:p>
              </w:tc>
              <w:tc>
                <w:tcPr>
                  <w:tcW w:w="1800" w:type="dxa"/>
                  <w:tcBorders>
                    <w:top w:val="single" w:sz="6" w:space="0" w:color="000000"/>
                    <w:left w:val="single" w:sz="6" w:space="0" w:color="000000"/>
                    <w:right w:val="single" w:sz="6" w:space="0" w:color="000000"/>
                  </w:tcBorders>
                </w:tcPr>
                <w:p w14:paraId="29377D89" w14:textId="77777777" w:rsidR="006E50FF" w:rsidRPr="006E50FF" w:rsidRDefault="006E50FF" w:rsidP="006E50FF">
                  <w:pPr>
                    <w:widowControl w:val="0"/>
                    <w:autoSpaceDE w:val="0"/>
                    <w:autoSpaceDN w:val="0"/>
                    <w:spacing w:line="166" w:lineRule="exact"/>
                    <w:ind w:left="91" w:right="90"/>
                    <w:rPr>
                      <w:sz w:val="16"/>
                      <w:szCs w:val="16"/>
                    </w:rPr>
                  </w:pPr>
                  <w:r w:rsidRPr="006E50FF">
                    <w:rPr>
                      <w:sz w:val="16"/>
                      <w:szCs w:val="16"/>
                    </w:rPr>
                    <w:t>Note</w:t>
                  </w:r>
                  <w:r w:rsidRPr="006E50FF">
                    <w:rPr>
                      <w:spacing w:val="-5"/>
                      <w:sz w:val="16"/>
                      <w:szCs w:val="16"/>
                    </w:rPr>
                    <w:t xml:space="preserve"> </w:t>
                  </w:r>
                  <w:r w:rsidRPr="006E50FF">
                    <w:rPr>
                      <w:spacing w:val="-10"/>
                      <w:sz w:val="16"/>
                      <w:szCs w:val="16"/>
                    </w:rPr>
                    <w:t>c</w:t>
                  </w:r>
                </w:p>
              </w:tc>
              <w:tc>
                <w:tcPr>
                  <w:tcW w:w="1711" w:type="dxa"/>
                  <w:tcBorders>
                    <w:top w:val="single" w:sz="6" w:space="0" w:color="000000"/>
                    <w:left w:val="single" w:sz="6" w:space="0" w:color="000000"/>
                    <w:right w:val="single" w:sz="6" w:space="0" w:color="000000"/>
                  </w:tcBorders>
                </w:tcPr>
                <w:p w14:paraId="50D7BF12" w14:textId="77777777" w:rsidR="006E50FF" w:rsidRPr="006E50FF" w:rsidRDefault="006E50FF" w:rsidP="006E50FF">
                  <w:pPr>
                    <w:widowControl w:val="0"/>
                    <w:autoSpaceDE w:val="0"/>
                    <w:autoSpaceDN w:val="0"/>
                    <w:spacing w:line="166" w:lineRule="exact"/>
                    <w:ind w:left="91" w:right="90"/>
                    <w:rPr>
                      <w:sz w:val="16"/>
                      <w:szCs w:val="16"/>
                    </w:rPr>
                  </w:pPr>
                  <w:r w:rsidRPr="006E50FF">
                    <w:rPr>
                      <w:sz w:val="16"/>
                      <w:szCs w:val="16"/>
                    </w:rPr>
                    <w:t>Note</w:t>
                  </w:r>
                  <w:r w:rsidRPr="006E50FF">
                    <w:rPr>
                      <w:spacing w:val="-5"/>
                      <w:sz w:val="16"/>
                      <w:szCs w:val="16"/>
                    </w:rPr>
                    <w:t xml:space="preserve"> </w:t>
                  </w:r>
                  <w:r w:rsidRPr="006E50FF">
                    <w:rPr>
                      <w:spacing w:val="-10"/>
                      <w:sz w:val="16"/>
                      <w:szCs w:val="16"/>
                    </w:rPr>
                    <w:t>c</w:t>
                  </w:r>
                </w:p>
              </w:tc>
              <w:tc>
                <w:tcPr>
                  <w:tcW w:w="1566" w:type="dxa"/>
                  <w:tcBorders>
                    <w:top w:val="single" w:sz="6" w:space="0" w:color="000000"/>
                    <w:left w:val="single" w:sz="6" w:space="0" w:color="000000"/>
                  </w:tcBorders>
                </w:tcPr>
                <w:p w14:paraId="7FC9E842" w14:textId="77777777" w:rsidR="006E50FF" w:rsidRPr="006E50FF" w:rsidRDefault="006E50FF" w:rsidP="006E50FF">
                  <w:pPr>
                    <w:widowControl w:val="0"/>
                    <w:autoSpaceDE w:val="0"/>
                    <w:autoSpaceDN w:val="0"/>
                    <w:spacing w:line="166" w:lineRule="exact"/>
                    <w:ind w:left="91" w:right="90"/>
                    <w:rPr>
                      <w:sz w:val="16"/>
                      <w:szCs w:val="16"/>
                    </w:rPr>
                  </w:pPr>
                  <w:r w:rsidRPr="006E50FF">
                    <w:rPr>
                      <w:sz w:val="16"/>
                      <w:szCs w:val="16"/>
                    </w:rPr>
                    <w:t>Note</w:t>
                  </w:r>
                  <w:r w:rsidRPr="006E50FF">
                    <w:rPr>
                      <w:spacing w:val="-5"/>
                      <w:sz w:val="16"/>
                      <w:szCs w:val="16"/>
                    </w:rPr>
                    <w:t xml:space="preserve"> </w:t>
                  </w:r>
                  <w:r w:rsidRPr="006E50FF">
                    <w:rPr>
                      <w:spacing w:val="-10"/>
                      <w:sz w:val="16"/>
                      <w:szCs w:val="16"/>
                    </w:rPr>
                    <w:t>c</w:t>
                  </w:r>
                </w:p>
              </w:tc>
            </w:tr>
          </w:tbl>
          <w:p w14:paraId="5359D17F" w14:textId="77777777" w:rsidR="006E50FF" w:rsidRPr="006E50FF" w:rsidRDefault="006E50FF" w:rsidP="006E50FF">
            <w:pPr>
              <w:widowControl w:val="0"/>
              <w:autoSpaceDE w:val="0"/>
              <w:autoSpaceDN w:val="0"/>
              <w:spacing w:before="1"/>
              <w:ind w:right="90"/>
              <w:rPr>
                <w:sz w:val="16"/>
                <w:szCs w:val="16"/>
              </w:rPr>
            </w:pPr>
          </w:p>
          <w:p w14:paraId="37C6CD2E"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For</w:t>
            </w:r>
            <w:r w:rsidRPr="006E50FF">
              <w:rPr>
                <w:spacing w:val="-4"/>
                <w:sz w:val="16"/>
                <w:szCs w:val="16"/>
              </w:rPr>
              <w:t xml:space="preserve"> </w:t>
            </w:r>
            <w:r w:rsidRPr="006E50FF">
              <w:rPr>
                <w:sz w:val="16"/>
                <w:szCs w:val="16"/>
              </w:rPr>
              <w:t>SI:</w:t>
            </w:r>
            <w:r w:rsidRPr="006E50FF">
              <w:rPr>
                <w:spacing w:val="-3"/>
                <w:sz w:val="16"/>
                <w:szCs w:val="16"/>
              </w:rPr>
              <w:t xml:space="preserve"> </w:t>
            </w:r>
            <w:r w:rsidRPr="006E50FF">
              <w:rPr>
                <w:sz w:val="16"/>
                <w:szCs w:val="16"/>
              </w:rPr>
              <w:t>1</w:t>
            </w:r>
            <w:r w:rsidRPr="006E50FF">
              <w:rPr>
                <w:spacing w:val="-1"/>
                <w:sz w:val="16"/>
                <w:szCs w:val="16"/>
              </w:rPr>
              <w:t xml:space="preserve"> </w:t>
            </w:r>
            <w:r w:rsidRPr="006E50FF">
              <w:rPr>
                <w:sz w:val="16"/>
                <w:szCs w:val="16"/>
              </w:rPr>
              <w:t>inch</w:t>
            </w:r>
            <w:r w:rsidRPr="006E50FF">
              <w:rPr>
                <w:spacing w:val="-3"/>
                <w:sz w:val="16"/>
                <w:szCs w:val="16"/>
              </w:rPr>
              <w:t xml:space="preserve"> </w:t>
            </w:r>
            <w:r w:rsidRPr="006E50FF">
              <w:rPr>
                <w:sz w:val="16"/>
                <w:szCs w:val="16"/>
              </w:rPr>
              <w:t>=</w:t>
            </w:r>
            <w:r w:rsidRPr="006E50FF">
              <w:rPr>
                <w:spacing w:val="-4"/>
                <w:sz w:val="16"/>
                <w:szCs w:val="16"/>
              </w:rPr>
              <w:t xml:space="preserve"> </w:t>
            </w:r>
            <w:r w:rsidRPr="006E50FF">
              <w:rPr>
                <w:sz w:val="16"/>
                <w:szCs w:val="16"/>
              </w:rPr>
              <w:t>25.4</w:t>
            </w:r>
            <w:r w:rsidRPr="006E50FF">
              <w:rPr>
                <w:spacing w:val="-1"/>
                <w:sz w:val="16"/>
                <w:szCs w:val="16"/>
              </w:rPr>
              <w:t xml:space="preserve"> </w:t>
            </w:r>
            <w:r w:rsidRPr="006E50FF">
              <w:rPr>
                <w:spacing w:val="-5"/>
                <w:sz w:val="16"/>
                <w:szCs w:val="16"/>
              </w:rPr>
              <w:t>mm.</w:t>
            </w:r>
          </w:p>
          <w:p w14:paraId="60BA2198" w14:textId="77777777" w:rsidR="006E50FF" w:rsidRPr="006E50FF" w:rsidRDefault="006E50FF" w:rsidP="006E50FF">
            <w:pPr>
              <w:widowControl w:val="0"/>
              <w:autoSpaceDE w:val="0"/>
              <w:autoSpaceDN w:val="0"/>
              <w:spacing w:line="183" w:lineRule="exact"/>
              <w:ind w:left="91" w:right="90"/>
              <w:rPr>
                <w:sz w:val="16"/>
                <w:szCs w:val="16"/>
              </w:rPr>
            </w:pPr>
            <w:r w:rsidRPr="006E50FF">
              <w:rPr>
                <w:sz w:val="16"/>
                <w:szCs w:val="16"/>
                <w:vertAlign w:val="superscript"/>
              </w:rPr>
              <w:t>a</w:t>
            </w:r>
            <w:r w:rsidRPr="006E50FF">
              <w:rPr>
                <w:spacing w:val="-3"/>
                <w:sz w:val="16"/>
                <w:szCs w:val="16"/>
              </w:rPr>
              <w:t xml:space="preserve">  </w:t>
            </w:r>
            <w:r w:rsidRPr="006E50FF">
              <w:rPr>
                <w:sz w:val="16"/>
                <w:szCs w:val="16"/>
              </w:rPr>
              <w:t>Does</w:t>
            </w:r>
            <w:r w:rsidRPr="006E50FF">
              <w:rPr>
                <w:spacing w:val="-4"/>
                <w:sz w:val="16"/>
                <w:szCs w:val="16"/>
              </w:rPr>
              <w:t xml:space="preserve"> </w:t>
            </w:r>
            <w:r w:rsidRPr="006E50FF">
              <w:rPr>
                <w:sz w:val="16"/>
                <w:szCs w:val="16"/>
              </w:rPr>
              <w:t>not</w:t>
            </w:r>
            <w:r w:rsidRPr="006E50FF">
              <w:rPr>
                <w:spacing w:val="-4"/>
                <w:sz w:val="16"/>
                <w:szCs w:val="16"/>
              </w:rPr>
              <w:t xml:space="preserve"> </w:t>
            </w:r>
            <w:r w:rsidRPr="006E50FF">
              <w:rPr>
                <w:sz w:val="16"/>
                <w:szCs w:val="16"/>
              </w:rPr>
              <w:t>include</w:t>
            </w:r>
            <w:r w:rsidRPr="006E50FF">
              <w:rPr>
                <w:spacing w:val="-6"/>
                <w:sz w:val="16"/>
                <w:szCs w:val="16"/>
              </w:rPr>
              <w:t xml:space="preserve"> </w:t>
            </w:r>
            <w:r w:rsidRPr="006E50FF">
              <w:rPr>
                <w:sz w:val="16"/>
                <w:szCs w:val="16"/>
              </w:rPr>
              <w:t>branches</w:t>
            </w:r>
            <w:r w:rsidRPr="006E50FF">
              <w:rPr>
                <w:spacing w:val="-3"/>
                <w:sz w:val="16"/>
                <w:szCs w:val="16"/>
              </w:rPr>
              <w:t xml:space="preserve"> </w:t>
            </w:r>
            <w:r w:rsidRPr="006E50FF">
              <w:rPr>
                <w:sz w:val="16"/>
                <w:szCs w:val="16"/>
              </w:rPr>
              <w:t>of</w:t>
            </w:r>
            <w:r w:rsidRPr="006E50FF">
              <w:rPr>
                <w:spacing w:val="-5"/>
                <w:sz w:val="16"/>
                <w:szCs w:val="16"/>
              </w:rPr>
              <w:t xml:space="preserve"> </w:t>
            </w:r>
            <w:r w:rsidRPr="006E50FF">
              <w:rPr>
                <w:sz w:val="16"/>
                <w:szCs w:val="16"/>
              </w:rPr>
              <w:t>the</w:t>
            </w:r>
            <w:r w:rsidRPr="006E50FF">
              <w:rPr>
                <w:spacing w:val="-5"/>
                <w:sz w:val="16"/>
                <w:szCs w:val="16"/>
              </w:rPr>
              <w:t xml:space="preserve"> </w:t>
            </w:r>
            <w:r w:rsidRPr="006E50FF">
              <w:rPr>
                <w:sz w:val="16"/>
                <w:szCs w:val="16"/>
              </w:rPr>
              <w:t>building</w:t>
            </w:r>
            <w:r w:rsidRPr="006E50FF">
              <w:rPr>
                <w:spacing w:val="-7"/>
                <w:sz w:val="16"/>
                <w:szCs w:val="16"/>
              </w:rPr>
              <w:t xml:space="preserve"> </w:t>
            </w:r>
            <w:r w:rsidRPr="006E50FF">
              <w:rPr>
                <w:sz w:val="16"/>
                <w:szCs w:val="16"/>
              </w:rPr>
              <w:t>drain.</w:t>
            </w:r>
            <w:r w:rsidRPr="006E50FF">
              <w:rPr>
                <w:spacing w:val="-3"/>
                <w:sz w:val="16"/>
                <w:szCs w:val="16"/>
              </w:rPr>
              <w:t xml:space="preserve"> </w:t>
            </w:r>
            <w:r w:rsidRPr="006E50FF">
              <w:rPr>
                <w:sz w:val="16"/>
                <w:szCs w:val="16"/>
              </w:rPr>
              <w:t>Refer</w:t>
            </w:r>
            <w:r w:rsidRPr="006E50FF">
              <w:rPr>
                <w:spacing w:val="-4"/>
                <w:sz w:val="16"/>
                <w:szCs w:val="16"/>
              </w:rPr>
              <w:t xml:space="preserve"> </w:t>
            </w:r>
            <w:r w:rsidRPr="006E50FF">
              <w:rPr>
                <w:sz w:val="16"/>
                <w:szCs w:val="16"/>
              </w:rPr>
              <w:t>to</w:t>
            </w:r>
            <w:r w:rsidRPr="006E50FF">
              <w:rPr>
                <w:spacing w:val="-5"/>
                <w:sz w:val="16"/>
                <w:szCs w:val="16"/>
              </w:rPr>
              <w:t xml:space="preserve"> </w:t>
            </w:r>
            <w:r w:rsidRPr="006E50FF">
              <w:rPr>
                <w:sz w:val="16"/>
                <w:szCs w:val="16"/>
              </w:rPr>
              <w:t>Table</w:t>
            </w:r>
            <w:r w:rsidRPr="006E50FF">
              <w:rPr>
                <w:spacing w:val="-5"/>
                <w:sz w:val="16"/>
                <w:szCs w:val="16"/>
              </w:rPr>
              <w:t xml:space="preserve"> </w:t>
            </w:r>
            <w:r w:rsidRPr="006E50FF">
              <w:rPr>
                <w:spacing w:val="-2"/>
                <w:sz w:val="16"/>
                <w:szCs w:val="16"/>
              </w:rPr>
              <w:t>710.1(1).</w:t>
            </w:r>
          </w:p>
          <w:p w14:paraId="5FA7B3C9" w14:textId="77777777" w:rsidR="006E50FF" w:rsidRPr="006E50FF" w:rsidRDefault="006E50FF" w:rsidP="006E50FF">
            <w:pPr>
              <w:widowControl w:val="0"/>
              <w:tabs>
                <w:tab w:val="left" w:pos="180"/>
              </w:tabs>
              <w:autoSpaceDE w:val="0"/>
              <w:autoSpaceDN w:val="0"/>
              <w:ind w:left="180" w:right="90" w:hanging="90"/>
              <w:rPr>
                <w:sz w:val="16"/>
                <w:szCs w:val="16"/>
              </w:rPr>
            </w:pPr>
            <w:r w:rsidRPr="006E50FF">
              <w:rPr>
                <w:sz w:val="16"/>
                <w:szCs w:val="16"/>
                <w:vertAlign w:val="superscript"/>
              </w:rPr>
              <w:t>b</w:t>
            </w:r>
            <w:r w:rsidRPr="006E50FF">
              <w:rPr>
                <w:spacing w:val="-3"/>
                <w:sz w:val="16"/>
                <w:szCs w:val="16"/>
              </w:rPr>
              <w:t xml:space="preserve">  </w:t>
            </w:r>
            <w:r w:rsidRPr="006E50FF">
              <w:rPr>
                <w:sz w:val="16"/>
                <w:szCs w:val="16"/>
              </w:rPr>
              <w:t>Soil</w:t>
            </w:r>
            <w:r w:rsidRPr="006E50FF">
              <w:rPr>
                <w:spacing w:val="-2"/>
                <w:sz w:val="16"/>
                <w:szCs w:val="16"/>
              </w:rPr>
              <w:t xml:space="preserve"> </w:t>
            </w:r>
            <w:r w:rsidRPr="006E50FF">
              <w:rPr>
                <w:sz w:val="16"/>
                <w:szCs w:val="16"/>
              </w:rPr>
              <w:t>stacks</w:t>
            </w:r>
            <w:r w:rsidRPr="006E50FF">
              <w:rPr>
                <w:spacing w:val="-3"/>
                <w:sz w:val="16"/>
                <w:szCs w:val="16"/>
              </w:rPr>
              <w:t xml:space="preserve"> </w:t>
            </w:r>
            <w:r w:rsidRPr="006E50FF">
              <w:rPr>
                <w:sz w:val="16"/>
                <w:szCs w:val="16"/>
              </w:rPr>
              <w:t>shall</w:t>
            </w:r>
            <w:r w:rsidRPr="006E50FF">
              <w:rPr>
                <w:spacing w:val="-2"/>
                <w:sz w:val="16"/>
                <w:szCs w:val="16"/>
              </w:rPr>
              <w:t xml:space="preserve"> </w:t>
            </w:r>
            <w:r w:rsidRPr="006E50FF">
              <w:rPr>
                <w:sz w:val="16"/>
                <w:szCs w:val="16"/>
              </w:rPr>
              <w:t>be</w:t>
            </w:r>
            <w:r w:rsidRPr="006E50FF">
              <w:rPr>
                <w:spacing w:val="-3"/>
                <w:sz w:val="16"/>
                <w:szCs w:val="16"/>
              </w:rPr>
              <w:t xml:space="preserve"> </w:t>
            </w:r>
            <w:r w:rsidRPr="006E50FF">
              <w:rPr>
                <w:sz w:val="16"/>
                <w:szCs w:val="16"/>
              </w:rPr>
              <w:t>sized</w:t>
            </w:r>
            <w:r w:rsidRPr="006E50FF">
              <w:rPr>
                <w:spacing w:val="-2"/>
                <w:sz w:val="16"/>
                <w:szCs w:val="16"/>
              </w:rPr>
              <w:t xml:space="preserve"> </w:t>
            </w:r>
            <w:r w:rsidRPr="006E50FF">
              <w:rPr>
                <w:sz w:val="16"/>
                <w:szCs w:val="16"/>
              </w:rPr>
              <w:t>based</w:t>
            </w:r>
            <w:r w:rsidRPr="006E50FF">
              <w:rPr>
                <w:spacing w:val="-1"/>
                <w:sz w:val="16"/>
                <w:szCs w:val="16"/>
              </w:rPr>
              <w:t xml:space="preserve"> </w:t>
            </w:r>
            <w:r w:rsidRPr="006E50FF">
              <w:rPr>
                <w:sz w:val="16"/>
                <w:szCs w:val="16"/>
              </w:rPr>
              <w:t>on</w:t>
            </w:r>
            <w:r w:rsidRPr="006E50FF">
              <w:rPr>
                <w:spacing w:val="-2"/>
                <w:sz w:val="16"/>
                <w:szCs w:val="16"/>
              </w:rPr>
              <w:t xml:space="preserve"> </w:t>
            </w:r>
            <w:r w:rsidRPr="006E50FF">
              <w:rPr>
                <w:sz w:val="16"/>
                <w:szCs w:val="16"/>
              </w:rPr>
              <w:t>the</w:t>
            </w:r>
            <w:r w:rsidRPr="006E50FF">
              <w:rPr>
                <w:spacing w:val="-3"/>
                <w:sz w:val="16"/>
                <w:szCs w:val="16"/>
              </w:rPr>
              <w:t xml:space="preserve"> </w:t>
            </w:r>
            <w:r w:rsidRPr="006E50FF">
              <w:rPr>
                <w:sz w:val="16"/>
                <w:szCs w:val="16"/>
              </w:rPr>
              <w:t>total</w:t>
            </w:r>
            <w:r w:rsidRPr="006E50FF">
              <w:rPr>
                <w:spacing w:val="-2"/>
                <w:sz w:val="16"/>
                <w:szCs w:val="16"/>
              </w:rPr>
              <w:t xml:space="preserve"> </w:t>
            </w:r>
            <w:r w:rsidRPr="006E50FF">
              <w:rPr>
                <w:sz w:val="16"/>
                <w:szCs w:val="16"/>
              </w:rPr>
              <w:t>accumulated</w:t>
            </w:r>
            <w:r w:rsidRPr="006E50FF">
              <w:rPr>
                <w:spacing w:val="-1"/>
                <w:sz w:val="16"/>
                <w:szCs w:val="16"/>
              </w:rPr>
              <w:t xml:space="preserve"> </w:t>
            </w:r>
            <w:r w:rsidRPr="006E50FF">
              <w:rPr>
                <w:sz w:val="16"/>
                <w:szCs w:val="16"/>
              </w:rPr>
              <w:t>connected</w:t>
            </w:r>
            <w:r w:rsidRPr="006E50FF">
              <w:rPr>
                <w:spacing w:val="-1"/>
                <w:sz w:val="16"/>
                <w:szCs w:val="16"/>
              </w:rPr>
              <w:t xml:space="preserve"> </w:t>
            </w:r>
            <w:r w:rsidRPr="006E50FF">
              <w:rPr>
                <w:sz w:val="16"/>
                <w:szCs w:val="16"/>
              </w:rPr>
              <w:t>load</w:t>
            </w:r>
            <w:r w:rsidRPr="006E50FF">
              <w:rPr>
                <w:spacing w:val="-2"/>
                <w:sz w:val="16"/>
                <w:szCs w:val="16"/>
              </w:rPr>
              <w:t xml:space="preserve"> </w:t>
            </w:r>
            <w:r w:rsidRPr="006E50FF">
              <w:rPr>
                <w:sz w:val="16"/>
                <w:szCs w:val="16"/>
              </w:rPr>
              <w:t>at</w:t>
            </w:r>
            <w:r w:rsidRPr="006E50FF">
              <w:rPr>
                <w:spacing w:val="-5"/>
                <w:sz w:val="16"/>
                <w:szCs w:val="16"/>
              </w:rPr>
              <w:t xml:space="preserve"> </w:t>
            </w:r>
            <w:r w:rsidRPr="006E50FF">
              <w:rPr>
                <w:sz w:val="16"/>
                <w:szCs w:val="16"/>
              </w:rPr>
              <w:t>each</w:t>
            </w:r>
            <w:r w:rsidRPr="006E50FF">
              <w:rPr>
                <w:spacing w:val="-1"/>
                <w:sz w:val="16"/>
                <w:szCs w:val="16"/>
              </w:rPr>
              <w:t xml:space="preserve"> </w:t>
            </w:r>
            <w:r w:rsidRPr="006E50FF">
              <w:rPr>
                <w:sz w:val="16"/>
                <w:szCs w:val="16"/>
              </w:rPr>
              <w:t>story</w:t>
            </w:r>
            <w:r w:rsidRPr="006E50FF">
              <w:rPr>
                <w:spacing w:val="-4"/>
                <w:sz w:val="16"/>
                <w:szCs w:val="16"/>
              </w:rPr>
              <w:t xml:space="preserve"> </w:t>
            </w:r>
            <w:r w:rsidRPr="006E50FF">
              <w:rPr>
                <w:sz w:val="16"/>
                <w:szCs w:val="16"/>
              </w:rPr>
              <w:t>or</w:t>
            </w:r>
            <w:r w:rsidRPr="006E50FF">
              <w:rPr>
                <w:spacing w:val="-2"/>
                <w:sz w:val="16"/>
                <w:szCs w:val="16"/>
              </w:rPr>
              <w:t xml:space="preserve"> </w:t>
            </w:r>
            <w:r w:rsidRPr="006E50FF">
              <w:rPr>
                <w:sz w:val="16"/>
                <w:szCs w:val="16"/>
              </w:rPr>
              <w:t>branch</w:t>
            </w:r>
            <w:r w:rsidRPr="006E50FF">
              <w:rPr>
                <w:spacing w:val="-1"/>
                <w:sz w:val="16"/>
                <w:szCs w:val="16"/>
              </w:rPr>
              <w:t xml:space="preserve"> </w:t>
            </w:r>
            <w:r w:rsidRPr="006E50FF">
              <w:rPr>
                <w:sz w:val="16"/>
                <w:szCs w:val="16"/>
              </w:rPr>
              <w:t>interval.</w:t>
            </w:r>
            <w:r w:rsidRPr="006E50FF">
              <w:rPr>
                <w:spacing w:val="-1"/>
                <w:sz w:val="16"/>
                <w:szCs w:val="16"/>
              </w:rPr>
              <w:t xml:space="preserve"> </w:t>
            </w:r>
            <w:r w:rsidRPr="006E50FF">
              <w:rPr>
                <w:sz w:val="16"/>
                <w:szCs w:val="16"/>
              </w:rPr>
              <w:t>As</w:t>
            </w:r>
            <w:r w:rsidRPr="006E50FF">
              <w:rPr>
                <w:spacing w:val="-2"/>
                <w:sz w:val="16"/>
                <w:szCs w:val="16"/>
              </w:rPr>
              <w:t xml:space="preserve"> </w:t>
            </w:r>
            <w:r w:rsidRPr="006E50FF">
              <w:rPr>
                <w:sz w:val="16"/>
                <w:szCs w:val="16"/>
              </w:rPr>
              <w:t>the</w:t>
            </w:r>
            <w:r w:rsidRPr="006E50FF">
              <w:rPr>
                <w:spacing w:val="-3"/>
                <w:sz w:val="16"/>
                <w:szCs w:val="16"/>
              </w:rPr>
              <w:t xml:space="preserve"> </w:t>
            </w:r>
            <w:r w:rsidRPr="006E50FF">
              <w:rPr>
                <w:sz w:val="16"/>
                <w:szCs w:val="16"/>
              </w:rPr>
              <w:t>total accumulated</w:t>
            </w:r>
            <w:r w:rsidRPr="006E50FF">
              <w:rPr>
                <w:spacing w:val="-2"/>
                <w:sz w:val="16"/>
                <w:szCs w:val="16"/>
              </w:rPr>
              <w:t xml:space="preserve"> </w:t>
            </w:r>
            <w:r w:rsidRPr="006E50FF">
              <w:rPr>
                <w:sz w:val="16"/>
                <w:szCs w:val="16"/>
              </w:rPr>
              <w:t>connected</w:t>
            </w:r>
            <w:r w:rsidRPr="006E50FF">
              <w:rPr>
                <w:spacing w:val="-2"/>
                <w:sz w:val="16"/>
                <w:szCs w:val="16"/>
              </w:rPr>
              <w:t xml:space="preserve"> </w:t>
            </w:r>
            <w:r w:rsidRPr="006E50FF">
              <w:rPr>
                <w:sz w:val="16"/>
                <w:szCs w:val="16"/>
              </w:rPr>
              <w:t>load</w:t>
            </w:r>
            <w:r w:rsidRPr="006E50FF">
              <w:rPr>
                <w:spacing w:val="-2"/>
                <w:sz w:val="16"/>
                <w:szCs w:val="16"/>
              </w:rPr>
              <w:t xml:space="preserve"> </w:t>
            </w:r>
            <w:r w:rsidRPr="006E50FF">
              <w:rPr>
                <w:sz w:val="16"/>
                <w:szCs w:val="16"/>
              </w:rPr>
              <w:t>decreases,</w:t>
            </w:r>
            <w:r w:rsidRPr="006E50FF">
              <w:rPr>
                <w:spacing w:val="40"/>
                <w:sz w:val="16"/>
                <w:szCs w:val="16"/>
              </w:rPr>
              <w:t xml:space="preserve"> </w:t>
            </w:r>
            <w:r w:rsidRPr="006E50FF">
              <w:rPr>
                <w:sz w:val="16"/>
                <w:szCs w:val="16"/>
              </w:rPr>
              <w:t>stacks are permitted to be reduced in size. Stack diameters shall not be reduced to less than one-half of the</w:t>
            </w:r>
            <w:r w:rsidRPr="006E50FF">
              <w:rPr>
                <w:spacing w:val="-1"/>
                <w:sz w:val="16"/>
                <w:szCs w:val="16"/>
              </w:rPr>
              <w:t xml:space="preserve"> </w:t>
            </w:r>
            <w:r w:rsidRPr="006E50FF">
              <w:rPr>
                <w:sz w:val="16"/>
                <w:szCs w:val="16"/>
              </w:rPr>
              <w:t>diameter of the largest stack size required.</w:t>
            </w:r>
          </w:p>
          <w:p w14:paraId="3FA9119E" w14:textId="77777777" w:rsidR="006E50FF" w:rsidRPr="006E50FF" w:rsidRDefault="006E50FF" w:rsidP="006E50FF">
            <w:pPr>
              <w:ind w:left="91" w:right="90"/>
              <w:rPr>
                <w:rFonts w:eastAsia="Aptos"/>
                <w:kern w:val="2"/>
                <w:sz w:val="16"/>
                <w:szCs w:val="16"/>
              </w:rPr>
            </w:pPr>
            <w:r w:rsidRPr="006E50FF">
              <w:rPr>
                <w:sz w:val="16"/>
                <w:szCs w:val="16"/>
                <w:vertAlign w:val="superscript"/>
              </w:rPr>
              <w:t>c</w:t>
            </w:r>
            <w:r w:rsidRPr="006E50FF">
              <w:rPr>
                <w:spacing w:val="-4"/>
                <w:sz w:val="16"/>
                <w:szCs w:val="16"/>
              </w:rPr>
              <w:t xml:space="preserve">  </w:t>
            </w:r>
            <w:r w:rsidRPr="006E50FF">
              <w:rPr>
                <w:sz w:val="16"/>
                <w:szCs w:val="16"/>
              </w:rPr>
              <w:t>Sizing</w:t>
            </w:r>
            <w:r w:rsidRPr="006E50FF">
              <w:rPr>
                <w:spacing w:val="-2"/>
                <w:sz w:val="16"/>
                <w:szCs w:val="16"/>
              </w:rPr>
              <w:t xml:space="preserve"> </w:t>
            </w:r>
            <w:r w:rsidRPr="006E50FF">
              <w:rPr>
                <w:sz w:val="16"/>
                <w:szCs w:val="16"/>
              </w:rPr>
              <w:t>load</w:t>
            </w:r>
            <w:r w:rsidRPr="006E50FF">
              <w:rPr>
                <w:spacing w:val="-4"/>
                <w:sz w:val="16"/>
                <w:szCs w:val="16"/>
              </w:rPr>
              <w:t xml:space="preserve"> </w:t>
            </w:r>
            <w:r w:rsidRPr="006E50FF">
              <w:rPr>
                <w:sz w:val="16"/>
                <w:szCs w:val="16"/>
              </w:rPr>
              <w:t>based</w:t>
            </w:r>
            <w:r w:rsidRPr="006E50FF">
              <w:rPr>
                <w:spacing w:val="-3"/>
                <w:sz w:val="16"/>
                <w:szCs w:val="16"/>
              </w:rPr>
              <w:t xml:space="preserve"> </w:t>
            </w:r>
            <w:r w:rsidRPr="006E50FF">
              <w:rPr>
                <w:sz w:val="16"/>
                <w:szCs w:val="16"/>
              </w:rPr>
              <w:t>on</w:t>
            </w:r>
            <w:r w:rsidRPr="006E50FF">
              <w:rPr>
                <w:spacing w:val="-4"/>
                <w:sz w:val="16"/>
                <w:szCs w:val="16"/>
              </w:rPr>
              <w:t xml:space="preserve"> </w:t>
            </w:r>
            <w:r w:rsidRPr="006E50FF">
              <w:rPr>
                <w:sz w:val="16"/>
                <w:szCs w:val="16"/>
              </w:rPr>
              <w:t>design</w:t>
            </w:r>
            <w:r w:rsidRPr="006E50FF">
              <w:rPr>
                <w:spacing w:val="-3"/>
                <w:sz w:val="16"/>
                <w:szCs w:val="16"/>
              </w:rPr>
              <w:t xml:space="preserve"> </w:t>
            </w:r>
            <w:r w:rsidRPr="006E50FF">
              <w:rPr>
                <w:spacing w:val="-2"/>
                <w:sz w:val="16"/>
                <w:szCs w:val="16"/>
              </w:rPr>
              <w:t>criteria.</w:t>
            </w:r>
          </w:p>
        </w:tc>
      </w:tr>
      <w:tr w:rsidR="006E50FF" w:rsidRPr="006E50FF" w14:paraId="32EA5481"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5EBEE4B2"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single" w:sz="4" w:space="0" w:color="auto"/>
              <w:left w:val="single" w:sz="4" w:space="0" w:color="auto"/>
              <w:bottom w:val="single" w:sz="4" w:space="0" w:color="auto"/>
              <w:right w:val="single" w:sz="4" w:space="0" w:color="auto"/>
            </w:tcBorders>
          </w:tcPr>
          <w:p w14:paraId="5C585AF4"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710.3, Underground Drainage Piping.</w:t>
            </w:r>
          </w:p>
        </w:tc>
        <w:tc>
          <w:tcPr>
            <w:tcW w:w="7043" w:type="dxa"/>
            <w:gridSpan w:val="2"/>
            <w:tcBorders>
              <w:top w:val="single" w:sz="4" w:space="0" w:color="auto"/>
              <w:left w:val="single" w:sz="4" w:space="0" w:color="auto"/>
              <w:bottom w:val="single" w:sz="4" w:space="0" w:color="auto"/>
              <w:right w:val="single" w:sz="4" w:space="0" w:color="auto"/>
            </w:tcBorders>
          </w:tcPr>
          <w:p w14:paraId="44A617C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Any portion of the drainage system installed underground or below a basement or cellar shall not be less than 2- inch diameter. In addition, any portion of the drainage system installed underground which is located upstream from a grease trap or grease interceptor as well as the underground horizontal branch receiving the discharge there from shall not be less than 3-inch diameter.</w:t>
            </w:r>
          </w:p>
        </w:tc>
      </w:tr>
      <w:tr w:rsidR="006E50FF" w:rsidRPr="006E50FF" w14:paraId="2D7E2FC5"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62B8A956"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6" w:space="0" w:color="000000"/>
              <w:bottom w:val="single" w:sz="6" w:space="0" w:color="000000"/>
              <w:right w:val="single" w:sz="6" w:space="0" w:color="000000"/>
            </w:tcBorders>
          </w:tcPr>
          <w:p w14:paraId="6145253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712.3.2.</w:t>
            </w:r>
          </w:p>
        </w:tc>
        <w:tc>
          <w:tcPr>
            <w:tcW w:w="7043" w:type="dxa"/>
            <w:gridSpan w:val="2"/>
            <w:tcBorders>
              <w:top w:val="single" w:sz="4" w:space="0" w:color="auto"/>
              <w:left w:val="single" w:sz="6" w:space="0" w:color="000000"/>
              <w:bottom w:val="single" w:sz="6" w:space="0" w:color="000000"/>
              <w:right w:val="single" w:sz="6" w:space="0" w:color="000000"/>
            </w:tcBorders>
          </w:tcPr>
          <w:p w14:paraId="34B20BD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sump pit shall be not less than 18 inches (457 mm) in diameter and not less than 24 inches (610 mm) in depth, unless otherwise approved. The pit shall be accessible and located such that all drainage flows into the pit by gravity. The sump pit shall be constructed of tile, concrete, steel, plastic or other approved materials. The pit bottom shall be solid and provide permanent support for the pump. The sump pit shall be fitted with a gas-tight removable cover that is installed flush with grade or floor level, or above grade in outdoor installations. The cover shall be adequate to support anticipated loads in the area of use. The sump pit shall be vented in accordance with Chapter 9</w:t>
            </w:r>
          </w:p>
        </w:tc>
      </w:tr>
      <w:tr w:rsidR="006E50FF" w:rsidRPr="006E50FF" w14:paraId="7994F2C8"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CFB7686"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35FEEA5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716.1, General.</w:t>
            </w:r>
          </w:p>
        </w:tc>
        <w:tc>
          <w:tcPr>
            <w:tcW w:w="7043" w:type="dxa"/>
            <w:gridSpan w:val="2"/>
            <w:tcBorders>
              <w:top w:val="nil"/>
              <w:left w:val="single" w:sz="6" w:space="0" w:color="000000"/>
              <w:bottom w:val="single" w:sz="6" w:space="0" w:color="000000"/>
              <w:right w:val="single" w:sz="6" w:space="0" w:color="000000"/>
            </w:tcBorders>
          </w:tcPr>
          <w:p w14:paraId="0F70E88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This section shall govern the replacement of existing building sewer and piping by pipe-bursting methods.</w:t>
            </w:r>
          </w:p>
        </w:tc>
      </w:tr>
      <w:tr w:rsidR="006E50FF" w:rsidRPr="006E50FF" w14:paraId="6BC9A27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232D2E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2D19F4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4ED8BCA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Building drains shall be installed in compliance with Section 316 when approved by the AHJ.</w:t>
            </w:r>
          </w:p>
        </w:tc>
      </w:tr>
      <w:tr w:rsidR="006E50FF" w:rsidRPr="006E50FF" w14:paraId="483D4D2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16B771E"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2C58E59"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716.2, Applicability.</w:t>
            </w:r>
          </w:p>
        </w:tc>
        <w:tc>
          <w:tcPr>
            <w:tcW w:w="7043" w:type="dxa"/>
            <w:gridSpan w:val="2"/>
            <w:tcBorders>
              <w:top w:val="nil"/>
              <w:left w:val="single" w:sz="6" w:space="0" w:color="000000"/>
              <w:bottom w:val="single" w:sz="6" w:space="0" w:color="000000"/>
              <w:right w:val="single" w:sz="6" w:space="0" w:color="000000"/>
            </w:tcBorders>
          </w:tcPr>
          <w:p w14:paraId="6FF294A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replacement of building sewer and piping by pipe-bursting methods shall be limited to gravity drainage piping of sizes 6 inches (152 mm) and smaller. The replacement piping shall be of the same nominal size as the existing piping.</w:t>
            </w:r>
          </w:p>
        </w:tc>
      </w:tr>
      <w:tr w:rsidR="006E50FF" w:rsidRPr="006E50FF" w14:paraId="2D0CE89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C54EB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668DCBB"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4FE8B24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Building drains shall be installed in compliance with Section 316 when approved by the AHJ.</w:t>
            </w:r>
          </w:p>
        </w:tc>
      </w:tr>
      <w:tr w:rsidR="006E50FF" w:rsidRPr="006E50FF" w14:paraId="6C49271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3431682"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FC3618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717.1, General.</w:t>
            </w:r>
          </w:p>
        </w:tc>
        <w:tc>
          <w:tcPr>
            <w:tcW w:w="7043" w:type="dxa"/>
            <w:gridSpan w:val="2"/>
            <w:tcBorders>
              <w:top w:val="nil"/>
              <w:left w:val="single" w:sz="6" w:space="0" w:color="000000"/>
              <w:bottom w:val="single" w:sz="6" w:space="0" w:color="000000"/>
              <w:right w:val="single" w:sz="6" w:space="0" w:color="000000"/>
            </w:tcBorders>
          </w:tcPr>
          <w:p w14:paraId="25814BE4" w14:textId="77777777" w:rsidR="006E50FF" w:rsidRPr="006E50FF" w:rsidRDefault="006E50FF" w:rsidP="006E50FF">
            <w:pPr>
              <w:ind w:left="91"/>
              <w:rPr>
                <w:rFonts w:eastAsia="Aptos"/>
                <w:kern w:val="2"/>
                <w:sz w:val="16"/>
                <w:szCs w:val="16"/>
              </w:rPr>
            </w:pPr>
            <w:r w:rsidRPr="006E50FF">
              <w:rPr>
                <w:rFonts w:eastAsia="Aptos"/>
                <w:kern w:val="2"/>
                <w:sz w:val="16"/>
                <w:szCs w:val="16"/>
              </w:rPr>
              <w:t>This section shall govern the relining of existing building sewers and building drainage piping is prohibited.</w:t>
            </w:r>
          </w:p>
        </w:tc>
      </w:tr>
      <w:tr w:rsidR="006E50FF" w:rsidRPr="006E50FF" w14:paraId="66243C9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D6E9A1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71954DF"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11D9A88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Shall be allowed when installed in compliance with Section 316 and approved by the AHJ.</w:t>
            </w:r>
          </w:p>
        </w:tc>
      </w:tr>
      <w:tr w:rsidR="006E50FF" w:rsidRPr="006E50FF" w14:paraId="4D7C5A2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735EB2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A8B7078"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718.1, Cure-in place.</w:t>
            </w:r>
          </w:p>
        </w:tc>
        <w:tc>
          <w:tcPr>
            <w:tcW w:w="7043" w:type="dxa"/>
            <w:gridSpan w:val="2"/>
            <w:tcBorders>
              <w:top w:val="nil"/>
              <w:left w:val="single" w:sz="6" w:space="0" w:color="000000"/>
              <w:bottom w:val="single" w:sz="6" w:space="0" w:color="000000"/>
              <w:right w:val="single" w:sz="6" w:space="0" w:color="000000"/>
            </w:tcBorders>
          </w:tcPr>
          <w:p w14:paraId="226666A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Sectional cure-in-place rehabilitation of building sewer piping and sewer service lateral piping shall be installed in compliance with Section 316 and in accordance with ASTM F2599. Main and lateral cure-in-place rehabilitation of building sewer and sewer service lateral pipe and their connections to the main sewer pipe shall be in accordance with ASTM F2561. Hydrophilic rings or gaskets in cure-in-place rehabilitation of building sewer piping and sewer service laterals shall be in accordance with ASTM F3240 to ensure water tightness and elimination of ground water penetration.</w:t>
            </w:r>
          </w:p>
        </w:tc>
      </w:tr>
      <w:tr w:rsidR="006E50FF" w:rsidRPr="006E50FF" w14:paraId="009AC09C" w14:textId="77777777" w:rsidTr="0088638B">
        <w:trPr>
          <w:trHeight w:val="185"/>
        </w:trPr>
        <w:tc>
          <w:tcPr>
            <w:tcW w:w="1072" w:type="dxa"/>
            <w:tcBorders>
              <w:top w:val="nil"/>
              <w:left w:val="single" w:sz="6" w:space="0" w:color="000000"/>
              <w:bottom w:val="single" w:sz="4" w:space="0" w:color="auto"/>
              <w:right w:val="single" w:sz="6" w:space="0" w:color="000000"/>
            </w:tcBorders>
          </w:tcPr>
          <w:p w14:paraId="369B42F7"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4" w:space="0" w:color="auto"/>
              <w:right w:val="single" w:sz="6" w:space="0" w:color="000000"/>
            </w:tcBorders>
          </w:tcPr>
          <w:p w14:paraId="7D64CB6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Chapter 8, Indirect/Special</w:t>
            </w:r>
          </w:p>
          <w:p w14:paraId="1EDD22A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Waste.</w:t>
            </w:r>
          </w:p>
        </w:tc>
        <w:tc>
          <w:tcPr>
            <w:tcW w:w="7043" w:type="dxa"/>
            <w:gridSpan w:val="2"/>
            <w:tcBorders>
              <w:top w:val="nil"/>
              <w:left w:val="single" w:sz="6" w:space="0" w:color="000000"/>
              <w:bottom w:val="single" w:sz="4" w:space="0" w:color="auto"/>
              <w:right w:val="single" w:sz="6" w:space="0" w:color="000000"/>
            </w:tcBorders>
          </w:tcPr>
          <w:p w14:paraId="24879639" w14:textId="77777777" w:rsidR="006E50FF" w:rsidRPr="006E50FF" w:rsidRDefault="006E50FF" w:rsidP="006E50FF">
            <w:pPr>
              <w:ind w:left="91" w:right="90"/>
              <w:rPr>
                <w:rFonts w:eastAsia="Aptos"/>
                <w:kern w:val="2"/>
                <w:sz w:val="16"/>
                <w:szCs w:val="16"/>
              </w:rPr>
            </w:pPr>
          </w:p>
        </w:tc>
      </w:tr>
      <w:tr w:rsidR="006E50FF" w:rsidRPr="006E50FF" w14:paraId="6E88490D"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4BDBC11E"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488C6854"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802.1.1, Food Handling.</w:t>
            </w:r>
          </w:p>
        </w:tc>
        <w:tc>
          <w:tcPr>
            <w:tcW w:w="7043" w:type="dxa"/>
            <w:gridSpan w:val="2"/>
            <w:tcBorders>
              <w:top w:val="single" w:sz="4" w:space="0" w:color="auto"/>
              <w:left w:val="single" w:sz="4" w:space="0" w:color="auto"/>
              <w:bottom w:val="single" w:sz="4" w:space="0" w:color="auto"/>
              <w:right w:val="single" w:sz="4" w:space="0" w:color="auto"/>
            </w:tcBorders>
          </w:tcPr>
          <w:p w14:paraId="4D8B27F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Equipment and fixtures utilized for the storage, preparation and handling of food shall discharge through an indirect waste pipe by means of an air gap. Food handling equipment includes, but is not limited to, the following: any sink where food is cleaned, peeled, cut up, rinsed, battered, defrosted or otherwise prepared or handled; potato peelers; ice cream dipper wells; refrigerators; freezers; walk-in coolers or freezers; ice boxes; ice making machines; fountain-type drink dispensers; rinse sinks; cooling or refrigerating coils; laundry washers; extractors; steam tables; steam kettles; egg boilers; coffee urns; steam jackets or other food handling or cooking equipment wherein the indirect waste pipe may come under a vacuum; or similar equipment.</w:t>
            </w:r>
          </w:p>
        </w:tc>
      </w:tr>
      <w:tr w:rsidR="006E50FF" w:rsidRPr="006E50FF" w14:paraId="3A906C65"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7D67654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6" w:space="0" w:color="000000"/>
              <w:bottom w:val="single" w:sz="6" w:space="0" w:color="000000"/>
              <w:right w:val="single" w:sz="6" w:space="0" w:color="000000"/>
            </w:tcBorders>
          </w:tcPr>
          <w:p w14:paraId="02A4D120"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802.4, Waste Receptors.</w:t>
            </w:r>
          </w:p>
        </w:tc>
        <w:tc>
          <w:tcPr>
            <w:tcW w:w="7043" w:type="dxa"/>
            <w:gridSpan w:val="2"/>
            <w:tcBorders>
              <w:top w:val="single" w:sz="4" w:space="0" w:color="auto"/>
              <w:left w:val="single" w:sz="6" w:space="0" w:color="000000"/>
              <w:bottom w:val="single" w:sz="6" w:space="0" w:color="000000"/>
              <w:right w:val="single" w:sz="6" w:space="0" w:color="000000"/>
            </w:tcBorders>
          </w:tcPr>
          <w:p w14:paraId="07F7700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For other than hub drains that receive only clear-water waste and standpipes, a removable strainer or basket shall cover the outlet of waste receptors. Waste receptors shall not be installed in concealed spaces. Waste receptors shall not be installed in plenums, interstitial spaces above ceilings and below floors. Access shall be provided to waste receptors.</w:t>
            </w:r>
          </w:p>
        </w:tc>
      </w:tr>
      <w:tr w:rsidR="006E50FF" w:rsidRPr="006E50FF" w14:paraId="33FFF4B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19B3898"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4AD70EF0"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Chapter 9, Vents.</w:t>
            </w:r>
          </w:p>
        </w:tc>
        <w:tc>
          <w:tcPr>
            <w:tcW w:w="7043" w:type="dxa"/>
            <w:gridSpan w:val="2"/>
            <w:tcBorders>
              <w:top w:val="nil"/>
              <w:left w:val="single" w:sz="6" w:space="0" w:color="000000"/>
              <w:bottom w:val="single" w:sz="6" w:space="0" w:color="000000"/>
              <w:right w:val="single" w:sz="6" w:space="0" w:color="000000"/>
            </w:tcBorders>
          </w:tcPr>
          <w:p w14:paraId="3764E05C" w14:textId="77777777" w:rsidR="006E50FF" w:rsidRPr="006E50FF" w:rsidRDefault="006E50FF" w:rsidP="006E50FF">
            <w:pPr>
              <w:ind w:left="91" w:right="90"/>
              <w:rPr>
                <w:rFonts w:eastAsia="Aptos"/>
                <w:kern w:val="2"/>
                <w:sz w:val="16"/>
                <w:szCs w:val="16"/>
              </w:rPr>
            </w:pPr>
          </w:p>
        </w:tc>
      </w:tr>
      <w:tr w:rsidR="006E50FF" w:rsidRPr="006E50FF" w14:paraId="61A697A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D5C4C19"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58E054B1"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906.1, Size of stack vents and vent stacks.</w:t>
            </w:r>
          </w:p>
        </w:tc>
        <w:tc>
          <w:tcPr>
            <w:tcW w:w="7043" w:type="dxa"/>
            <w:gridSpan w:val="2"/>
            <w:tcBorders>
              <w:top w:val="nil"/>
              <w:left w:val="single" w:sz="6" w:space="0" w:color="000000"/>
              <w:bottom w:val="single" w:sz="6" w:space="0" w:color="000000"/>
              <w:right w:val="single" w:sz="6" w:space="0" w:color="000000"/>
            </w:tcBorders>
          </w:tcPr>
          <w:p w14:paraId="311DDCA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 xml:space="preserve">The minimum required diameter of stack vents and vent stacks shall be determined from the developed length and the total of drainage fixture units connected thereto in accordance with </w:t>
            </w:r>
            <w:hyperlink r:id="rId12">
              <w:r w:rsidRPr="006E50FF">
                <w:rPr>
                  <w:rFonts w:eastAsia="Aptos"/>
                  <w:color w:val="467886"/>
                  <w:kern w:val="2"/>
                  <w:sz w:val="16"/>
                  <w:szCs w:val="16"/>
                  <w:u w:val="single"/>
                </w:rPr>
                <w:t>Table 906.1,</w:t>
              </w:r>
            </w:hyperlink>
            <w:r w:rsidRPr="006E50FF">
              <w:rPr>
                <w:rFonts w:eastAsia="Aptos"/>
                <w:kern w:val="2"/>
                <w:sz w:val="16"/>
                <w:szCs w:val="16"/>
              </w:rPr>
              <w:t xml:space="preserve"> but in no case shall the diameter be less than one-half the diameter of the drain served or less than 11/4 inches (32 mm). As it relates to Table 906.1, vents for water closets and clinical sinks shall be a minimum of 2 inches in size.</w:t>
            </w:r>
          </w:p>
        </w:tc>
      </w:tr>
      <w:tr w:rsidR="006E50FF" w:rsidRPr="006E50FF" w14:paraId="361877B1"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F15E413"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5DB7C08"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906.2, Vents other than stack vents or vent stacks.</w:t>
            </w:r>
          </w:p>
        </w:tc>
        <w:tc>
          <w:tcPr>
            <w:tcW w:w="7043" w:type="dxa"/>
            <w:gridSpan w:val="2"/>
            <w:tcBorders>
              <w:top w:val="nil"/>
              <w:left w:val="single" w:sz="6" w:space="0" w:color="000000"/>
              <w:bottom w:val="single" w:sz="6" w:space="0" w:color="000000"/>
              <w:right w:val="single" w:sz="6" w:space="0" w:color="000000"/>
            </w:tcBorders>
          </w:tcPr>
          <w:p w14:paraId="2031EB3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diameter of individual vents, branch vents, circuit vents and relief vents shall be not less than one-half the required diameter of the drain served. The required size of the drain shall be determined in accordance with Table 710.1(2). Vent pipes shall be not less than 11/4 inches (32 mm) in diameter. Vents exceeding 40 feet (12 192 mm) in developed length shall be increased by one nominal pipe size for the entire developed length of the vent pipe. Relief vents for soil and waste stacks in buildings having more than 10 branch intervals shall be sized in accordance with Section 908.2. Vents for water closets and clinical sinks shall be a minimum of 2 inches in size.</w:t>
            </w:r>
          </w:p>
        </w:tc>
      </w:tr>
      <w:tr w:rsidR="006E50FF" w:rsidRPr="006E50FF" w14:paraId="53DC3AB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3B48050"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EAB740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Table 909.1, Maximum Distance of Fixture Trap from Vent.</w:t>
            </w:r>
          </w:p>
        </w:tc>
        <w:tc>
          <w:tcPr>
            <w:tcW w:w="7043" w:type="dxa"/>
            <w:gridSpan w:val="2"/>
            <w:tcBorders>
              <w:top w:val="nil"/>
              <w:left w:val="single" w:sz="6" w:space="0" w:color="000000"/>
              <w:bottom w:val="single" w:sz="6" w:space="0" w:color="000000"/>
              <w:right w:val="single" w:sz="6" w:space="0" w:color="000000"/>
            </w:tcBorders>
          </w:tcPr>
          <w:p w14:paraId="328FDB48" w14:textId="77777777" w:rsidR="006E50FF" w:rsidRPr="006E50FF" w:rsidRDefault="006E50FF" w:rsidP="006E50FF">
            <w:pPr>
              <w:ind w:left="91" w:right="90"/>
              <w:rPr>
                <w:rFonts w:eastAsia="Aptos"/>
                <w:kern w:val="2"/>
                <w:sz w:val="16"/>
                <w:szCs w:val="16"/>
              </w:rPr>
            </w:pPr>
          </w:p>
        </w:tc>
      </w:tr>
      <w:tr w:rsidR="006E50FF" w:rsidRPr="006E50FF" w14:paraId="21B530E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2C544F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4F474D4"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Footnote</w:t>
            </w:r>
          </w:p>
        </w:tc>
        <w:tc>
          <w:tcPr>
            <w:tcW w:w="7043" w:type="dxa"/>
            <w:gridSpan w:val="2"/>
            <w:tcBorders>
              <w:top w:val="nil"/>
              <w:left w:val="single" w:sz="6" w:space="0" w:color="000000"/>
              <w:bottom w:val="single" w:sz="6" w:space="0" w:color="000000"/>
              <w:right w:val="single" w:sz="6" w:space="0" w:color="000000"/>
            </w:tcBorders>
          </w:tcPr>
          <w:p w14:paraId="5132B77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developed length between the trap of a water closet or similar fixture (measured from the top of the closet flange to the inner edge of the vent) and its vent shall not exceed 6 feet (1829 mm).</w:t>
            </w:r>
          </w:p>
        </w:tc>
      </w:tr>
      <w:tr w:rsidR="006E50FF" w:rsidRPr="006E50FF" w14:paraId="0391C808"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F215A71"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7D97830E"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Table 911.3, Common vent</w:t>
            </w:r>
          </w:p>
          <w:p w14:paraId="388BA06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sizes.</w:t>
            </w:r>
          </w:p>
        </w:tc>
        <w:tc>
          <w:tcPr>
            <w:tcW w:w="7043" w:type="dxa"/>
            <w:gridSpan w:val="2"/>
            <w:tcBorders>
              <w:top w:val="nil"/>
              <w:left w:val="single" w:sz="6" w:space="0" w:color="000000"/>
              <w:bottom w:val="single" w:sz="6" w:space="0" w:color="000000"/>
              <w:right w:val="single" w:sz="6" w:space="0" w:color="000000"/>
            </w:tcBorders>
          </w:tcPr>
          <w:p w14:paraId="5F95740C" w14:textId="77777777" w:rsidR="006E50FF" w:rsidRPr="006E50FF" w:rsidRDefault="006E50FF" w:rsidP="006E50FF">
            <w:pPr>
              <w:ind w:left="91" w:right="90"/>
              <w:rPr>
                <w:rFonts w:eastAsia="Aptos"/>
                <w:kern w:val="2"/>
                <w:sz w:val="16"/>
                <w:szCs w:val="16"/>
              </w:rPr>
            </w:pPr>
          </w:p>
        </w:tc>
      </w:tr>
      <w:tr w:rsidR="006E50FF" w:rsidRPr="006E50FF" w14:paraId="1A5C81A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AB37BF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22A6F71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911.4, Common vent connection.</w:t>
            </w:r>
          </w:p>
        </w:tc>
        <w:tc>
          <w:tcPr>
            <w:tcW w:w="7043" w:type="dxa"/>
            <w:gridSpan w:val="2"/>
            <w:tcBorders>
              <w:top w:val="nil"/>
              <w:left w:val="single" w:sz="6" w:space="0" w:color="000000"/>
              <w:bottom w:val="single" w:sz="6" w:space="0" w:color="000000"/>
              <w:right w:val="single" w:sz="6" w:space="0" w:color="000000"/>
            </w:tcBorders>
          </w:tcPr>
          <w:p w14:paraId="7A61F0B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Common vent sizing shall be the sum of the fixture units served but shall not be smaller than the minimum vent pipe size required for a fixture served, or by Section 906.1.</w:t>
            </w:r>
          </w:p>
        </w:tc>
      </w:tr>
      <w:tr w:rsidR="006E50FF" w:rsidRPr="006E50FF" w14:paraId="6C238EC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9E60615"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3884327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916.2, General.</w:t>
            </w:r>
          </w:p>
        </w:tc>
        <w:tc>
          <w:tcPr>
            <w:tcW w:w="7043" w:type="dxa"/>
            <w:gridSpan w:val="2"/>
            <w:tcBorders>
              <w:top w:val="nil"/>
              <w:left w:val="single" w:sz="6" w:space="0" w:color="000000"/>
              <w:bottom w:val="single" w:sz="6" w:space="0" w:color="000000"/>
              <w:right w:val="single" w:sz="6" w:space="0" w:color="000000"/>
            </w:tcBorders>
          </w:tcPr>
          <w:p w14:paraId="4291BD9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 xml:space="preserve">The island fixture vent shall connect to the fixture drain as required for an individual or common vent. The vent shall rise vertically to above the drainage outlet of the fixture being vented and as high as possible to the underside of the countertop before offsetting horizontally or vertically downward installation shall be per Figure 916.2. The vent or branch vent for multiple island fixture vents shall extend to a point not less </w:t>
            </w:r>
            <w:r w:rsidRPr="006E50FF">
              <w:rPr>
                <w:rFonts w:eastAsia="Aptos"/>
                <w:kern w:val="2"/>
                <w:sz w:val="16"/>
                <w:szCs w:val="16"/>
              </w:rPr>
              <w:lastRenderedPageBreak/>
              <w:t>than 6 inches (152 mm) above the highest island fixture being vented before connecting to the outside vent terminal.</w:t>
            </w:r>
          </w:p>
        </w:tc>
      </w:tr>
      <w:tr w:rsidR="006E50FF" w:rsidRPr="006E50FF" w14:paraId="6336824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B28DC88"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nil"/>
              <w:left w:val="single" w:sz="6" w:space="0" w:color="000000"/>
              <w:bottom w:val="single" w:sz="6" w:space="0" w:color="000000"/>
              <w:right w:val="single" w:sz="6" w:space="0" w:color="000000"/>
            </w:tcBorders>
          </w:tcPr>
          <w:p w14:paraId="59A1137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Figure 916.2</w:t>
            </w:r>
          </w:p>
        </w:tc>
        <w:tc>
          <w:tcPr>
            <w:tcW w:w="7043" w:type="dxa"/>
            <w:gridSpan w:val="2"/>
            <w:tcBorders>
              <w:top w:val="nil"/>
              <w:left w:val="single" w:sz="6" w:space="0" w:color="000000"/>
              <w:bottom w:val="single" w:sz="6" w:space="0" w:color="000000"/>
              <w:right w:val="single" w:sz="6" w:space="0" w:color="000000"/>
            </w:tcBorders>
          </w:tcPr>
          <w:p w14:paraId="13748FB4" w14:textId="77777777" w:rsidR="006E50FF" w:rsidRPr="006E50FF" w:rsidRDefault="006E50FF" w:rsidP="006E50FF">
            <w:pPr>
              <w:keepNext/>
              <w:ind w:left="91" w:right="90"/>
            </w:pPr>
            <w:r w:rsidRPr="006E50FF">
              <w:rPr>
                <w:rFonts w:eastAsia="Aptos"/>
                <w:noProof/>
                <w:kern w:val="2"/>
                <w:sz w:val="16"/>
                <w:szCs w:val="16"/>
              </w:rPr>
              <w:drawing>
                <wp:inline distT="0" distB="0" distL="0" distR="0" wp14:anchorId="16EFCC12" wp14:editId="0874919B">
                  <wp:extent cx="4383405" cy="2277336"/>
                  <wp:effectExtent l="0" t="0" r="0" b="8890"/>
                  <wp:docPr id="45" name="Image 71" descr="Figure 916.2 includes a black and white isometric drawing on how the flood of a lavatory should be plumb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71" descr="Figure 916.2 includes a black and white isometric drawing on how the flood of a lavatory should be plumbed."/>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9565" cy="2280536"/>
                          </a:xfrm>
                          <a:prstGeom prst="rect">
                            <a:avLst/>
                          </a:prstGeom>
                          <a:noFill/>
                          <a:ln>
                            <a:noFill/>
                          </a:ln>
                        </pic:spPr>
                      </pic:pic>
                    </a:graphicData>
                  </a:graphic>
                </wp:inline>
              </w:drawing>
            </w:r>
          </w:p>
          <w:p w14:paraId="79B9AD33" w14:textId="77777777" w:rsidR="006E50FF" w:rsidRPr="006E50FF" w:rsidRDefault="006E50FF" w:rsidP="006E50FF">
            <w:pPr>
              <w:rPr>
                <w:rFonts w:eastAsia="Aptos"/>
                <w:b/>
                <w:bCs/>
                <w:kern w:val="2"/>
                <w:sz w:val="16"/>
                <w:szCs w:val="16"/>
              </w:rPr>
            </w:pPr>
          </w:p>
        </w:tc>
      </w:tr>
      <w:tr w:rsidR="006E50FF" w:rsidRPr="006E50FF" w14:paraId="3D9A82E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D3198B8"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32BC8F08"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916.3, Vent installation below the fixture flood level rim.</w:t>
            </w:r>
          </w:p>
        </w:tc>
        <w:tc>
          <w:tcPr>
            <w:tcW w:w="7043" w:type="dxa"/>
            <w:gridSpan w:val="2"/>
            <w:tcBorders>
              <w:top w:val="nil"/>
              <w:left w:val="single" w:sz="6" w:space="0" w:color="000000"/>
              <w:bottom w:val="single" w:sz="6" w:space="0" w:color="000000"/>
              <w:right w:val="single" w:sz="6" w:space="0" w:color="000000"/>
            </w:tcBorders>
          </w:tcPr>
          <w:p w14:paraId="06C7E4A0" w14:textId="77777777" w:rsidR="006E50FF" w:rsidRPr="006E50FF" w:rsidRDefault="006E50FF" w:rsidP="006E50FF">
            <w:pPr>
              <w:ind w:left="91" w:right="90"/>
              <w:rPr>
                <w:rFonts w:eastAsia="Aptos"/>
                <w:kern w:val="2"/>
                <w:sz w:val="16"/>
                <w:szCs w:val="16"/>
              </w:rPr>
            </w:pPr>
          </w:p>
        </w:tc>
      </w:tr>
      <w:tr w:rsidR="006E50FF" w:rsidRPr="006E50FF" w14:paraId="7691207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B9BA06B"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4C6608EE"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917, Single Stack System.</w:t>
            </w:r>
          </w:p>
        </w:tc>
        <w:tc>
          <w:tcPr>
            <w:tcW w:w="7043" w:type="dxa"/>
            <w:gridSpan w:val="2"/>
            <w:tcBorders>
              <w:top w:val="nil"/>
              <w:left w:val="single" w:sz="6" w:space="0" w:color="000000"/>
              <w:bottom w:val="single" w:sz="6" w:space="0" w:color="000000"/>
              <w:right w:val="single" w:sz="6" w:space="0" w:color="000000"/>
            </w:tcBorders>
          </w:tcPr>
          <w:p w14:paraId="01716735" w14:textId="77777777" w:rsidR="006E50FF" w:rsidRPr="006E50FF" w:rsidRDefault="006E50FF" w:rsidP="006E50FF">
            <w:pPr>
              <w:ind w:left="91" w:right="90"/>
              <w:rPr>
                <w:rFonts w:eastAsia="Aptos"/>
                <w:kern w:val="2"/>
                <w:sz w:val="16"/>
                <w:szCs w:val="16"/>
              </w:rPr>
            </w:pPr>
          </w:p>
        </w:tc>
      </w:tr>
      <w:tr w:rsidR="006E50FF" w:rsidRPr="006E50FF" w14:paraId="31B41BD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8964DC5"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79323EED"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917 .1, Where permitted.</w:t>
            </w:r>
          </w:p>
        </w:tc>
        <w:tc>
          <w:tcPr>
            <w:tcW w:w="7043" w:type="dxa"/>
            <w:gridSpan w:val="2"/>
            <w:tcBorders>
              <w:top w:val="nil"/>
              <w:left w:val="single" w:sz="6" w:space="0" w:color="000000"/>
              <w:bottom w:val="single" w:sz="6" w:space="0" w:color="000000"/>
              <w:right w:val="single" w:sz="6" w:space="0" w:color="000000"/>
            </w:tcBorders>
          </w:tcPr>
          <w:p w14:paraId="17A50B6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Single-stack venting shall be designed by a registered design professional as an engineered design. A drainage stack shall serve as a single stack vent system where sized and installed in accordance with Sections 917.2 through 917.9. The drainage stack and branch piping shall be the vents for the drainage system. The drainage stack shall have a stack vent.</w:t>
            </w:r>
          </w:p>
        </w:tc>
      </w:tr>
      <w:tr w:rsidR="006E50FF" w:rsidRPr="006E50FF" w14:paraId="4D4CA4A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59D706E"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63EF1DE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918, Air Admittance Valves.</w:t>
            </w:r>
          </w:p>
        </w:tc>
        <w:tc>
          <w:tcPr>
            <w:tcW w:w="7043" w:type="dxa"/>
            <w:gridSpan w:val="2"/>
            <w:tcBorders>
              <w:top w:val="nil"/>
              <w:left w:val="single" w:sz="6" w:space="0" w:color="000000"/>
              <w:bottom w:val="single" w:sz="6" w:space="0" w:color="000000"/>
              <w:right w:val="single" w:sz="6" w:space="0" w:color="000000"/>
            </w:tcBorders>
          </w:tcPr>
          <w:p w14:paraId="675BF18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Delete Section 918, Air Admittance Valves in its entirety and all referring sections of the 2021 IPC. In accordance with the requirements of Act 836 of the 2014 Regular Session, air admittance valves are prohibited from use on all plumbing systems.</w:t>
            </w:r>
          </w:p>
        </w:tc>
      </w:tr>
      <w:tr w:rsidR="006E50FF" w:rsidRPr="006E50FF" w14:paraId="527BDB00" w14:textId="77777777" w:rsidTr="0088638B">
        <w:trPr>
          <w:trHeight w:val="185"/>
        </w:trPr>
        <w:tc>
          <w:tcPr>
            <w:tcW w:w="1072" w:type="dxa"/>
            <w:tcBorders>
              <w:top w:val="nil"/>
              <w:left w:val="single" w:sz="6" w:space="0" w:color="000000"/>
              <w:bottom w:val="single" w:sz="4" w:space="0" w:color="auto"/>
              <w:right w:val="single" w:sz="6" w:space="0" w:color="000000"/>
            </w:tcBorders>
          </w:tcPr>
          <w:p w14:paraId="105461E6"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4" w:space="0" w:color="auto"/>
              <w:right w:val="single" w:sz="6" w:space="0" w:color="000000"/>
            </w:tcBorders>
          </w:tcPr>
          <w:p w14:paraId="103C6AE2"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920, Computerized vent design.</w:t>
            </w:r>
          </w:p>
        </w:tc>
        <w:tc>
          <w:tcPr>
            <w:tcW w:w="7043" w:type="dxa"/>
            <w:gridSpan w:val="2"/>
            <w:tcBorders>
              <w:top w:val="nil"/>
              <w:left w:val="single" w:sz="6" w:space="0" w:color="000000"/>
              <w:bottom w:val="single" w:sz="4" w:space="0" w:color="auto"/>
              <w:right w:val="single" w:sz="6" w:space="0" w:color="000000"/>
            </w:tcBorders>
          </w:tcPr>
          <w:p w14:paraId="78DD07A9" w14:textId="77777777" w:rsidR="006E50FF" w:rsidRPr="006E50FF" w:rsidRDefault="006E50FF" w:rsidP="006E50FF">
            <w:pPr>
              <w:ind w:left="91" w:right="90"/>
              <w:rPr>
                <w:rFonts w:eastAsia="Aptos"/>
                <w:kern w:val="2"/>
                <w:sz w:val="16"/>
                <w:szCs w:val="16"/>
              </w:rPr>
            </w:pPr>
          </w:p>
        </w:tc>
      </w:tr>
      <w:tr w:rsidR="006E50FF" w:rsidRPr="006E50FF" w14:paraId="0ACE46EB"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748D6B89"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70634D1E"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Chapter 10, Traps, Interceptors and Separators.</w:t>
            </w:r>
          </w:p>
        </w:tc>
        <w:tc>
          <w:tcPr>
            <w:tcW w:w="7043" w:type="dxa"/>
            <w:gridSpan w:val="2"/>
            <w:tcBorders>
              <w:top w:val="single" w:sz="4" w:space="0" w:color="auto"/>
              <w:left w:val="single" w:sz="4" w:space="0" w:color="auto"/>
              <w:bottom w:val="single" w:sz="4" w:space="0" w:color="auto"/>
              <w:right w:val="single" w:sz="4" w:space="0" w:color="auto"/>
            </w:tcBorders>
          </w:tcPr>
          <w:p w14:paraId="2C927CE6" w14:textId="77777777" w:rsidR="006E50FF" w:rsidRPr="006E50FF" w:rsidRDefault="006E50FF" w:rsidP="006E50FF">
            <w:pPr>
              <w:ind w:left="91" w:right="90"/>
              <w:rPr>
                <w:rFonts w:eastAsia="Aptos"/>
                <w:kern w:val="2"/>
                <w:sz w:val="16"/>
                <w:szCs w:val="16"/>
              </w:rPr>
            </w:pPr>
          </w:p>
        </w:tc>
      </w:tr>
      <w:tr w:rsidR="006E50FF" w:rsidRPr="006E50FF" w14:paraId="0D05CE76"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2683642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6" w:space="0" w:color="000000"/>
              <w:bottom w:val="single" w:sz="6" w:space="0" w:color="000000"/>
              <w:right w:val="single" w:sz="6" w:space="0" w:color="000000"/>
            </w:tcBorders>
          </w:tcPr>
          <w:p w14:paraId="19A65AF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1003.2, Approval.</w:t>
            </w:r>
          </w:p>
        </w:tc>
        <w:tc>
          <w:tcPr>
            <w:tcW w:w="7043" w:type="dxa"/>
            <w:gridSpan w:val="2"/>
            <w:tcBorders>
              <w:top w:val="single" w:sz="4" w:space="0" w:color="auto"/>
              <w:left w:val="single" w:sz="6" w:space="0" w:color="000000"/>
              <w:bottom w:val="single" w:sz="6" w:space="0" w:color="000000"/>
              <w:right w:val="single" w:sz="6" w:space="0" w:color="000000"/>
            </w:tcBorders>
          </w:tcPr>
          <w:p w14:paraId="1DFCF9B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Interceptors and separators shall be designed and installed in accordance with the manufacturer’s instructions and the requirements of this section based on the anticipated conditions of use. Wastes that do not require treatment or separation shall not be discharged into any interceptor or separator. No interceptor or separator shall be installed until its design, size, location and venting has been approved by the local jurisdictional code official. The local jurisdictional code official shall have the authority to require a grease interceptor to be serviced, repaired, or replaced with a larger unit when it is determined that a unit is not working or being maintained properly, the unit is damaged, or the mode of operation of the facility no longer meets the anticipated conditions of use (i.e., offensive odors, sewage backups or overflows, or when it is determined that grease is bypassing the grease interceptor and causing downstream blockages or interfering with sewage treatment).</w:t>
            </w:r>
          </w:p>
        </w:tc>
      </w:tr>
      <w:tr w:rsidR="006E50FF" w:rsidRPr="006E50FF" w14:paraId="7EE06D9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2CE2F9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B0408C6"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1003.2.1, Grease Interceptor Sizing.</w:t>
            </w:r>
          </w:p>
        </w:tc>
        <w:tc>
          <w:tcPr>
            <w:tcW w:w="7043" w:type="dxa"/>
            <w:gridSpan w:val="2"/>
            <w:tcBorders>
              <w:top w:val="nil"/>
              <w:left w:val="single" w:sz="6" w:space="0" w:color="000000"/>
              <w:bottom w:val="single" w:sz="6" w:space="0" w:color="000000"/>
              <w:right w:val="single" w:sz="6" w:space="0" w:color="000000"/>
            </w:tcBorders>
          </w:tcPr>
          <w:p w14:paraId="54D15CC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In all instances of new construction, change of occupancy classification or use of the property, a gravity grease interceptor or hydro-mechanical grease interceptor meeting the minimum capacity as required by this Section of the Code shall be installed. The minimum required capacity (volume) of the grease interceptor shall be determined based upon the maximum number of persons served during the largest meal period. The minimum capacity shall not be less than 125 gallons below the static water level. This capacity is sufficient to hold the flow from one meal long enough to accomplish proper grease separation when serving up to 50 people during a single meal period. When over 50 people are served during a single meal period, the minimum capacity shall be increased beyond 125 gallons based upon at least an additional 2 1/2 gallons per person beginning with the 51st person served and greater.</w:t>
            </w:r>
          </w:p>
        </w:tc>
      </w:tr>
      <w:tr w:rsidR="006E50FF" w:rsidRPr="006E50FF" w14:paraId="7AA0D76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2D9486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4BA2A91"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Exceptions</w:t>
            </w:r>
          </w:p>
        </w:tc>
        <w:tc>
          <w:tcPr>
            <w:tcW w:w="7043" w:type="dxa"/>
            <w:gridSpan w:val="2"/>
            <w:tcBorders>
              <w:top w:val="nil"/>
              <w:left w:val="single" w:sz="6" w:space="0" w:color="000000"/>
              <w:bottom w:val="single" w:sz="6" w:space="0" w:color="000000"/>
              <w:right w:val="single" w:sz="6" w:space="0" w:color="000000"/>
            </w:tcBorders>
          </w:tcPr>
          <w:p w14:paraId="54FFF683" w14:textId="77777777" w:rsidR="006E50FF" w:rsidRPr="006E50FF" w:rsidRDefault="006E50FF" w:rsidP="006E50FF">
            <w:pPr>
              <w:ind w:left="91" w:right="90"/>
              <w:rPr>
                <w:rFonts w:eastAsia="Aptos"/>
                <w:kern w:val="2"/>
                <w:sz w:val="16"/>
                <w:szCs w:val="16"/>
              </w:rPr>
            </w:pPr>
          </w:p>
        </w:tc>
      </w:tr>
      <w:tr w:rsidR="006E50FF" w:rsidRPr="006E50FF" w14:paraId="6530C66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774862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C4A4F45"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69CFD52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At the discretion of the local jurisdictional code official, a smaller, point of use type hydro-mechanical grease interceptor or automatic grease removal device may be permissible when:</w:t>
            </w:r>
          </w:p>
        </w:tc>
      </w:tr>
      <w:tr w:rsidR="006E50FF" w:rsidRPr="006E50FF" w14:paraId="172ED65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B394992"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FC8372F"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3EF9FB6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1. a concrete slab would have to be broken at an existing building or facility for the proper installation of a grease interceptor; or</w:t>
            </w:r>
          </w:p>
        </w:tc>
      </w:tr>
      <w:tr w:rsidR="006E50FF" w:rsidRPr="006E50FF" w14:paraId="1E0A91E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AE2AB3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4CF395D"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7CD8A3A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2. an outside, unpaved area surrounding an existing building where a grease interceptor could be installed is available; however, it is determined that the area is located further than 75 feet from the plumbing fixtures that the grease interceptor would be servicing; or</w:t>
            </w:r>
          </w:p>
        </w:tc>
      </w:tr>
      <w:tr w:rsidR="006E50FF" w:rsidRPr="006E50FF" w14:paraId="54DBCAE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68C6E7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47778E5"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1665A79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3. the local jurisdictional code official determines that the installation is unfeasible such as when servicing a kitchen located on the upper floors of a multistoried building; or</w:t>
            </w:r>
          </w:p>
        </w:tc>
      </w:tr>
      <w:tr w:rsidR="006E50FF" w:rsidRPr="006E50FF" w14:paraId="6A07BBA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F04322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F05A08C"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05ECD72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4. the local jurisdictional code official determines that minimal fat, oil and grease will be produced or introduced into the sanitary drainage system based on the menu and mode of operation of the facility (i.e., snowball stands, sandwich shops, or other similar facilities with low grease production and which utilize single-service tableware and hollowware including forks, knives, spoons, plates, bowls, cups, and other serving dishes).</w:t>
            </w:r>
          </w:p>
        </w:tc>
      </w:tr>
      <w:tr w:rsidR="006E50FF" w:rsidRPr="006E50FF" w14:paraId="34B4F99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5B6DB7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30F6B36"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5190A27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 In these instances, listed under the exception, the minimum required size of the hydromechanical grease interceptor; fats, oils and greases disposal system or automatic grease removal device shall be determined in accordance with the requirements of Section 1003.3.4 of this code. In no case shall a grease interceptor or automatic grease removal device be installed which has an approved rate of flow of less than 20 gallons per minute.</w:t>
            </w:r>
          </w:p>
        </w:tc>
      </w:tr>
      <w:tr w:rsidR="006E50FF" w:rsidRPr="006E50FF" w14:paraId="78C464D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DD7A0DF"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74435962"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 xml:space="preserve">Section 1003.3.5, Hydromechanical Grease </w:t>
            </w:r>
            <w:r w:rsidRPr="006E50FF">
              <w:rPr>
                <w:rFonts w:eastAsia="Aptos"/>
                <w:kern w:val="2"/>
                <w:sz w:val="16"/>
                <w:szCs w:val="16"/>
              </w:rPr>
              <w:lastRenderedPageBreak/>
              <w:t>Interceptors, Fats, Oils and Greases Disposal Systems and Automatic Grease Removal Devices.</w:t>
            </w:r>
          </w:p>
        </w:tc>
        <w:tc>
          <w:tcPr>
            <w:tcW w:w="7043" w:type="dxa"/>
            <w:gridSpan w:val="2"/>
            <w:tcBorders>
              <w:top w:val="nil"/>
              <w:left w:val="single" w:sz="6" w:space="0" w:color="000000"/>
              <w:bottom w:val="single" w:sz="6" w:space="0" w:color="000000"/>
              <w:right w:val="single" w:sz="6" w:space="0" w:color="000000"/>
            </w:tcBorders>
          </w:tcPr>
          <w:p w14:paraId="56C904A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lastRenderedPageBreak/>
              <w:t xml:space="preserve">When specifically allowed under the exception of Section 1003.2.1 of this code, hydromechanical grease interceptors; fats, oils, and greases disposal systems and automatic grease removal devices shall be sized </w:t>
            </w:r>
            <w:r w:rsidRPr="006E50FF">
              <w:rPr>
                <w:rFonts w:eastAsia="Aptos"/>
                <w:kern w:val="2"/>
                <w:sz w:val="16"/>
                <w:szCs w:val="16"/>
              </w:rPr>
              <w:lastRenderedPageBreak/>
              <w:t>in accordance with ASME A112.14.3, ASME A112.14.4, ASME A112.14.6, CSA B481.3 or PDI-G101. Hydromechanical grease interceptors; fats, oils, and grease disposal systems and automatic grease removal devices shall be designed and tested in accordance with ASME A112.14.3, ASME A112.14.4, CSA B481.1, PDI G101 or PDI G102. Hydromechanical grease interceptors; fats, oils, and greases disposal systems and automatic grease removal devices shall be installed in accordance with the manufacturer’s instructions. Where manufacturer’s instructions are not provided, hydromechanical grease interceptors; fats, oils, and greases disposal systems and automatic grease removal devices shall be installed in compliance with ASME A112.14.3, ASME A112.14.4, ASME A112.14.6, CSA B481.3 or PDI-G101.</w:t>
            </w:r>
          </w:p>
        </w:tc>
      </w:tr>
      <w:tr w:rsidR="006E50FF" w:rsidRPr="006E50FF" w14:paraId="5CD5014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15D74B5"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Amend</w:t>
            </w:r>
          </w:p>
        </w:tc>
        <w:tc>
          <w:tcPr>
            <w:tcW w:w="2415" w:type="dxa"/>
            <w:gridSpan w:val="2"/>
            <w:tcBorders>
              <w:top w:val="nil"/>
              <w:left w:val="single" w:sz="6" w:space="0" w:color="000000"/>
              <w:bottom w:val="single" w:sz="6" w:space="0" w:color="000000"/>
              <w:right w:val="single" w:sz="6" w:space="0" w:color="000000"/>
            </w:tcBorders>
          </w:tcPr>
          <w:p w14:paraId="19530D1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1003.3.7, Gravity Grease Interceptors/Grease Traps.</w:t>
            </w:r>
          </w:p>
        </w:tc>
        <w:tc>
          <w:tcPr>
            <w:tcW w:w="7043" w:type="dxa"/>
            <w:gridSpan w:val="2"/>
            <w:tcBorders>
              <w:top w:val="nil"/>
              <w:left w:val="single" w:sz="6" w:space="0" w:color="000000"/>
              <w:bottom w:val="single" w:sz="6" w:space="0" w:color="000000"/>
              <w:right w:val="single" w:sz="6" w:space="0" w:color="000000"/>
            </w:tcBorders>
          </w:tcPr>
          <w:p w14:paraId="222ABE58" w14:textId="77777777" w:rsidR="006E50FF" w:rsidRPr="006E50FF" w:rsidRDefault="006E50FF" w:rsidP="006E50FF">
            <w:pPr>
              <w:tabs>
                <w:tab w:val="left" w:pos="7038"/>
              </w:tabs>
              <w:ind w:left="91"/>
              <w:rPr>
                <w:rFonts w:eastAsia="Aptos"/>
                <w:kern w:val="2"/>
                <w:sz w:val="16"/>
                <w:szCs w:val="16"/>
              </w:rPr>
            </w:pPr>
            <w:r w:rsidRPr="006E50FF">
              <w:rPr>
                <w:rFonts w:eastAsia="Aptos"/>
                <w:kern w:val="2"/>
                <w:sz w:val="16"/>
                <w:szCs w:val="16"/>
              </w:rPr>
              <w:t>Gravity grease interceptors shall comply with the requirements of Sections 1003.3.47.1 through 1003.3.47.8 and shall be sized in accordance with Section 1003.2.1 of this code.</w:t>
            </w:r>
          </w:p>
        </w:tc>
      </w:tr>
      <w:tr w:rsidR="006E50FF" w:rsidRPr="006E50FF" w14:paraId="672229F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9EA2F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ADE8A9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1003.3.1, Indoor Installations.</w:t>
            </w:r>
          </w:p>
        </w:tc>
        <w:tc>
          <w:tcPr>
            <w:tcW w:w="7043" w:type="dxa"/>
            <w:gridSpan w:val="2"/>
            <w:tcBorders>
              <w:top w:val="nil"/>
              <w:left w:val="single" w:sz="6" w:space="0" w:color="000000"/>
              <w:bottom w:val="single" w:sz="6" w:space="0" w:color="000000"/>
              <w:right w:val="single" w:sz="6" w:space="0" w:color="000000"/>
            </w:tcBorders>
          </w:tcPr>
          <w:p w14:paraId="56787B6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If a gravity grease interceptor must be installed within an enclosed building, any access covers shall be gasketed to prevent the intrusion of odors into the building.</w:t>
            </w:r>
          </w:p>
        </w:tc>
      </w:tr>
      <w:tr w:rsidR="006E50FF" w:rsidRPr="006E50FF" w14:paraId="77577BB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4B151A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19775B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1003.3.7.2, Distance.</w:t>
            </w:r>
          </w:p>
        </w:tc>
        <w:tc>
          <w:tcPr>
            <w:tcW w:w="7043" w:type="dxa"/>
            <w:gridSpan w:val="2"/>
            <w:tcBorders>
              <w:top w:val="nil"/>
              <w:left w:val="single" w:sz="6" w:space="0" w:color="000000"/>
              <w:bottom w:val="single" w:sz="6" w:space="0" w:color="000000"/>
              <w:right w:val="single" w:sz="6" w:space="0" w:color="000000"/>
            </w:tcBorders>
          </w:tcPr>
          <w:p w14:paraId="6A8B26A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grease interceptor shall be placed as close to the plumbing fixture(s) discharging greasy waste as possible, but preferably on the outside of the building when feasible.</w:t>
            </w:r>
          </w:p>
        </w:tc>
      </w:tr>
      <w:tr w:rsidR="006E50FF" w:rsidRPr="006E50FF" w14:paraId="08B8A64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32C0A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0167D8C"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1003.3.7.3, Outlet Pipe.</w:t>
            </w:r>
          </w:p>
        </w:tc>
        <w:tc>
          <w:tcPr>
            <w:tcW w:w="7043" w:type="dxa"/>
            <w:gridSpan w:val="2"/>
            <w:tcBorders>
              <w:top w:val="nil"/>
              <w:left w:val="single" w:sz="6" w:space="0" w:color="000000"/>
              <w:bottom w:val="single" w:sz="6" w:space="0" w:color="000000"/>
              <w:right w:val="single" w:sz="6" w:space="0" w:color="000000"/>
            </w:tcBorders>
          </w:tcPr>
          <w:p w14:paraId="19DB2F7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minimum diameter of the outlet pipe shall not be less than 4 inches. The invert of the gravity grease interceptor outlet opening (i.e., lowest portion of the outlet pipe where it draws waste near the bottom of the grease interceptor), shall be located at a maximum of 6 inches and a minimum of 4 inches from the floor of the grease interceptor. This requirement also applies to any intermediate outlets in multi-compartment gravity grease interceptors.</w:t>
            </w:r>
          </w:p>
        </w:tc>
      </w:tr>
      <w:tr w:rsidR="006E50FF" w:rsidRPr="006E50FF" w14:paraId="7567DF91" w14:textId="77777777" w:rsidTr="0088638B">
        <w:trPr>
          <w:trHeight w:val="185"/>
        </w:trPr>
        <w:tc>
          <w:tcPr>
            <w:tcW w:w="1072" w:type="dxa"/>
            <w:tcBorders>
              <w:top w:val="nil"/>
              <w:left w:val="single" w:sz="6" w:space="0" w:color="000000"/>
              <w:bottom w:val="single" w:sz="4" w:space="0" w:color="auto"/>
              <w:right w:val="single" w:sz="6" w:space="0" w:color="000000"/>
            </w:tcBorders>
          </w:tcPr>
          <w:p w14:paraId="2ECF8E3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4" w:space="0" w:color="auto"/>
              <w:right w:val="single" w:sz="6" w:space="0" w:color="000000"/>
            </w:tcBorders>
          </w:tcPr>
          <w:p w14:paraId="6B8EC19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1003.3.7.4, Air Space.</w:t>
            </w:r>
          </w:p>
        </w:tc>
        <w:tc>
          <w:tcPr>
            <w:tcW w:w="7043" w:type="dxa"/>
            <w:gridSpan w:val="2"/>
            <w:tcBorders>
              <w:top w:val="nil"/>
              <w:left w:val="single" w:sz="6" w:space="0" w:color="000000"/>
              <w:bottom w:val="single" w:sz="4" w:space="0" w:color="auto"/>
              <w:right w:val="single" w:sz="6" w:space="0" w:color="000000"/>
            </w:tcBorders>
          </w:tcPr>
          <w:p w14:paraId="5EA4DAB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minimum of one foot of air space shall be provided above the static water level.</w:t>
            </w:r>
          </w:p>
        </w:tc>
      </w:tr>
      <w:tr w:rsidR="006E50FF" w:rsidRPr="006E50FF" w14:paraId="2C3DD21F"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2CF8C14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5E1A8C9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1003.3.7.5, Venting.</w:t>
            </w:r>
          </w:p>
        </w:tc>
        <w:tc>
          <w:tcPr>
            <w:tcW w:w="7043" w:type="dxa"/>
            <w:gridSpan w:val="2"/>
            <w:tcBorders>
              <w:top w:val="single" w:sz="4" w:space="0" w:color="auto"/>
              <w:left w:val="single" w:sz="4" w:space="0" w:color="auto"/>
              <w:bottom w:val="single" w:sz="4" w:space="0" w:color="auto"/>
              <w:right w:val="single" w:sz="4" w:space="0" w:color="auto"/>
            </w:tcBorders>
          </w:tcPr>
          <w:p w14:paraId="3B905C9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gravity grease interceptor outlet shall be properly vented in accordance with this section to prevent it from siphoning itself out. Any internally vented outlet line shall have the vent terminal extended to within 2 inches of the bottom of the access cover to prevent grease from escaping the gravity grease interceptor through the open vent terminal. For those gravity grease interceptors having a gasketed cover, the gravity grease interceptor outlet line shall not be allowed to be internally vented. In this case, the outlet line itself shall be vented with a minimum 2-inch vent pipe installed in accordance with Chapter 9 of this code.</w:t>
            </w:r>
          </w:p>
        </w:tc>
      </w:tr>
      <w:tr w:rsidR="006E50FF" w:rsidRPr="006E50FF" w14:paraId="78319566" w14:textId="77777777" w:rsidTr="0088638B">
        <w:trPr>
          <w:trHeight w:val="185"/>
        </w:trPr>
        <w:tc>
          <w:tcPr>
            <w:tcW w:w="1072" w:type="dxa"/>
            <w:tcBorders>
              <w:top w:val="single" w:sz="4" w:space="0" w:color="auto"/>
              <w:left w:val="single" w:sz="6" w:space="0" w:color="000000"/>
              <w:bottom w:val="single" w:sz="4" w:space="0" w:color="auto"/>
              <w:right w:val="single" w:sz="6" w:space="0" w:color="000000"/>
            </w:tcBorders>
          </w:tcPr>
          <w:p w14:paraId="5AB2B5F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4" w:space="0" w:color="auto"/>
              <w:right w:val="single" w:sz="6" w:space="0" w:color="000000"/>
            </w:tcBorders>
          </w:tcPr>
          <w:p w14:paraId="14FCBD1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1003.3.7.6, Water Seal.</w:t>
            </w:r>
          </w:p>
        </w:tc>
        <w:tc>
          <w:tcPr>
            <w:tcW w:w="7043" w:type="dxa"/>
            <w:gridSpan w:val="2"/>
            <w:tcBorders>
              <w:top w:val="single" w:sz="4" w:space="0" w:color="auto"/>
              <w:left w:val="single" w:sz="6" w:space="0" w:color="000000"/>
              <w:bottom w:val="single" w:sz="4" w:space="0" w:color="auto"/>
              <w:right w:val="single" w:sz="6" w:space="0" w:color="000000"/>
            </w:tcBorders>
          </w:tcPr>
          <w:p w14:paraId="3EEF2A2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On unbaffled single compartment gravity grease interceptors, a 90 degree ell shall be used on the inlet and shall terminate 6 inches below the static water level. On baffled single compartment gravity grease interceptors, a baffle wall shall be placed between the inlet and outlet. The inlet shall discharge into the gravity grease interceptor at a level at least 6 inches below the top of the baffle wall.</w:t>
            </w:r>
          </w:p>
        </w:tc>
      </w:tr>
      <w:tr w:rsidR="006E50FF" w:rsidRPr="006E50FF" w14:paraId="690C7325"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213D6BD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4C5E94E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1003.3.7.7, Minimum Horizontal Distance.</w:t>
            </w:r>
          </w:p>
        </w:tc>
        <w:tc>
          <w:tcPr>
            <w:tcW w:w="7043" w:type="dxa"/>
            <w:gridSpan w:val="2"/>
            <w:tcBorders>
              <w:top w:val="single" w:sz="4" w:space="0" w:color="auto"/>
              <w:left w:val="single" w:sz="4" w:space="0" w:color="auto"/>
              <w:bottom w:val="single" w:sz="4" w:space="0" w:color="auto"/>
              <w:right w:val="single" w:sz="4" w:space="0" w:color="auto"/>
            </w:tcBorders>
          </w:tcPr>
          <w:p w14:paraId="6384646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minimum horizontal distance between the inlet and outlet piping in the gravity grease interceptor shall be 24 inches.</w:t>
            </w:r>
          </w:p>
        </w:tc>
      </w:tr>
      <w:tr w:rsidR="006E50FF" w:rsidRPr="006E50FF" w14:paraId="630D7234"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1DAA475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287F4925"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1003.3.7.8, Access/Covers.</w:t>
            </w:r>
          </w:p>
        </w:tc>
        <w:tc>
          <w:tcPr>
            <w:tcW w:w="7043" w:type="dxa"/>
            <w:gridSpan w:val="2"/>
            <w:tcBorders>
              <w:top w:val="single" w:sz="4" w:space="0" w:color="auto"/>
              <w:left w:val="single" w:sz="6" w:space="0" w:color="000000"/>
              <w:bottom w:val="single" w:sz="6" w:space="0" w:color="000000"/>
              <w:right w:val="single" w:sz="6" w:space="0" w:color="000000"/>
            </w:tcBorders>
          </w:tcPr>
          <w:p w14:paraId="3625CBE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Access from the top of the gravity grease interceptor shall be provided by an easily removable cover above an access opening for proper maintenance. Additional access opening/covers shall be provided as necessary to provide accessibility to each compartment in multi-compartment or multi-baffled arrangements as well as access to both the inlet and outlet. Access opening covers shall be above or at grade (G) to provide ready accessibility. Each access cover shall be designed so that it cannot slide, rotate, or flip when properly installed in order that the opening is not unintentionally exposed. Especially for lightweight covers, mechanical fasteners are recommended to augment the safety of and ensure positive closure of the cover.</w:t>
            </w:r>
          </w:p>
        </w:tc>
      </w:tr>
      <w:tr w:rsidR="006E50FF" w:rsidRPr="006E50FF" w14:paraId="23756AB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5E321B0"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45902CE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1003.10, Access and Maintenance of Interceptors and</w:t>
            </w:r>
          </w:p>
          <w:p w14:paraId="4716D30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Separators.</w:t>
            </w:r>
          </w:p>
        </w:tc>
        <w:tc>
          <w:tcPr>
            <w:tcW w:w="7043" w:type="dxa"/>
            <w:gridSpan w:val="2"/>
            <w:tcBorders>
              <w:top w:val="nil"/>
              <w:left w:val="single" w:sz="6" w:space="0" w:color="000000"/>
              <w:bottom w:val="single" w:sz="6" w:space="0" w:color="000000"/>
              <w:right w:val="single" w:sz="6" w:space="0" w:color="000000"/>
            </w:tcBorders>
          </w:tcPr>
          <w:p w14:paraId="51AAE08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Access shall be provided to each interceptor and separator for service and maintenance. A two-way cleanout shall be provided on the discharge waste line immediately downstream of all interceptors and separators. Interceptors and separators shall be maintained by periodic removal of accumulated grease, scum, oil, or other floating substances and solids deposited in the interceptor or separator.</w:t>
            </w:r>
          </w:p>
        </w:tc>
      </w:tr>
      <w:tr w:rsidR="006E50FF" w:rsidRPr="006E50FF" w14:paraId="703DA24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A8C0B7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9A04F9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11, Storm</w:t>
            </w:r>
          </w:p>
          <w:p w14:paraId="3619FD4B"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Drainage.</w:t>
            </w:r>
          </w:p>
        </w:tc>
        <w:tc>
          <w:tcPr>
            <w:tcW w:w="7043" w:type="dxa"/>
            <w:gridSpan w:val="2"/>
            <w:tcBorders>
              <w:top w:val="nil"/>
              <w:left w:val="single" w:sz="6" w:space="0" w:color="000000"/>
              <w:bottom w:val="single" w:sz="6" w:space="0" w:color="000000"/>
              <w:right w:val="single" w:sz="6" w:space="0" w:color="000000"/>
            </w:tcBorders>
          </w:tcPr>
          <w:p w14:paraId="1E16EAE2" w14:textId="77777777" w:rsidR="006E50FF" w:rsidRPr="006E50FF" w:rsidRDefault="006E50FF" w:rsidP="006E50FF">
            <w:pPr>
              <w:ind w:left="91" w:right="90"/>
              <w:rPr>
                <w:rFonts w:eastAsia="Aptos"/>
                <w:kern w:val="2"/>
                <w:sz w:val="16"/>
                <w:szCs w:val="16"/>
              </w:rPr>
            </w:pPr>
          </w:p>
        </w:tc>
      </w:tr>
      <w:tr w:rsidR="006E50FF" w:rsidRPr="006E50FF" w14:paraId="152C0EA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786CD18"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5976C2CC"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1101.3, Prohibited Drainage.</w:t>
            </w:r>
          </w:p>
        </w:tc>
        <w:tc>
          <w:tcPr>
            <w:tcW w:w="7043" w:type="dxa"/>
            <w:gridSpan w:val="2"/>
            <w:tcBorders>
              <w:top w:val="nil"/>
              <w:left w:val="single" w:sz="6" w:space="0" w:color="000000"/>
              <w:bottom w:val="single" w:sz="6" w:space="0" w:color="000000"/>
              <w:right w:val="single" w:sz="6" w:space="0" w:color="000000"/>
            </w:tcBorders>
          </w:tcPr>
          <w:p w14:paraId="3C1BE4F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Storm water shall not be drained into sewers intended for sewage only.</w:t>
            </w:r>
          </w:p>
        </w:tc>
      </w:tr>
      <w:tr w:rsidR="006E50FF" w:rsidRPr="006E50FF" w14:paraId="5106E52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63A1F1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EC77EB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1654DF4A" w14:textId="77777777" w:rsidR="006E50FF" w:rsidRPr="006E50FF" w:rsidRDefault="006E50FF" w:rsidP="006E50FF">
            <w:pPr>
              <w:ind w:left="91" w:right="90"/>
              <w:rPr>
                <w:rFonts w:eastAsia="Aptos"/>
                <w:kern w:val="2"/>
                <w:sz w:val="16"/>
                <w:szCs w:val="16"/>
              </w:rPr>
            </w:pPr>
          </w:p>
        </w:tc>
      </w:tr>
      <w:tr w:rsidR="006E50FF" w:rsidRPr="006E50FF" w14:paraId="38CD824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0932AF9"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8E43F56" w14:textId="77777777" w:rsidR="006E50FF" w:rsidRPr="006E50FF" w:rsidRDefault="006E50FF" w:rsidP="006E50FF">
            <w:pPr>
              <w:tabs>
                <w:tab w:val="left" w:pos="944"/>
              </w:tabs>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675EBEE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1. Liquid waste from the cleaning operation and from the leakage of garbage containers and dumpsters holding putrescible wastes shall be disposed of as sewage. Methods used for this disposal shall prevent rainwater and runoff from adjacent areas from entering the sanitary sewerage system (i.e., dumpster pads may be elevated or curbed, enclosed or covered). When determined by the code official that liquid wastes or putrescible wastes contain fats, oils or grease (or, for new establishments, will likely contain fats, oils, or grease in the future), an approved grease interceptor shall be installed in the waste line in accordance with Section 1003 of this code.</w:t>
            </w:r>
          </w:p>
        </w:tc>
      </w:tr>
      <w:tr w:rsidR="006E50FF" w:rsidRPr="006E50FF" w14:paraId="7A3AADB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F0C7F2B"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5D775B2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1103.1.</w:t>
            </w:r>
          </w:p>
        </w:tc>
        <w:tc>
          <w:tcPr>
            <w:tcW w:w="7043" w:type="dxa"/>
            <w:gridSpan w:val="2"/>
            <w:tcBorders>
              <w:top w:val="nil"/>
              <w:left w:val="single" w:sz="6" w:space="0" w:color="000000"/>
              <w:bottom w:val="single" w:sz="6" w:space="0" w:color="000000"/>
              <w:right w:val="single" w:sz="6" w:space="0" w:color="000000"/>
            </w:tcBorders>
          </w:tcPr>
          <w:p w14:paraId="46EFD7E8" w14:textId="77777777" w:rsidR="006E50FF" w:rsidRPr="006E50FF" w:rsidRDefault="006E50FF" w:rsidP="006E50FF">
            <w:pPr>
              <w:ind w:left="91" w:right="90"/>
              <w:rPr>
                <w:rFonts w:eastAsia="Aptos"/>
                <w:kern w:val="2"/>
                <w:sz w:val="16"/>
                <w:szCs w:val="16"/>
              </w:rPr>
            </w:pPr>
          </w:p>
        </w:tc>
      </w:tr>
      <w:tr w:rsidR="006E50FF" w:rsidRPr="006E50FF" w14:paraId="132DDDB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827BF98"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67EDE9FB"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1103.2.</w:t>
            </w:r>
          </w:p>
        </w:tc>
        <w:tc>
          <w:tcPr>
            <w:tcW w:w="7043" w:type="dxa"/>
            <w:gridSpan w:val="2"/>
            <w:tcBorders>
              <w:top w:val="nil"/>
              <w:left w:val="single" w:sz="6" w:space="0" w:color="000000"/>
              <w:bottom w:val="single" w:sz="6" w:space="0" w:color="000000"/>
              <w:right w:val="single" w:sz="6" w:space="0" w:color="000000"/>
            </w:tcBorders>
          </w:tcPr>
          <w:p w14:paraId="2D363221" w14:textId="77777777" w:rsidR="006E50FF" w:rsidRPr="006E50FF" w:rsidRDefault="006E50FF" w:rsidP="006E50FF">
            <w:pPr>
              <w:ind w:left="91" w:right="90"/>
              <w:rPr>
                <w:rFonts w:eastAsia="Aptos"/>
                <w:kern w:val="2"/>
                <w:sz w:val="16"/>
                <w:szCs w:val="16"/>
              </w:rPr>
            </w:pPr>
          </w:p>
        </w:tc>
      </w:tr>
      <w:tr w:rsidR="006E50FF" w:rsidRPr="006E50FF" w14:paraId="74F367F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19F0154"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2C02E38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1103.3.</w:t>
            </w:r>
          </w:p>
        </w:tc>
        <w:tc>
          <w:tcPr>
            <w:tcW w:w="7043" w:type="dxa"/>
            <w:gridSpan w:val="2"/>
            <w:tcBorders>
              <w:top w:val="nil"/>
              <w:left w:val="single" w:sz="6" w:space="0" w:color="000000"/>
              <w:bottom w:val="single" w:sz="6" w:space="0" w:color="000000"/>
              <w:right w:val="single" w:sz="6" w:space="0" w:color="000000"/>
            </w:tcBorders>
          </w:tcPr>
          <w:p w14:paraId="05DFC774" w14:textId="77777777" w:rsidR="006E50FF" w:rsidRPr="006E50FF" w:rsidRDefault="006E50FF" w:rsidP="006E50FF">
            <w:pPr>
              <w:ind w:left="91" w:right="90"/>
              <w:rPr>
                <w:rFonts w:eastAsia="Aptos"/>
                <w:kern w:val="2"/>
                <w:sz w:val="16"/>
                <w:szCs w:val="16"/>
              </w:rPr>
            </w:pPr>
          </w:p>
        </w:tc>
      </w:tr>
      <w:tr w:rsidR="006E50FF" w:rsidRPr="006E50FF" w14:paraId="433833D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8E81266"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3A16983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1103.4.</w:t>
            </w:r>
          </w:p>
        </w:tc>
        <w:tc>
          <w:tcPr>
            <w:tcW w:w="7043" w:type="dxa"/>
            <w:gridSpan w:val="2"/>
            <w:tcBorders>
              <w:top w:val="nil"/>
              <w:left w:val="single" w:sz="6" w:space="0" w:color="000000"/>
              <w:bottom w:val="single" w:sz="6" w:space="0" w:color="000000"/>
              <w:right w:val="single" w:sz="6" w:space="0" w:color="000000"/>
            </w:tcBorders>
          </w:tcPr>
          <w:p w14:paraId="0FDA428F" w14:textId="77777777" w:rsidR="006E50FF" w:rsidRPr="006E50FF" w:rsidRDefault="006E50FF" w:rsidP="006E50FF">
            <w:pPr>
              <w:ind w:left="91" w:right="90"/>
              <w:rPr>
                <w:rFonts w:eastAsia="Aptos"/>
                <w:kern w:val="2"/>
                <w:sz w:val="16"/>
                <w:szCs w:val="16"/>
              </w:rPr>
            </w:pPr>
          </w:p>
        </w:tc>
      </w:tr>
      <w:tr w:rsidR="006E50FF" w:rsidRPr="006E50FF" w14:paraId="611DCFF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E2A0C1C"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0E1F66D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1109.1.</w:t>
            </w:r>
          </w:p>
        </w:tc>
        <w:tc>
          <w:tcPr>
            <w:tcW w:w="7043" w:type="dxa"/>
            <w:gridSpan w:val="2"/>
            <w:tcBorders>
              <w:top w:val="nil"/>
              <w:left w:val="single" w:sz="6" w:space="0" w:color="000000"/>
              <w:bottom w:val="single" w:sz="6" w:space="0" w:color="000000"/>
              <w:right w:val="single" w:sz="6" w:space="0" w:color="000000"/>
            </w:tcBorders>
          </w:tcPr>
          <w:p w14:paraId="65B80ED4" w14:textId="77777777" w:rsidR="006E50FF" w:rsidRPr="006E50FF" w:rsidRDefault="006E50FF" w:rsidP="006E50FF">
            <w:pPr>
              <w:ind w:left="91" w:right="90"/>
              <w:rPr>
                <w:rFonts w:eastAsia="Aptos"/>
                <w:kern w:val="2"/>
                <w:sz w:val="16"/>
                <w:szCs w:val="16"/>
              </w:rPr>
            </w:pPr>
          </w:p>
        </w:tc>
      </w:tr>
      <w:tr w:rsidR="006E50FF" w:rsidRPr="006E50FF" w14:paraId="7F21D3F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FC0986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2AA3F83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13, Gray Water</w:t>
            </w:r>
          </w:p>
          <w:p w14:paraId="6F77454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Recycling Systems.</w:t>
            </w:r>
          </w:p>
        </w:tc>
        <w:tc>
          <w:tcPr>
            <w:tcW w:w="7043" w:type="dxa"/>
            <w:gridSpan w:val="2"/>
            <w:tcBorders>
              <w:top w:val="nil"/>
              <w:left w:val="single" w:sz="6" w:space="0" w:color="000000"/>
              <w:bottom w:val="single" w:sz="6" w:space="0" w:color="000000"/>
              <w:right w:val="single" w:sz="6" w:space="0" w:color="000000"/>
            </w:tcBorders>
          </w:tcPr>
          <w:p w14:paraId="4DA99E11" w14:textId="77777777" w:rsidR="006E50FF" w:rsidRPr="006E50FF" w:rsidRDefault="006E50FF" w:rsidP="006E50FF">
            <w:pPr>
              <w:ind w:left="91" w:right="90"/>
              <w:rPr>
                <w:rFonts w:eastAsia="Aptos"/>
                <w:kern w:val="2"/>
                <w:sz w:val="16"/>
                <w:szCs w:val="16"/>
              </w:rPr>
            </w:pPr>
          </w:p>
        </w:tc>
      </w:tr>
      <w:tr w:rsidR="006E50FF" w:rsidRPr="006E50FF" w14:paraId="251AA71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FCD396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F20886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1301.4, Permits.</w:t>
            </w:r>
          </w:p>
        </w:tc>
        <w:tc>
          <w:tcPr>
            <w:tcW w:w="7043" w:type="dxa"/>
            <w:gridSpan w:val="2"/>
            <w:tcBorders>
              <w:top w:val="nil"/>
              <w:left w:val="single" w:sz="6" w:space="0" w:color="000000"/>
              <w:bottom w:val="single" w:sz="6" w:space="0" w:color="000000"/>
              <w:right w:val="single" w:sz="6" w:space="0" w:color="000000"/>
            </w:tcBorders>
          </w:tcPr>
          <w:p w14:paraId="6E1E8D2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Permits shall be required for the construction, installation, alteration and repair of nonpotable water systems. Construction documents, engineering calculations, diagrams and other such data pertaining to the nonpotable water system shall be submitted with each permit application. Such plans and specifications shall be appropriately sealed and signed by a Louisiana registered professional engineer.</w:t>
            </w:r>
          </w:p>
        </w:tc>
      </w:tr>
      <w:tr w:rsidR="006E50FF" w:rsidRPr="006E50FF" w14:paraId="6996E9B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A8878DE"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3091A4E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1301.5, Potable Water Connections.</w:t>
            </w:r>
          </w:p>
        </w:tc>
        <w:tc>
          <w:tcPr>
            <w:tcW w:w="7043" w:type="dxa"/>
            <w:gridSpan w:val="2"/>
            <w:tcBorders>
              <w:top w:val="nil"/>
              <w:left w:val="single" w:sz="6" w:space="0" w:color="000000"/>
              <w:bottom w:val="single" w:sz="6" w:space="0" w:color="000000"/>
              <w:right w:val="single" w:sz="6" w:space="0" w:color="000000"/>
            </w:tcBorders>
          </w:tcPr>
          <w:p w14:paraId="5E6F297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Where a potable system is connected to a nonpotable water system, the potable water supply shall be protected against backflow by an air gap or reduced pressure principal backflow prevention assembly.</w:t>
            </w:r>
          </w:p>
        </w:tc>
      </w:tr>
      <w:tr w:rsidR="006E50FF" w:rsidRPr="006E50FF" w14:paraId="3D380628"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D90D46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830E20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1301.9.4, Makeup Water.</w:t>
            </w:r>
          </w:p>
        </w:tc>
        <w:tc>
          <w:tcPr>
            <w:tcW w:w="7043" w:type="dxa"/>
            <w:gridSpan w:val="2"/>
            <w:tcBorders>
              <w:top w:val="nil"/>
              <w:left w:val="single" w:sz="6" w:space="0" w:color="000000"/>
              <w:bottom w:val="single" w:sz="6" w:space="0" w:color="000000"/>
              <w:right w:val="single" w:sz="6" w:space="0" w:color="000000"/>
            </w:tcBorders>
          </w:tcPr>
          <w:p w14:paraId="265C47B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Where an uninterrupted supply is required for the intended application, potable or reclaimed water shall be provided as a source of makeup water for the storage tank. The makeup water supply shall be protected against backflow by an air gap or reduced pressure principal backflow prevention assembly. A full-open valve located on the makeup water supply line to the storage tank shall be provided. Inlets to the storage tank shall be controlled by fill valves or other automatic supply valves installed to prevent the tank form overflowing and to prevent the water level from dropping below a predetermined point. Where makeup water is provided, the water level shall not be permitted to drop below the source water inlet or the intake of any attached pump.</w:t>
            </w:r>
          </w:p>
        </w:tc>
      </w:tr>
      <w:tr w:rsidR="006E50FF" w:rsidRPr="006E50FF" w14:paraId="51B516A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950FBBB"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Amend</w:t>
            </w:r>
          </w:p>
        </w:tc>
        <w:tc>
          <w:tcPr>
            <w:tcW w:w="2415" w:type="dxa"/>
            <w:gridSpan w:val="2"/>
            <w:tcBorders>
              <w:top w:val="nil"/>
              <w:left w:val="single" w:sz="6" w:space="0" w:color="000000"/>
              <w:bottom w:val="single" w:sz="6" w:space="0" w:color="000000"/>
              <w:right w:val="single" w:sz="6" w:space="0" w:color="000000"/>
            </w:tcBorders>
          </w:tcPr>
          <w:p w14:paraId="22D60E8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15, Referenced Standards.</w:t>
            </w:r>
          </w:p>
        </w:tc>
        <w:tc>
          <w:tcPr>
            <w:tcW w:w="7043" w:type="dxa"/>
            <w:gridSpan w:val="2"/>
            <w:tcBorders>
              <w:top w:val="nil"/>
              <w:left w:val="single" w:sz="6" w:space="0" w:color="000000"/>
              <w:bottom w:val="single" w:sz="6" w:space="0" w:color="000000"/>
              <w:right w:val="single" w:sz="6" w:space="0" w:color="000000"/>
            </w:tcBorders>
          </w:tcPr>
          <w:p w14:paraId="08F8F3FE" w14:textId="77777777" w:rsidR="006E50FF" w:rsidRPr="006E50FF" w:rsidRDefault="006E50FF" w:rsidP="006E50FF">
            <w:pPr>
              <w:ind w:left="91" w:right="90"/>
              <w:rPr>
                <w:rFonts w:eastAsia="Aptos"/>
                <w:kern w:val="2"/>
                <w:sz w:val="16"/>
                <w:szCs w:val="16"/>
              </w:rPr>
            </w:pPr>
          </w:p>
        </w:tc>
      </w:tr>
      <w:tr w:rsidR="006E50FF" w:rsidRPr="006E50FF" w14:paraId="025B191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B3344DC"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68E5823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CSA Referenced Standard.</w:t>
            </w:r>
          </w:p>
        </w:tc>
        <w:tc>
          <w:tcPr>
            <w:tcW w:w="7043" w:type="dxa"/>
            <w:gridSpan w:val="2"/>
            <w:tcBorders>
              <w:top w:val="nil"/>
              <w:left w:val="single" w:sz="6" w:space="0" w:color="000000"/>
              <w:bottom w:val="single" w:sz="6" w:space="0" w:color="000000"/>
              <w:right w:val="single" w:sz="6" w:space="0" w:color="000000"/>
            </w:tcBorders>
          </w:tcPr>
          <w:p w14:paraId="47C2419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B64.10-94 Manual for the Selection, Installation, Maintenance and Field Testing of Backflow Prevention Devices (not including Part 6 (Maintenance and Field Testing) Section 608.16 and Section 618.2</w:t>
            </w:r>
          </w:p>
        </w:tc>
      </w:tr>
      <w:tr w:rsidR="006E50FF" w:rsidRPr="006E50FF" w14:paraId="33E0993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BDF76E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6E06D8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16, Travel Trailer and Mobile/Manufactured Home Parks.</w:t>
            </w:r>
          </w:p>
        </w:tc>
        <w:tc>
          <w:tcPr>
            <w:tcW w:w="7043" w:type="dxa"/>
            <w:gridSpan w:val="2"/>
            <w:tcBorders>
              <w:top w:val="nil"/>
              <w:left w:val="single" w:sz="6" w:space="0" w:color="000000"/>
              <w:bottom w:val="single" w:sz="6" w:space="0" w:color="000000"/>
              <w:right w:val="single" w:sz="6" w:space="0" w:color="000000"/>
            </w:tcBorders>
          </w:tcPr>
          <w:p w14:paraId="2AD7CD02" w14:textId="77777777" w:rsidR="006E50FF" w:rsidRPr="006E50FF" w:rsidRDefault="006E50FF" w:rsidP="006E50FF">
            <w:pPr>
              <w:ind w:left="91" w:right="90"/>
              <w:rPr>
                <w:rFonts w:eastAsia="Aptos"/>
                <w:kern w:val="2"/>
                <w:sz w:val="16"/>
                <w:szCs w:val="16"/>
              </w:rPr>
            </w:pPr>
          </w:p>
        </w:tc>
      </w:tr>
      <w:tr w:rsidR="006E50FF" w:rsidRPr="006E50FF" w14:paraId="7A2268B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A61FA5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BCDBA0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Definitions</w:t>
            </w:r>
          </w:p>
        </w:tc>
        <w:tc>
          <w:tcPr>
            <w:tcW w:w="7043" w:type="dxa"/>
            <w:gridSpan w:val="2"/>
            <w:tcBorders>
              <w:top w:val="nil"/>
              <w:left w:val="single" w:sz="6" w:space="0" w:color="000000"/>
              <w:bottom w:val="single" w:sz="6" w:space="0" w:color="000000"/>
              <w:right w:val="single" w:sz="6" w:space="0" w:color="000000"/>
            </w:tcBorders>
          </w:tcPr>
          <w:p w14:paraId="0E66003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Add the following definitions:</w:t>
            </w:r>
          </w:p>
        </w:tc>
      </w:tr>
      <w:tr w:rsidR="006E50FF" w:rsidRPr="006E50FF" w14:paraId="74C893B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517F33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2D9A05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Dependent Travel Trailer</w:t>
            </w:r>
          </w:p>
        </w:tc>
        <w:tc>
          <w:tcPr>
            <w:tcW w:w="7043" w:type="dxa"/>
            <w:gridSpan w:val="2"/>
            <w:tcBorders>
              <w:top w:val="nil"/>
              <w:left w:val="single" w:sz="6" w:space="0" w:color="000000"/>
              <w:bottom w:val="single" w:sz="6" w:space="0" w:color="000000"/>
              <w:right w:val="single" w:sz="6" w:space="0" w:color="000000"/>
            </w:tcBorders>
          </w:tcPr>
          <w:p w14:paraId="01E978B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travel trailer not equipped with a water closet.</w:t>
            </w:r>
          </w:p>
        </w:tc>
      </w:tr>
      <w:tr w:rsidR="006E50FF" w:rsidRPr="006E50FF" w14:paraId="4FF6487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DD6C24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2E7C13C"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Drain Hose</w:t>
            </w:r>
          </w:p>
        </w:tc>
        <w:tc>
          <w:tcPr>
            <w:tcW w:w="7043" w:type="dxa"/>
            <w:gridSpan w:val="2"/>
            <w:tcBorders>
              <w:top w:val="nil"/>
              <w:left w:val="single" w:sz="6" w:space="0" w:color="000000"/>
              <w:bottom w:val="single" w:sz="6" w:space="0" w:color="000000"/>
              <w:right w:val="single" w:sz="6" w:space="0" w:color="000000"/>
            </w:tcBorders>
          </w:tcPr>
          <w:p w14:paraId="4FECF16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approved type hose, flexible and easily detachable, used for connecting the drain outlet on a travel trailer to a sewer inlet connection.</w:t>
            </w:r>
          </w:p>
        </w:tc>
      </w:tr>
      <w:tr w:rsidR="006E50FF" w:rsidRPr="006E50FF" w14:paraId="5FFEE6E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6462E8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D74E21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Drain Outlet</w:t>
            </w:r>
          </w:p>
        </w:tc>
        <w:tc>
          <w:tcPr>
            <w:tcW w:w="7043" w:type="dxa"/>
            <w:gridSpan w:val="2"/>
            <w:tcBorders>
              <w:top w:val="nil"/>
              <w:left w:val="single" w:sz="6" w:space="0" w:color="000000"/>
              <w:bottom w:val="single" w:sz="6" w:space="0" w:color="000000"/>
              <w:right w:val="single" w:sz="6" w:space="0" w:color="000000"/>
            </w:tcBorders>
          </w:tcPr>
          <w:p w14:paraId="48116FE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lowest end of the main drain of a travel trailer itself to which a drain hose is connected.</w:t>
            </w:r>
          </w:p>
        </w:tc>
      </w:tr>
      <w:tr w:rsidR="006E50FF" w:rsidRPr="006E50FF" w14:paraId="286837D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0EE158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8BC8015"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Independent Travel Trailer</w:t>
            </w:r>
          </w:p>
        </w:tc>
        <w:tc>
          <w:tcPr>
            <w:tcW w:w="7043" w:type="dxa"/>
            <w:gridSpan w:val="2"/>
            <w:tcBorders>
              <w:top w:val="nil"/>
              <w:left w:val="single" w:sz="6" w:space="0" w:color="000000"/>
              <w:bottom w:val="single" w:sz="6" w:space="0" w:color="000000"/>
              <w:right w:val="single" w:sz="6" w:space="0" w:color="000000"/>
            </w:tcBorders>
          </w:tcPr>
          <w:p w14:paraId="528A8DA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travel trailer equipped with a water closet and a bath or shower.</w:t>
            </w:r>
          </w:p>
        </w:tc>
      </w:tr>
      <w:tr w:rsidR="006E50FF" w:rsidRPr="006E50FF" w14:paraId="0C3F7C6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132676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5B6AF4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Inlet Coupling</w:t>
            </w:r>
          </w:p>
        </w:tc>
        <w:tc>
          <w:tcPr>
            <w:tcW w:w="7043" w:type="dxa"/>
            <w:gridSpan w:val="2"/>
            <w:tcBorders>
              <w:top w:val="nil"/>
              <w:left w:val="single" w:sz="6" w:space="0" w:color="000000"/>
              <w:bottom w:val="single" w:sz="6" w:space="0" w:color="000000"/>
              <w:right w:val="single" w:sz="6" w:space="0" w:color="000000"/>
            </w:tcBorders>
          </w:tcPr>
          <w:p w14:paraId="0C6EA86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terminal end of the branch water line to which the mobile/manufactured home or travel trailer’s water service connection is made. It may be a swivel fitting or threaded pipe end.</w:t>
            </w:r>
          </w:p>
        </w:tc>
      </w:tr>
      <w:tr w:rsidR="006E50FF" w:rsidRPr="006E50FF" w14:paraId="7CDEA7FD" w14:textId="77777777" w:rsidTr="0088638B">
        <w:trPr>
          <w:trHeight w:val="185"/>
        </w:trPr>
        <w:tc>
          <w:tcPr>
            <w:tcW w:w="1072" w:type="dxa"/>
            <w:tcBorders>
              <w:top w:val="nil"/>
              <w:left w:val="single" w:sz="6" w:space="0" w:color="000000"/>
              <w:bottom w:val="single" w:sz="4" w:space="0" w:color="auto"/>
              <w:right w:val="single" w:sz="6" w:space="0" w:color="000000"/>
            </w:tcBorders>
          </w:tcPr>
          <w:p w14:paraId="7A94D82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4" w:space="0" w:color="auto"/>
              <w:right w:val="single" w:sz="6" w:space="0" w:color="000000"/>
            </w:tcBorders>
          </w:tcPr>
          <w:p w14:paraId="3B3554B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Intermediate Waste Holding Tank</w:t>
            </w:r>
          </w:p>
        </w:tc>
        <w:tc>
          <w:tcPr>
            <w:tcW w:w="7043" w:type="dxa"/>
            <w:gridSpan w:val="2"/>
            <w:tcBorders>
              <w:top w:val="nil"/>
              <w:left w:val="single" w:sz="6" w:space="0" w:color="000000"/>
              <w:bottom w:val="single" w:sz="4" w:space="0" w:color="auto"/>
              <w:right w:val="single" w:sz="6" w:space="0" w:color="000000"/>
            </w:tcBorders>
          </w:tcPr>
          <w:p w14:paraId="07FFD6C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(travel trailers only)—an enclosed tank for the temporary retention of water-borne waste.</w:t>
            </w:r>
          </w:p>
        </w:tc>
      </w:tr>
      <w:tr w:rsidR="006E50FF" w:rsidRPr="006E50FF" w14:paraId="54104747"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04DF9B1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114E40F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Mobile/Manufactured Home</w:t>
            </w:r>
          </w:p>
        </w:tc>
        <w:tc>
          <w:tcPr>
            <w:tcW w:w="7043" w:type="dxa"/>
            <w:gridSpan w:val="2"/>
            <w:tcBorders>
              <w:top w:val="single" w:sz="4" w:space="0" w:color="auto"/>
              <w:left w:val="single" w:sz="4" w:space="0" w:color="auto"/>
              <w:bottom w:val="single" w:sz="4" w:space="0" w:color="auto"/>
              <w:right w:val="single" w:sz="4" w:space="0" w:color="auto"/>
            </w:tcBorders>
          </w:tcPr>
          <w:p w14:paraId="021E00C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prefabricated home built on a permanent chassis which can be transported in one or more sections and is typically used as a permanent dwelling. Manufactured homes built since 1976 are built to the Manufactured Home Construction and Safety Standards (HUD Code) and display a HUD certification label on the exterior of each transportable section.</w:t>
            </w:r>
          </w:p>
        </w:tc>
      </w:tr>
      <w:tr w:rsidR="006E50FF" w:rsidRPr="006E50FF" w14:paraId="2137224C"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0F8B541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6F2623B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Park or Mobile/Manufactured Home Park or Travel Trailer Park</w:t>
            </w:r>
          </w:p>
        </w:tc>
        <w:tc>
          <w:tcPr>
            <w:tcW w:w="7043" w:type="dxa"/>
            <w:gridSpan w:val="2"/>
            <w:tcBorders>
              <w:top w:val="single" w:sz="4" w:space="0" w:color="auto"/>
              <w:left w:val="single" w:sz="4" w:space="0" w:color="auto"/>
              <w:bottom w:val="single" w:sz="4" w:space="0" w:color="auto"/>
              <w:right w:val="single" w:sz="4" w:space="0" w:color="auto"/>
            </w:tcBorders>
          </w:tcPr>
          <w:p w14:paraId="2535EFA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any lot, tract, parcel or plot of land upon which more than one travel trailer and/or mobile/manufactured homes parked for the temporary or permanent use of a person or persons for living, working or congregating.</w:t>
            </w:r>
          </w:p>
        </w:tc>
      </w:tr>
      <w:tr w:rsidR="006E50FF" w:rsidRPr="006E50FF" w14:paraId="5BA8C0B7"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5B2B8E8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3107D7D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Park Drainage System</w:t>
            </w:r>
          </w:p>
        </w:tc>
        <w:tc>
          <w:tcPr>
            <w:tcW w:w="7043" w:type="dxa"/>
            <w:gridSpan w:val="2"/>
            <w:tcBorders>
              <w:top w:val="single" w:sz="4" w:space="0" w:color="auto"/>
              <w:left w:val="single" w:sz="6" w:space="0" w:color="000000"/>
              <w:bottom w:val="single" w:sz="6" w:space="0" w:color="000000"/>
              <w:right w:val="single" w:sz="6" w:space="0" w:color="000000"/>
            </w:tcBorders>
          </w:tcPr>
          <w:p w14:paraId="14F0242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entire system of drainage piping within the park which is used to convey sewage or other wastes from the mobile/manufactured home or travel trailer drain outlet connection, beginning at its sewer inlet connection at the mobile/manufactured home or travel trailer site, to a community sewerage system, a commercial treatment facility, or an individual sewerage system.</w:t>
            </w:r>
          </w:p>
        </w:tc>
      </w:tr>
      <w:tr w:rsidR="006E50FF" w:rsidRPr="006E50FF" w14:paraId="087994D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3F61BA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390849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Park Water Distribution System</w:t>
            </w:r>
          </w:p>
        </w:tc>
        <w:tc>
          <w:tcPr>
            <w:tcW w:w="7043" w:type="dxa"/>
            <w:gridSpan w:val="2"/>
            <w:tcBorders>
              <w:top w:val="nil"/>
              <w:left w:val="single" w:sz="6" w:space="0" w:color="000000"/>
              <w:bottom w:val="single" w:sz="6" w:space="0" w:color="000000"/>
              <w:right w:val="single" w:sz="6" w:space="0" w:color="000000"/>
            </w:tcBorders>
          </w:tcPr>
          <w:p w14:paraId="1A3BF02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all of the water distribution piping within the park, extending from the water supply system or other source of supply to, but not including, the mobile/manufactured home or travel trailer’s water service connection, and including branch service lines, fixture devices, service buildings and appurtenances thereto.</w:t>
            </w:r>
          </w:p>
        </w:tc>
      </w:tr>
      <w:tr w:rsidR="006E50FF" w:rsidRPr="006E50FF" w14:paraId="6CEBC61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B50A3B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FA4D37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Service Building</w:t>
            </w:r>
          </w:p>
        </w:tc>
        <w:tc>
          <w:tcPr>
            <w:tcW w:w="7043" w:type="dxa"/>
            <w:gridSpan w:val="2"/>
            <w:tcBorders>
              <w:top w:val="nil"/>
              <w:left w:val="single" w:sz="6" w:space="0" w:color="000000"/>
              <w:bottom w:val="single" w:sz="6" w:space="0" w:color="000000"/>
              <w:right w:val="single" w:sz="6" w:space="0" w:color="000000"/>
            </w:tcBorders>
          </w:tcPr>
          <w:p w14:paraId="115109A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building housing toilet and bathing facilities for men and women, with laundry facilities.</w:t>
            </w:r>
          </w:p>
        </w:tc>
      </w:tr>
      <w:tr w:rsidR="006E50FF" w:rsidRPr="006E50FF" w14:paraId="29EDB0F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C1C828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CC86B3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Sewer Inlet</w:t>
            </w:r>
          </w:p>
        </w:tc>
        <w:tc>
          <w:tcPr>
            <w:tcW w:w="7043" w:type="dxa"/>
            <w:gridSpan w:val="2"/>
            <w:tcBorders>
              <w:top w:val="nil"/>
              <w:left w:val="single" w:sz="6" w:space="0" w:color="000000"/>
              <w:bottom w:val="single" w:sz="6" w:space="0" w:color="000000"/>
              <w:right w:val="single" w:sz="6" w:space="0" w:color="000000"/>
            </w:tcBorders>
          </w:tcPr>
          <w:p w14:paraId="0FC594E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sewer pipe connection permanently provided at the travel trailer or mobile/manufactured home site which is designed to receive sewage when a travel trailer or a mobile/manufactured home is parked on such site. It is considered the upstream terminus of the park drainage system.</w:t>
            </w:r>
          </w:p>
        </w:tc>
      </w:tr>
      <w:tr w:rsidR="006E50FF" w:rsidRPr="006E50FF" w14:paraId="4B8816B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EABC2A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E57A4B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Travel Trailer</w:t>
            </w:r>
          </w:p>
        </w:tc>
        <w:tc>
          <w:tcPr>
            <w:tcW w:w="7043" w:type="dxa"/>
            <w:gridSpan w:val="2"/>
            <w:tcBorders>
              <w:top w:val="nil"/>
              <w:left w:val="single" w:sz="6" w:space="0" w:color="000000"/>
              <w:bottom w:val="single" w:sz="6" w:space="0" w:color="000000"/>
              <w:right w:val="single" w:sz="6" w:space="0" w:color="000000"/>
            </w:tcBorders>
          </w:tcPr>
          <w:p w14:paraId="4355BED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vehicular unit, mounted on wheels, designed to provide temporary living quarters for recreational, camping, or travel use.</w:t>
            </w:r>
          </w:p>
        </w:tc>
      </w:tr>
      <w:tr w:rsidR="006E50FF" w:rsidRPr="006E50FF" w14:paraId="53AD97D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EDBB8E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E50602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Travel Trailer Sanitary Service Station</w:t>
            </w:r>
          </w:p>
        </w:tc>
        <w:tc>
          <w:tcPr>
            <w:tcW w:w="7043" w:type="dxa"/>
            <w:gridSpan w:val="2"/>
            <w:tcBorders>
              <w:top w:val="nil"/>
              <w:left w:val="single" w:sz="6" w:space="0" w:color="000000"/>
              <w:bottom w:val="single" w:sz="6" w:space="0" w:color="000000"/>
              <w:right w:val="single" w:sz="6" w:space="0" w:color="000000"/>
            </w:tcBorders>
          </w:tcPr>
          <w:p w14:paraId="3C84F4B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sewage inlet with cover, surrounded by a concrete apron sloped inward to the drain, and watering facilities to permit periodic wash down of the immediately adjacent area, to be used as a disposal point for the contents of intermediate waste holding tanks of travel trailers.</w:t>
            </w:r>
          </w:p>
        </w:tc>
      </w:tr>
      <w:tr w:rsidR="006E50FF" w:rsidRPr="006E50FF" w14:paraId="1D23043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5A771F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3CB0C08"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Water Service Connection</w:t>
            </w:r>
          </w:p>
        </w:tc>
        <w:tc>
          <w:tcPr>
            <w:tcW w:w="7043" w:type="dxa"/>
            <w:gridSpan w:val="2"/>
            <w:tcBorders>
              <w:top w:val="nil"/>
              <w:left w:val="single" w:sz="6" w:space="0" w:color="000000"/>
              <w:bottom w:val="single" w:sz="6" w:space="0" w:color="000000"/>
              <w:right w:val="single" w:sz="6" w:space="0" w:color="000000"/>
            </w:tcBorders>
          </w:tcPr>
          <w:p w14:paraId="5F9974C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as used in conjunction with mobile/manufactured homes and travel trailers, the water pipe connected between the inlet coupling of the park water distribution system and the water supply fitting provided on the mobile/manufactured home or travel trailer itself.</w:t>
            </w:r>
          </w:p>
        </w:tc>
      </w:tr>
      <w:tr w:rsidR="006E50FF" w:rsidRPr="006E50FF" w14:paraId="407045C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366663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A6CEFF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 General.</w:t>
            </w:r>
          </w:p>
        </w:tc>
        <w:tc>
          <w:tcPr>
            <w:tcW w:w="7043" w:type="dxa"/>
            <w:gridSpan w:val="2"/>
            <w:tcBorders>
              <w:top w:val="nil"/>
              <w:left w:val="single" w:sz="6" w:space="0" w:color="000000"/>
              <w:bottom w:val="single" w:sz="6" w:space="0" w:color="000000"/>
              <w:right w:val="single" w:sz="6" w:space="0" w:color="000000"/>
            </w:tcBorders>
          </w:tcPr>
          <w:p w14:paraId="703F1E09" w14:textId="77777777" w:rsidR="006E50FF" w:rsidRPr="006E50FF" w:rsidRDefault="006E50FF" w:rsidP="006E50FF">
            <w:pPr>
              <w:ind w:left="91" w:right="90"/>
              <w:rPr>
                <w:rFonts w:eastAsia="Aptos"/>
                <w:kern w:val="2"/>
                <w:sz w:val="16"/>
                <w:szCs w:val="16"/>
              </w:rPr>
            </w:pPr>
          </w:p>
        </w:tc>
      </w:tr>
      <w:tr w:rsidR="006E50FF" w:rsidRPr="006E50FF" w14:paraId="1934CAA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E314BD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437569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1601.1, Scope.</w:t>
            </w:r>
          </w:p>
        </w:tc>
        <w:tc>
          <w:tcPr>
            <w:tcW w:w="7043" w:type="dxa"/>
            <w:gridSpan w:val="2"/>
            <w:tcBorders>
              <w:top w:val="nil"/>
              <w:left w:val="single" w:sz="6" w:space="0" w:color="000000"/>
              <w:bottom w:val="single" w:sz="6" w:space="0" w:color="000000"/>
              <w:right w:val="single" w:sz="6" w:space="0" w:color="000000"/>
            </w:tcBorders>
          </w:tcPr>
          <w:p w14:paraId="4A00BBE3" w14:textId="77777777" w:rsidR="006E50FF" w:rsidRPr="006E50FF" w:rsidRDefault="006E50FF" w:rsidP="006E50FF">
            <w:pPr>
              <w:ind w:left="91" w:right="-11"/>
              <w:rPr>
                <w:rFonts w:eastAsia="Aptos"/>
                <w:kern w:val="2"/>
                <w:sz w:val="16"/>
                <w:szCs w:val="16"/>
              </w:rPr>
            </w:pPr>
            <w:r w:rsidRPr="006E50FF">
              <w:rPr>
                <w:rFonts w:eastAsia="Aptos"/>
                <w:kern w:val="2"/>
                <w:sz w:val="16"/>
                <w:szCs w:val="16"/>
              </w:rPr>
              <w:t>The requirements set forth in this Chapter shall apply specifically to all new travel trailer and mobile/manufactured home parks, and to additions to existing parks as herein defined, and are to provide minimum standards for sanitation and plumbing installation within these parks, for the accommodations, use and parking of travel trailers and/or mobile/manufactured homes.</w:t>
            </w:r>
          </w:p>
        </w:tc>
      </w:tr>
      <w:tr w:rsidR="006E50FF" w:rsidRPr="006E50FF" w14:paraId="2BCCDB7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9505F89"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B6DDAF2"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1601.2, Governing Provisions.</w:t>
            </w:r>
          </w:p>
        </w:tc>
        <w:tc>
          <w:tcPr>
            <w:tcW w:w="7043" w:type="dxa"/>
            <w:gridSpan w:val="2"/>
            <w:tcBorders>
              <w:top w:val="nil"/>
              <w:left w:val="single" w:sz="6" w:space="0" w:color="000000"/>
              <w:bottom w:val="single" w:sz="6" w:space="0" w:color="000000"/>
              <w:right w:val="single" w:sz="6" w:space="0" w:color="000000"/>
            </w:tcBorders>
          </w:tcPr>
          <w:p w14:paraId="0075370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Other general provisions of this code shall govern the installation of plumbing systems in travel trailer and mobile/manufactured home parks, except where special conditions or construction are specifically defined in this Chapter.</w:t>
            </w:r>
          </w:p>
        </w:tc>
      </w:tr>
      <w:tr w:rsidR="006E50FF" w:rsidRPr="006E50FF" w14:paraId="721E35B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D0C287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67A3AF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1601.3, Sewage Collection, Disposal, Treatment.</w:t>
            </w:r>
          </w:p>
        </w:tc>
        <w:tc>
          <w:tcPr>
            <w:tcW w:w="7043" w:type="dxa"/>
            <w:gridSpan w:val="2"/>
            <w:tcBorders>
              <w:top w:val="nil"/>
              <w:left w:val="single" w:sz="6" w:space="0" w:color="000000"/>
              <w:bottom w:val="single" w:sz="6" w:space="0" w:color="000000"/>
              <w:right w:val="single" w:sz="6" w:space="0" w:color="000000"/>
            </w:tcBorders>
          </w:tcPr>
          <w:p w14:paraId="1A34AEA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Travel trailers or mobile/manufactured homes shall not hereafter be parked in any park unless there are provided plumbing and sanitation facilities installed and maintained in conformity with this code. Every travel trailer and mobile/manufactured home shall provide a gastight and watertight connection for sewage disposal which shall be connected to an underground sewage collection system discharging into a community sewerage system, a commercial treatment facility, or an individual sewerage system which has been approved by the state health officer.</w:t>
            </w:r>
          </w:p>
        </w:tc>
      </w:tr>
      <w:tr w:rsidR="006E50FF" w:rsidRPr="006E50FF" w14:paraId="6BE10C1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BFF3B32"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98EA9E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1601.4, Travel Trailer Sanitary Service Station.</w:t>
            </w:r>
          </w:p>
        </w:tc>
        <w:tc>
          <w:tcPr>
            <w:tcW w:w="7043" w:type="dxa"/>
            <w:gridSpan w:val="2"/>
            <w:tcBorders>
              <w:top w:val="nil"/>
              <w:left w:val="single" w:sz="6" w:space="0" w:color="000000"/>
              <w:bottom w:val="single" w:sz="6" w:space="0" w:color="000000"/>
              <w:right w:val="single" w:sz="6" w:space="0" w:color="000000"/>
            </w:tcBorders>
          </w:tcPr>
          <w:p w14:paraId="5119F53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At least one travel trailer sanitary service station shall be provided in all travel trailer parks that accept any travel trailers having an intermediate waste holding tank. The water supply serving the sanitary service station shall be protected against backflow by a reduced pressure principle backflow prevention assembly meeting the requirements of Section 608 of this code.</w:t>
            </w:r>
          </w:p>
        </w:tc>
      </w:tr>
      <w:tr w:rsidR="006E50FF" w:rsidRPr="006E50FF" w14:paraId="10870B6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39957F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CCFC25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1601.5, Materials.</w:t>
            </w:r>
          </w:p>
        </w:tc>
        <w:tc>
          <w:tcPr>
            <w:tcW w:w="7043" w:type="dxa"/>
            <w:gridSpan w:val="2"/>
            <w:tcBorders>
              <w:top w:val="nil"/>
              <w:left w:val="single" w:sz="6" w:space="0" w:color="000000"/>
              <w:bottom w:val="single" w:sz="6" w:space="0" w:color="000000"/>
              <w:right w:val="single" w:sz="6" w:space="0" w:color="000000"/>
            </w:tcBorders>
          </w:tcPr>
          <w:p w14:paraId="695F853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Unless otherwise provided for in this Chapter, all piping fixtures or devices used in the installation of drainage and water distribution systems for travel trailer parks and mobile/manufactured home parks shall conform to the quality and weights of materials prescribed by this code.</w:t>
            </w:r>
          </w:p>
        </w:tc>
      </w:tr>
      <w:tr w:rsidR="006E50FF" w:rsidRPr="006E50FF" w14:paraId="14DDF6D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7CDB95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A4B7A8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1601.6, Installation.</w:t>
            </w:r>
          </w:p>
        </w:tc>
        <w:tc>
          <w:tcPr>
            <w:tcW w:w="7043" w:type="dxa"/>
            <w:gridSpan w:val="2"/>
            <w:tcBorders>
              <w:top w:val="nil"/>
              <w:left w:val="single" w:sz="6" w:space="0" w:color="000000"/>
              <w:bottom w:val="single" w:sz="6" w:space="0" w:color="000000"/>
              <w:right w:val="single" w:sz="6" w:space="0" w:color="000000"/>
            </w:tcBorders>
          </w:tcPr>
          <w:p w14:paraId="5CA72FB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Unless otherwise provided for in this Chapter, all plumbing fixtures, piping drains, appurtenances and appliances designed and used in the park drainage, water distribution system, and service connections shall be installed in conformance with the requirements of this code.</w:t>
            </w:r>
          </w:p>
        </w:tc>
      </w:tr>
      <w:tr w:rsidR="006E50FF" w:rsidRPr="006E50FF" w14:paraId="63A572E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2545A6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91CB3E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1601.7,</w:t>
            </w:r>
          </w:p>
          <w:p w14:paraId="7D2F5FC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Maintenance.</w:t>
            </w:r>
          </w:p>
        </w:tc>
        <w:tc>
          <w:tcPr>
            <w:tcW w:w="7043" w:type="dxa"/>
            <w:gridSpan w:val="2"/>
            <w:tcBorders>
              <w:top w:val="nil"/>
              <w:left w:val="single" w:sz="6" w:space="0" w:color="000000"/>
              <w:bottom w:val="single" w:sz="6" w:space="0" w:color="000000"/>
              <w:right w:val="single" w:sz="6" w:space="0" w:color="000000"/>
            </w:tcBorders>
          </w:tcPr>
          <w:p w14:paraId="1D79C5C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All devices or safeguards required by this Chapter shall be maintained in good working order by the owner, operator, or lessee of the travel trailer park or his designated agent.</w:t>
            </w:r>
          </w:p>
        </w:tc>
      </w:tr>
      <w:tr w:rsidR="006E50FF" w:rsidRPr="006E50FF" w14:paraId="722FF06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D36F62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08EA41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 Service Buildings.</w:t>
            </w:r>
          </w:p>
        </w:tc>
        <w:tc>
          <w:tcPr>
            <w:tcW w:w="7043" w:type="dxa"/>
            <w:gridSpan w:val="2"/>
            <w:tcBorders>
              <w:top w:val="nil"/>
              <w:left w:val="single" w:sz="6" w:space="0" w:color="000000"/>
              <w:bottom w:val="single" w:sz="6" w:space="0" w:color="000000"/>
              <w:right w:val="single" w:sz="6" w:space="0" w:color="000000"/>
            </w:tcBorders>
          </w:tcPr>
          <w:p w14:paraId="1B38EEDA" w14:textId="77777777" w:rsidR="006E50FF" w:rsidRPr="006E50FF" w:rsidRDefault="006E50FF" w:rsidP="006E50FF">
            <w:pPr>
              <w:ind w:left="91" w:right="90"/>
              <w:rPr>
                <w:rFonts w:eastAsia="Aptos"/>
                <w:kern w:val="2"/>
                <w:sz w:val="16"/>
                <w:szCs w:val="16"/>
              </w:rPr>
            </w:pPr>
          </w:p>
        </w:tc>
      </w:tr>
      <w:tr w:rsidR="006E50FF" w:rsidRPr="006E50FF" w14:paraId="37E969A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4262C4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77E8F78"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1602.1, Service Buildings for Independent Travel Trailers.</w:t>
            </w:r>
          </w:p>
        </w:tc>
        <w:tc>
          <w:tcPr>
            <w:tcW w:w="7043" w:type="dxa"/>
            <w:gridSpan w:val="2"/>
            <w:tcBorders>
              <w:top w:val="nil"/>
              <w:left w:val="single" w:sz="6" w:space="0" w:color="000000"/>
              <w:bottom w:val="single" w:sz="6" w:space="0" w:color="000000"/>
              <w:right w:val="single" w:sz="6" w:space="0" w:color="000000"/>
            </w:tcBorders>
          </w:tcPr>
          <w:p w14:paraId="0D52ADF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Each travel trailer park which serves only independent travel trailers shall have at least one service building to provide necessary sanitation and laundry facilities. Each mobile/manufactured home park which also serves one or more independent travel trailers (in addition to mobile/manufactured homes) shall have at least one service building to provide necessary sanitation and laundry facilities. When a service building is required under this Section, it shall have a minimum of one water closet, one lavatory, one shower or bathtub for females and one water closet, one lavatory, and one shower or bathtub for males. In addition, at least one laundry tray or clothes washing machine and one drinking fountain located in a common area shall be provided.</w:t>
            </w:r>
          </w:p>
        </w:tc>
      </w:tr>
      <w:tr w:rsidR="006E50FF" w:rsidRPr="006E50FF" w14:paraId="13A0C5C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086DBA0"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nil"/>
              <w:left w:val="single" w:sz="6" w:space="0" w:color="000000"/>
              <w:bottom w:val="single" w:sz="6" w:space="0" w:color="000000"/>
              <w:right w:val="single" w:sz="6" w:space="0" w:color="000000"/>
            </w:tcBorders>
          </w:tcPr>
          <w:p w14:paraId="20A44632"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Exceptions</w:t>
            </w:r>
          </w:p>
        </w:tc>
        <w:tc>
          <w:tcPr>
            <w:tcW w:w="7043" w:type="dxa"/>
            <w:gridSpan w:val="2"/>
            <w:tcBorders>
              <w:top w:val="nil"/>
              <w:left w:val="single" w:sz="6" w:space="0" w:color="000000"/>
              <w:bottom w:val="single" w:sz="6" w:space="0" w:color="000000"/>
              <w:right w:val="single" w:sz="6" w:space="0" w:color="000000"/>
            </w:tcBorders>
          </w:tcPr>
          <w:p w14:paraId="5925A110" w14:textId="77777777" w:rsidR="006E50FF" w:rsidRPr="006E50FF" w:rsidRDefault="006E50FF" w:rsidP="006E50FF">
            <w:pPr>
              <w:ind w:left="91" w:right="90"/>
              <w:rPr>
                <w:rFonts w:eastAsia="Aptos"/>
                <w:kern w:val="2"/>
                <w:sz w:val="16"/>
                <w:szCs w:val="16"/>
              </w:rPr>
            </w:pPr>
          </w:p>
        </w:tc>
      </w:tr>
      <w:tr w:rsidR="006E50FF" w:rsidRPr="006E50FF" w14:paraId="34F8E1F0" w14:textId="77777777" w:rsidTr="0088638B">
        <w:trPr>
          <w:trHeight w:val="185"/>
        </w:trPr>
        <w:tc>
          <w:tcPr>
            <w:tcW w:w="1072" w:type="dxa"/>
            <w:tcBorders>
              <w:top w:val="nil"/>
              <w:left w:val="single" w:sz="6" w:space="0" w:color="000000"/>
              <w:bottom w:val="single" w:sz="4" w:space="0" w:color="auto"/>
              <w:right w:val="single" w:sz="6" w:space="0" w:color="000000"/>
            </w:tcBorders>
          </w:tcPr>
          <w:p w14:paraId="19D0D491" w14:textId="77777777" w:rsidR="006E50FF" w:rsidRPr="006E50FF" w:rsidRDefault="006E50FF" w:rsidP="006E50FF">
            <w:pPr>
              <w:keepNext/>
              <w:jc w:val="center"/>
              <w:rPr>
                <w:rFonts w:eastAsia="Aptos"/>
                <w:kern w:val="2"/>
                <w:sz w:val="16"/>
                <w:szCs w:val="16"/>
              </w:rPr>
            </w:pPr>
          </w:p>
        </w:tc>
        <w:tc>
          <w:tcPr>
            <w:tcW w:w="2415" w:type="dxa"/>
            <w:gridSpan w:val="2"/>
            <w:tcBorders>
              <w:top w:val="nil"/>
              <w:left w:val="single" w:sz="6" w:space="0" w:color="000000"/>
              <w:bottom w:val="single" w:sz="4" w:space="0" w:color="auto"/>
              <w:right w:val="single" w:sz="6" w:space="0" w:color="000000"/>
            </w:tcBorders>
          </w:tcPr>
          <w:p w14:paraId="7B776DA7" w14:textId="77777777" w:rsidR="006E50FF" w:rsidRPr="006E50FF" w:rsidRDefault="006E50FF" w:rsidP="006E50FF">
            <w:pPr>
              <w:keepNext/>
              <w:tabs>
                <w:tab w:val="left" w:pos="944"/>
              </w:tabs>
              <w:ind w:left="91" w:right="58"/>
              <w:rPr>
                <w:rFonts w:eastAsia="Aptos"/>
                <w:kern w:val="2"/>
                <w:sz w:val="16"/>
                <w:szCs w:val="16"/>
              </w:rPr>
            </w:pPr>
          </w:p>
        </w:tc>
        <w:tc>
          <w:tcPr>
            <w:tcW w:w="7043" w:type="dxa"/>
            <w:gridSpan w:val="2"/>
            <w:tcBorders>
              <w:top w:val="nil"/>
              <w:left w:val="single" w:sz="6" w:space="0" w:color="000000"/>
              <w:bottom w:val="single" w:sz="4" w:space="0" w:color="auto"/>
              <w:right w:val="single" w:sz="6" w:space="0" w:color="000000"/>
            </w:tcBorders>
          </w:tcPr>
          <w:p w14:paraId="2FB69B9A" w14:textId="77777777" w:rsidR="006E50FF" w:rsidRPr="006E50FF" w:rsidRDefault="006E50FF" w:rsidP="006E50FF">
            <w:pPr>
              <w:keepNext/>
              <w:ind w:left="91" w:right="90"/>
              <w:rPr>
                <w:rFonts w:eastAsia="Aptos"/>
                <w:kern w:val="2"/>
                <w:sz w:val="16"/>
                <w:szCs w:val="16"/>
              </w:rPr>
            </w:pPr>
            <w:r w:rsidRPr="006E50FF">
              <w:rPr>
                <w:rFonts w:eastAsia="Aptos"/>
                <w:kern w:val="2"/>
                <w:sz w:val="16"/>
                <w:szCs w:val="16"/>
              </w:rPr>
              <w:t>1. Temporary (six months) travel trailers residing in mobile home parks and or where more than one travel trailer resides for the purpose of employment and or hardships, may be exempted by the local jurisdiction building official from section.</w:t>
            </w:r>
          </w:p>
          <w:p w14:paraId="0B7C2735" w14:textId="77777777" w:rsidR="006E50FF" w:rsidRPr="006E50FF" w:rsidRDefault="006E50FF" w:rsidP="006E50FF">
            <w:pPr>
              <w:keepNext/>
              <w:ind w:left="91" w:right="90"/>
              <w:rPr>
                <w:rFonts w:eastAsia="Aptos"/>
                <w:kern w:val="2"/>
                <w:sz w:val="16"/>
                <w:szCs w:val="16"/>
              </w:rPr>
            </w:pPr>
            <w:r w:rsidRPr="006E50FF">
              <w:rPr>
                <w:rFonts w:eastAsia="Aptos"/>
                <w:kern w:val="2"/>
                <w:sz w:val="16"/>
                <w:szCs w:val="16"/>
              </w:rPr>
              <w:t>2. Travel trailer park which provides a sewer inlet connection (sewer hookup) at each travel trailer pad may be exempted by the local jurisdiction building official from section 1602.1.</w:t>
            </w:r>
          </w:p>
        </w:tc>
      </w:tr>
      <w:tr w:rsidR="006E50FF" w:rsidRPr="006E50FF" w14:paraId="2296921C"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4B008B2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6EE8392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1602.2, Service Building for Dependent Travel Trailers.</w:t>
            </w:r>
          </w:p>
        </w:tc>
        <w:tc>
          <w:tcPr>
            <w:tcW w:w="7043" w:type="dxa"/>
            <w:gridSpan w:val="2"/>
            <w:tcBorders>
              <w:top w:val="single" w:sz="4" w:space="0" w:color="auto"/>
              <w:left w:val="single" w:sz="4" w:space="0" w:color="auto"/>
              <w:bottom w:val="single" w:sz="4" w:space="0" w:color="auto"/>
              <w:right w:val="single" w:sz="4" w:space="0" w:color="auto"/>
            </w:tcBorders>
          </w:tcPr>
          <w:p w14:paraId="5DE4838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service building(s) in travel trailer or mobile/manufactured home parks that also accommodate dependent travel trailers shall have a minimum of two water closets, one lavatory, one shower or bathtub for females, and one water closet, one lavatory, one urinal, and one shower or bathtub for males. In addition, at least one laundry tray or clothes washing machine and one drinking fountain located in a common area shall be provided. The above facilities are for a maximum of ten dependent travel trailers. For every ten additional dependent travel trailers (or any fraction thereof) the following additional fixtures shall be provided: one laundry tray or clothes washing machine, one shower or bathtub for each sex, and one water closet for females. Also, one additional water closet for males shall be provided for every 15 additional dependent travel trailers (or any fraction thereof).</w:t>
            </w:r>
          </w:p>
        </w:tc>
      </w:tr>
      <w:tr w:rsidR="006E50FF" w:rsidRPr="006E50FF" w14:paraId="7545256A"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056FFB4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340710E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 Service</w:t>
            </w:r>
          </w:p>
          <w:p w14:paraId="0E21614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Building Design Requirements.</w:t>
            </w:r>
          </w:p>
        </w:tc>
        <w:tc>
          <w:tcPr>
            <w:tcW w:w="7043" w:type="dxa"/>
            <w:gridSpan w:val="2"/>
            <w:tcBorders>
              <w:top w:val="single" w:sz="4" w:space="0" w:color="auto"/>
              <w:left w:val="single" w:sz="4" w:space="0" w:color="auto"/>
              <w:bottom w:val="single" w:sz="4" w:space="0" w:color="auto"/>
              <w:right w:val="single" w:sz="4" w:space="0" w:color="auto"/>
            </w:tcBorders>
          </w:tcPr>
          <w:p w14:paraId="319D294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Each service building shall conform to Sections 1602.3.1 through 1602.3.3 of this code.</w:t>
            </w:r>
          </w:p>
        </w:tc>
      </w:tr>
      <w:tr w:rsidR="006E50FF" w:rsidRPr="006E50FF" w14:paraId="64E2F852"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78B93C2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7546A778"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1602.3.1, Construction.</w:t>
            </w:r>
          </w:p>
        </w:tc>
        <w:tc>
          <w:tcPr>
            <w:tcW w:w="7043" w:type="dxa"/>
            <w:gridSpan w:val="2"/>
            <w:tcBorders>
              <w:top w:val="single" w:sz="4" w:space="0" w:color="auto"/>
              <w:left w:val="single" w:sz="6" w:space="0" w:color="000000"/>
              <w:bottom w:val="single" w:sz="6" w:space="0" w:color="000000"/>
              <w:right w:val="single" w:sz="6" w:space="0" w:color="000000"/>
            </w:tcBorders>
          </w:tcPr>
          <w:p w14:paraId="3293A30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Every service building shall be of permanent construction with an interior finish of moisture resistant material which will stand frequent washing and cleaning and the building shall be well-lighted and ventilated at all times.</w:t>
            </w:r>
          </w:p>
        </w:tc>
      </w:tr>
      <w:tr w:rsidR="006E50FF" w:rsidRPr="006E50FF" w14:paraId="2BDDD5C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5D506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0E19D5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1602.3.2, Fixture Separation.</w:t>
            </w:r>
          </w:p>
        </w:tc>
        <w:tc>
          <w:tcPr>
            <w:tcW w:w="7043" w:type="dxa"/>
            <w:gridSpan w:val="2"/>
            <w:tcBorders>
              <w:top w:val="nil"/>
              <w:left w:val="single" w:sz="6" w:space="0" w:color="000000"/>
              <w:bottom w:val="single" w:sz="6" w:space="0" w:color="000000"/>
              <w:right w:val="single" w:sz="6" w:space="0" w:color="000000"/>
            </w:tcBorders>
          </w:tcPr>
          <w:p w14:paraId="6A5DCF1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laundry tray(s) and/or clothes washing machine(s) and drinking fountain(s) shall be located in a common area. None of these fixtures shall be located within any toilet room. Each water closet, tub and/or shower shall be in separate compartments with self-closing doors on all water closet compartments. The shower stall shall be a minimum of 3 x 3 feet (914 x 914 mm) in area, with a dressing compartment.</w:t>
            </w:r>
          </w:p>
        </w:tc>
      </w:tr>
      <w:tr w:rsidR="006E50FF" w:rsidRPr="006E50FF" w14:paraId="1377EE31"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85F42B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98EE68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1602.3.3, Floor Drains.</w:t>
            </w:r>
          </w:p>
        </w:tc>
        <w:tc>
          <w:tcPr>
            <w:tcW w:w="7043" w:type="dxa"/>
            <w:gridSpan w:val="2"/>
            <w:tcBorders>
              <w:top w:val="nil"/>
              <w:left w:val="single" w:sz="6" w:space="0" w:color="000000"/>
              <w:bottom w:val="single" w:sz="6" w:space="0" w:color="000000"/>
              <w:right w:val="single" w:sz="6" w:space="0" w:color="000000"/>
            </w:tcBorders>
          </w:tcPr>
          <w:p w14:paraId="7A2FB67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minimum 2-inch floor drain protected by and approved trap primer shall be installed in each toilet room and laundry room.</w:t>
            </w:r>
          </w:p>
        </w:tc>
      </w:tr>
      <w:tr w:rsidR="006E50FF" w:rsidRPr="006E50FF" w14:paraId="08E521B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AF9841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14E8D8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 Park Drainage System.</w:t>
            </w:r>
          </w:p>
        </w:tc>
        <w:tc>
          <w:tcPr>
            <w:tcW w:w="7043" w:type="dxa"/>
            <w:gridSpan w:val="2"/>
            <w:tcBorders>
              <w:top w:val="nil"/>
              <w:left w:val="single" w:sz="6" w:space="0" w:color="000000"/>
              <w:bottom w:val="single" w:sz="6" w:space="0" w:color="000000"/>
              <w:right w:val="single" w:sz="6" w:space="0" w:color="000000"/>
            </w:tcBorders>
          </w:tcPr>
          <w:p w14:paraId="4D993077" w14:textId="77777777" w:rsidR="006E50FF" w:rsidRPr="006E50FF" w:rsidRDefault="006E50FF" w:rsidP="006E50FF">
            <w:pPr>
              <w:ind w:left="91" w:right="90"/>
              <w:rPr>
                <w:rFonts w:eastAsia="Aptos"/>
                <w:kern w:val="2"/>
                <w:sz w:val="16"/>
                <w:szCs w:val="16"/>
              </w:rPr>
            </w:pPr>
          </w:p>
        </w:tc>
      </w:tr>
      <w:tr w:rsidR="006E50FF" w:rsidRPr="006E50FF" w14:paraId="16205C5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94A62A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5B8B62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1603.1, Separation of water and sewer lines.</w:t>
            </w:r>
          </w:p>
        </w:tc>
        <w:tc>
          <w:tcPr>
            <w:tcW w:w="7043" w:type="dxa"/>
            <w:gridSpan w:val="2"/>
            <w:tcBorders>
              <w:top w:val="nil"/>
              <w:left w:val="single" w:sz="6" w:space="0" w:color="000000"/>
              <w:bottom w:val="single" w:sz="6" w:space="0" w:color="000000"/>
              <w:right w:val="single" w:sz="6" w:space="0" w:color="000000"/>
            </w:tcBorders>
          </w:tcPr>
          <w:p w14:paraId="6A31DE0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sewer main and sewer laterals shall be separated from the park water service and distribution system in accordance with Section 603.2 of this code.</w:t>
            </w:r>
          </w:p>
        </w:tc>
      </w:tr>
      <w:tr w:rsidR="006E50FF" w:rsidRPr="006E50FF" w14:paraId="284FE9A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82166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3A1F66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1603.2, Minimum Size Pipe.</w:t>
            </w:r>
          </w:p>
        </w:tc>
        <w:tc>
          <w:tcPr>
            <w:tcW w:w="7043" w:type="dxa"/>
            <w:gridSpan w:val="2"/>
            <w:tcBorders>
              <w:top w:val="nil"/>
              <w:left w:val="single" w:sz="6" w:space="0" w:color="000000"/>
              <w:bottom w:val="single" w:sz="6" w:space="0" w:color="000000"/>
              <w:right w:val="single" w:sz="6" w:space="0" w:color="000000"/>
            </w:tcBorders>
          </w:tcPr>
          <w:p w14:paraId="7776EC3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minimum size pipe in any mobile/manufactured home park or travel trailer park drainage system shall be 4 inches. This includes branch lines or sewer laterals to individual travel trailers and mobile/manufactured homes.</w:t>
            </w:r>
          </w:p>
        </w:tc>
      </w:tr>
      <w:tr w:rsidR="006E50FF" w:rsidRPr="006E50FF" w14:paraId="3FFE577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CC42542"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BD60A2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1603.3, Fixture Units.</w:t>
            </w:r>
          </w:p>
        </w:tc>
        <w:tc>
          <w:tcPr>
            <w:tcW w:w="7043" w:type="dxa"/>
            <w:gridSpan w:val="2"/>
            <w:tcBorders>
              <w:top w:val="nil"/>
              <w:left w:val="single" w:sz="6" w:space="0" w:color="000000"/>
              <w:bottom w:val="single" w:sz="6" w:space="0" w:color="000000"/>
              <w:right w:val="single" w:sz="6" w:space="0" w:color="000000"/>
            </w:tcBorders>
          </w:tcPr>
          <w:p w14:paraId="4D5138D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Each mobile/manufactured home and travel trailer shall be considered as 6 fixture units in determining discharge requirements in the design of park drainage and sewage disposal systems.</w:t>
            </w:r>
          </w:p>
        </w:tc>
      </w:tr>
      <w:tr w:rsidR="006E50FF" w:rsidRPr="006E50FF" w14:paraId="3DB95F2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B6D3A8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86B3AE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1603.4, Sewage Disposal/Treatment.</w:t>
            </w:r>
          </w:p>
        </w:tc>
        <w:tc>
          <w:tcPr>
            <w:tcW w:w="7043" w:type="dxa"/>
            <w:gridSpan w:val="2"/>
            <w:tcBorders>
              <w:top w:val="nil"/>
              <w:left w:val="single" w:sz="6" w:space="0" w:color="000000"/>
              <w:bottom w:val="single" w:sz="6" w:space="0" w:color="000000"/>
              <w:right w:val="single" w:sz="6" w:space="0" w:color="000000"/>
            </w:tcBorders>
          </w:tcPr>
          <w:p w14:paraId="54BEFB3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discharge of a park drainage system shall be connected to a community sewerage system. Where a community sewerage system is not available, an approved commercial treatment facility or individual sewerage system shall be installed in accord with the requirements of LAC 51:XIII (Sewage Disposal).</w:t>
            </w:r>
          </w:p>
        </w:tc>
      </w:tr>
      <w:tr w:rsidR="006E50FF" w:rsidRPr="006E50FF" w14:paraId="77EFDD8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B83342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3749AB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1603.5, Manholes and Cleanouts.</w:t>
            </w:r>
          </w:p>
        </w:tc>
        <w:tc>
          <w:tcPr>
            <w:tcW w:w="7043" w:type="dxa"/>
            <w:gridSpan w:val="2"/>
            <w:tcBorders>
              <w:top w:val="nil"/>
              <w:left w:val="single" w:sz="6" w:space="0" w:color="000000"/>
              <w:bottom w:val="single" w:sz="6" w:space="0" w:color="000000"/>
              <w:right w:val="single" w:sz="6" w:space="0" w:color="000000"/>
            </w:tcBorders>
          </w:tcPr>
          <w:p w14:paraId="6B60B44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Manholes and/or cleanouts shall be provided and constructed as required in Chapter 7 of this code. Manholes and/or cleanouts shall be accessible and brought to grade.</w:t>
            </w:r>
          </w:p>
        </w:tc>
      </w:tr>
      <w:tr w:rsidR="006E50FF" w:rsidRPr="006E50FF" w14:paraId="3B83021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813766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DB294A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1603.6, Sewer Inlets.</w:t>
            </w:r>
          </w:p>
        </w:tc>
        <w:tc>
          <w:tcPr>
            <w:tcW w:w="7043" w:type="dxa"/>
            <w:gridSpan w:val="2"/>
            <w:tcBorders>
              <w:top w:val="nil"/>
              <w:left w:val="single" w:sz="6" w:space="0" w:color="000000"/>
              <w:bottom w:val="single" w:sz="6" w:space="0" w:color="000000"/>
              <w:right w:val="single" w:sz="6" w:space="0" w:color="000000"/>
            </w:tcBorders>
          </w:tcPr>
          <w:p w14:paraId="36FDA3D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Sewer inlets shall be 4-inch diameter and extend above Grade (G) 3 to 6 inches (76 to 152 mm). Each inlet shall be provided with a gas-tight seal when connected to a travel trailer or mobile/manufactured home and have a gas-tight seal plug for use when not in service.</w:t>
            </w:r>
          </w:p>
        </w:tc>
      </w:tr>
      <w:tr w:rsidR="006E50FF" w:rsidRPr="006E50FF" w14:paraId="51C05F3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BF2F7E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31E305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1603.7, Drain Connections.</w:t>
            </w:r>
          </w:p>
        </w:tc>
        <w:tc>
          <w:tcPr>
            <w:tcW w:w="7043" w:type="dxa"/>
            <w:gridSpan w:val="2"/>
            <w:tcBorders>
              <w:top w:val="nil"/>
              <w:left w:val="single" w:sz="6" w:space="0" w:color="000000"/>
              <w:bottom w:val="single" w:sz="6" w:space="0" w:color="000000"/>
              <w:right w:val="single" w:sz="6" w:space="0" w:color="000000"/>
            </w:tcBorders>
          </w:tcPr>
          <w:p w14:paraId="5830588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Drain connections shall slope continuously downward and form no traps. All pipe joints and connections shall be installed and maintained gastight and watertight.</w:t>
            </w:r>
          </w:p>
        </w:tc>
      </w:tr>
      <w:tr w:rsidR="006E50FF" w:rsidRPr="006E50FF" w14:paraId="4400A7E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C10F78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1F5B5C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1603.8, Waste.</w:t>
            </w:r>
          </w:p>
        </w:tc>
        <w:tc>
          <w:tcPr>
            <w:tcW w:w="7043" w:type="dxa"/>
            <w:gridSpan w:val="2"/>
            <w:tcBorders>
              <w:top w:val="nil"/>
              <w:left w:val="single" w:sz="6" w:space="0" w:color="000000"/>
              <w:bottom w:val="single" w:sz="6" w:space="0" w:color="000000"/>
              <w:right w:val="single" w:sz="6" w:space="0" w:color="000000"/>
            </w:tcBorders>
          </w:tcPr>
          <w:p w14:paraId="1A4AD60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No sewage, waste water, or any other effluent shall be allowed to be deposited on the surface of the ground.</w:t>
            </w:r>
          </w:p>
        </w:tc>
      </w:tr>
      <w:tr w:rsidR="006E50FF" w:rsidRPr="006E50FF" w14:paraId="7ABBCF3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8350919"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5AB044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1603.9, Testing the Park Drainage System.</w:t>
            </w:r>
          </w:p>
        </w:tc>
        <w:tc>
          <w:tcPr>
            <w:tcW w:w="7043" w:type="dxa"/>
            <w:gridSpan w:val="2"/>
            <w:tcBorders>
              <w:top w:val="nil"/>
              <w:left w:val="single" w:sz="6" w:space="0" w:color="000000"/>
              <w:bottom w:val="single" w:sz="6" w:space="0" w:color="000000"/>
              <w:right w:val="single" w:sz="6" w:space="0" w:color="000000"/>
            </w:tcBorders>
          </w:tcPr>
          <w:p w14:paraId="1CD0363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Upon completion and before covering, the park drainage system shall be subjected to a static water test performed in accordance with Section 312 of this code.</w:t>
            </w:r>
          </w:p>
        </w:tc>
      </w:tr>
      <w:tr w:rsidR="006E50FF" w:rsidRPr="006E50FF" w14:paraId="7CCA0E6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208590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54C2D4B"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 Water</w:t>
            </w:r>
          </w:p>
          <w:p w14:paraId="3672889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Supply and Distribution System.</w:t>
            </w:r>
          </w:p>
        </w:tc>
        <w:tc>
          <w:tcPr>
            <w:tcW w:w="7043" w:type="dxa"/>
            <w:gridSpan w:val="2"/>
            <w:tcBorders>
              <w:top w:val="nil"/>
              <w:left w:val="single" w:sz="6" w:space="0" w:color="000000"/>
              <w:bottom w:val="single" w:sz="6" w:space="0" w:color="000000"/>
              <w:right w:val="single" w:sz="6" w:space="0" w:color="000000"/>
            </w:tcBorders>
          </w:tcPr>
          <w:p w14:paraId="62EEC35F" w14:textId="77777777" w:rsidR="006E50FF" w:rsidRPr="006E50FF" w:rsidRDefault="006E50FF" w:rsidP="006E50FF">
            <w:pPr>
              <w:ind w:left="91" w:right="90"/>
              <w:rPr>
                <w:rFonts w:eastAsia="Aptos"/>
                <w:kern w:val="2"/>
                <w:sz w:val="16"/>
                <w:szCs w:val="16"/>
              </w:rPr>
            </w:pPr>
          </w:p>
        </w:tc>
      </w:tr>
      <w:tr w:rsidR="006E50FF" w:rsidRPr="006E50FF" w14:paraId="614A96A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E970E5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40DC465"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1604.1, General.</w:t>
            </w:r>
          </w:p>
        </w:tc>
        <w:tc>
          <w:tcPr>
            <w:tcW w:w="7043" w:type="dxa"/>
            <w:gridSpan w:val="2"/>
            <w:tcBorders>
              <w:top w:val="nil"/>
              <w:left w:val="single" w:sz="6" w:space="0" w:color="000000"/>
              <w:bottom w:val="single" w:sz="6" w:space="0" w:color="000000"/>
              <w:right w:val="single" w:sz="6" w:space="0" w:color="000000"/>
            </w:tcBorders>
          </w:tcPr>
          <w:p w14:paraId="0F3437B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Every mobile/manufactured home and travel trailer site shall be provided with an individual branch water service line delivering potable water.</w:t>
            </w:r>
          </w:p>
        </w:tc>
      </w:tr>
      <w:tr w:rsidR="006E50FF" w:rsidRPr="006E50FF" w14:paraId="6F19D9E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582C52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4D281B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1604.2, Water Service Lines.</w:t>
            </w:r>
          </w:p>
        </w:tc>
        <w:tc>
          <w:tcPr>
            <w:tcW w:w="7043" w:type="dxa"/>
            <w:gridSpan w:val="2"/>
            <w:tcBorders>
              <w:top w:val="nil"/>
              <w:left w:val="single" w:sz="6" w:space="0" w:color="000000"/>
              <w:bottom w:val="single" w:sz="6" w:space="0" w:color="000000"/>
              <w:right w:val="single" w:sz="6" w:space="0" w:color="000000"/>
            </w:tcBorders>
          </w:tcPr>
          <w:p w14:paraId="1AC7692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Water service lines to each travel trailer site shall be sized to provide a minimum of 8 gpm (0.505 L/s) at the point of connection with the trailer’s water distribution system. Water service lines to each mobile/manufactured home site shall be sized to provide a minimum of 17 gpm (1.1 L/s) at the point of connection with the mobile/manufactured home’s water distribution system. All water service lines shall be a minimum of 3/4 inch. A separate service shutoff valve shall be installed on each water service line. In instances where a backflow prevention device or assembly is installed on the water service line (see Section 608.16.23), the shutoff valve shall be located on the supply side of the device or assembly.</w:t>
            </w:r>
          </w:p>
        </w:tc>
      </w:tr>
      <w:tr w:rsidR="006E50FF" w:rsidRPr="006E50FF" w14:paraId="3BF5DE9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DCA545B"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612F94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1604.3, Water Service Connections.</w:t>
            </w:r>
          </w:p>
        </w:tc>
        <w:tc>
          <w:tcPr>
            <w:tcW w:w="7043" w:type="dxa"/>
            <w:gridSpan w:val="2"/>
            <w:tcBorders>
              <w:top w:val="nil"/>
              <w:left w:val="single" w:sz="6" w:space="0" w:color="000000"/>
              <w:bottom w:val="single" w:sz="6" w:space="0" w:color="000000"/>
              <w:right w:val="single" w:sz="6" w:space="0" w:color="000000"/>
            </w:tcBorders>
          </w:tcPr>
          <w:p w14:paraId="00F1166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water service connection from the water service line to the mobile/manufactured home or travel trailer site shall be not less than 1/2-inch diameter.</w:t>
            </w:r>
          </w:p>
        </w:tc>
      </w:tr>
    </w:tbl>
    <w:p w14:paraId="6269FB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6DED0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sectPr w:rsidR="006E50FF" w:rsidRPr="006E50FF" w:rsidSect="006E50FF">
          <w:type w:val="continuous"/>
          <w:pgSz w:w="12240" w:h="15840"/>
          <w:pgMar w:top="630" w:right="864" w:bottom="317" w:left="864" w:header="576" w:footer="432" w:gutter="0"/>
          <w:cols w:space="720"/>
          <w:docGrid w:linePitch="360"/>
        </w:sectPr>
      </w:pPr>
    </w:p>
    <w:p w14:paraId="7CE9D5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34" w:name="_Hlk213302630"/>
      <w:r w:rsidRPr="006E50FF">
        <w:rPr>
          <w:kern w:val="2"/>
          <w:sz w:val="18"/>
        </w:rPr>
        <w:t>AUTHORITY NOTE:</w:t>
      </w:r>
      <w:r w:rsidRPr="006E50FF">
        <w:rPr>
          <w:kern w:val="2"/>
          <w:sz w:val="18"/>
        </w:rPr>
        <w:tab/>
        <w:t xml:space="preserve">Promulgated in accordance with R.S. 40:1730.22(C) and (D) and 40:1730.26(1). </w:t>
      </w:r>
    </w:p>
    <w:p w14:paraId="31B7B8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Public Safety and Corrections, State Uniform Construction Code Council, LR 33:291 (February 2007), amended LR 34:93 (January 2008), LR 34:883 (May 2008), LR 34:2205 (October 2008), LR 35:1904 (September 2009), LR 36:2574 (November 2010), effective January 1, 2011, LR 37:601 (February 2011), LR 37:913 (March 2011), repromulgated LR 37:2187 (July 2011), repromulgated LR </w:t>
      </w:r>
      <w:r w:rsidRPr="006E50FF">
        <w:rPr>
          <w:kern w:val="2"/>
          <w:sz w:val="18"/>
        </w:rPr>
        <w:br w:type="column"/>
      </w:r>
      <w:r w:rsidRPr="006E50FF">
        <w:rPr>
          <w:kern w:val="2"/>
          <w:sz w:val="18"/>
        </w:rPr>
        <w:t xml:space="preserve">37:2726 (September 2011), LR 37:3065 (October 2011), LR 38:1994 (August 2012), amended by the Department of Public Safety and Corrections, Uniform Construction Code Council, LR 39:1825 (July 2013), LR 39:2512 (September 2013), LR 40:2609 (December 2014), amended by the Department of Public Safety and Corrections, Office of State Fire Marshall, LR 41:2383 (November 2015), amended LR 42:1672 (October 2016), amended by the Department of Public Safety and Corrections, Office of the State Fire Marshal, Uniform Construction Code Council, LR 44:79 (January 2018), </w:t>
      </w:r>
      <w:r w:rsidRPr="006E50FF">
        <w:rPr>
          <w:kern w:val="2"/>
          <w:sz w:val="18"/>
        </w:rPr>
        <w:br w:type="page"/>
      </w:r>
      <w:r w:rsidRPr="006E50FF">
        <w:rPr>
          <w:kern w:val="2"/>
          <w:sz w:val="18"/>
        </w:rPr>
        <w:lastRenderedPageBreak/>
        <w:t>amended LR 44:2218 (December 2018), repromulgated LR 45:916 (July 2019), amended LR 45:1789 (December 2019), amended LR 48:2582 (October 2022), LR 49:1142 (June 2023), effective August 1, 2023, repromulgated LR 49:1448 (August 2023), LR 50:400 (March 2024), LR 50:404 (March 2024), amended by the Office of the Governor, Uniform Construction Code Commission LR 52:</w:t>
      </w:r>
      <w:bookmarkEnd w:id="34"/>
    </w:p>
    <w:p w14:paraId="702343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p>
    <w:p w14:paraId="13D38D27" w14:textId="77777777" w:rsidR="006E50FF" w:rsidRPr="006E50FF" w:rsidRDefault="006E50FF" w:rsidP="006E50FF">
      <w:pPr>
        <w:keepNext/>
        <w:ind w:left="2160"/>
        <w:jc w:val="both"/>
      </w:pPr>
      <w:r w:rsidRPr="006E50FF">
        <w:t>Brad Hassert</w:t>
      </w:r>
    </w:p>
    <w:p w14:paraId="35DAD953" w14:textId="77777777" w:rsidR="006E50FF" w:rsidRPr="006E50FF" w:rsidRDefault="006E50FF" w:rsidP="006E50FF">
      <w:pPr>
        <w:keepNext/>
        <w:ind w:left="2160"/>
        <w:jc w:val="both"/>
      </w:pPr>
      <w:r w:rsidRPr="006E50FF">
        <w:t>Executive Director</w:t>
      </w:r>
    </w:p>
    <w:p w14:paraId="27D01BEC" w14:textId="77777777" w:rsidR="006E50FF" w:rsidRPr="006E50FF" w:rsidRDefault="006E50FF" w:rsidP="006E50FF">
      <w:pPr>
        <w:rPr>
          <w:noProof/>
          <w:sz w:val="16"/>
        </w:rPr>
      </w:pPr>
      <w:r w:rsidRPr="006E50FF">
        <w:rPr>
          <w:noProof/>
          <w:sz w:val="16"/>
        </w:rPr>
        <w:t>2609#010</w:t>
      </w:r>
    </w:p>
    <w:p w14:paraId="75CBED3F" w14:textId="77777777" w:rsidR="006E50FF" w:rsidRPr="006E50FF" w:rsidRDefault="006E50FF" w:rsidP="006E50FF"/>
    <w:p w14:paraId="2B5972CA"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21956E40" w14:textId="77777777" w:rsidR="006E50FF" w:rsidRPr="006E50FF" w:rsidRDefault="006E50FF" w:rsidP="006E50FF">
      <w:pPr>
        <w:keepNext/>
        <w:jc w:val="center"/>
        <w:rPr>
          <w:b/>
          <w:noProof/>
        </w:rPr>
      </w:pPr>
      <w:r w:rsidRPr="006E50FF">
        <w:rPr>
          <w:b/>
          <w:noProof/>
        </w:rPr>
        <w:t>Department of Wildlife and Fisheries</w:t>
      </w:r>
    </w:p>
    <w:p w14:paraId="7CB34FEF" w14:textId="77777777" w:rsidR="006E50FF" w:rsidRPr="006E50FF" w:rsidRDefault="006E50FF" w:rsidP="006E50FF">
      <w:pPr>
        <w:keepNext/>
        <w:jc w:val="center"/>
        <w:rPr>
          <w:b/>
          <w:noProof/>
        </w:rPr>
      </w:pPr>
      <w:r w:rsidRPr="006E50FF">
        <w:rPr>
          <w:b/>
          <w:noProof/>
        </w:rPr>
        <w:t>Wildlife and Fisheries Commission</w:t>
      </w:r>
    </w:p>
    <w:p w14:paraId="060E76FE" w14:textId="77777777" w:rsidR="006E50FF" w:rsidRPr="006E50FF" w:rsidRDefault="006E50FF" w:rsidP="006E50FF">
      <w:pPr>
        <w:keepNext/>
        <w:spacing w:before="240" w:after="240"/>
        <w:jc w:val="center"/>
        <w:rPr>
          <w:noProof/>
        </w:rPr>
      </w:pPr>
      <w:r w:rsidRPr="006E50FF">
        <w:rPr>
          <w:noProof/>
        </w:rPr>
        <w:t>2026 Recreational Red Snapper Season</w:t>
      </w:r>
      <w:r w:rsidRPr="006E50FF">
        <w:rPr>
          <w:noProof/>
        </w:rPr>
        <w:br/>
        <w:t>Reopening and Closure</w:t>
      </w:r>
    </w:p>
    <w:p w14:paraId="73F7A8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Louisiana’s recreational red snapper season was previously set by the Wildlife and Fisheries Commission at its regular March 2026 meeting to be open daily, beginning on May 1, 2026, until further notice while maintaining enough quota to have a season available during Labor Day weekend. Under the provisions of state management, the National Oceanic and Atmospheric Administration (NOAA) Fisheries has delegated season and bag limit authority and an allocated quota to the Department of Wildlife and Fisheries for the management of private recreational and state charter harvest of red snapper. The season closed on August 9, 2026 based upon harvest estimates and projections at that time. LA Creel data indicate that there is remaining allocation that can be fished, and a re-opening for two four-day periods is warranted.</w:t>
      </w:r>
    </w:p>
    <w:p w14:paraId="7F134843"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In accordance with the emergency provisions of R.S. 49:962, which allows the Department of Wildlife and Fisheries and the Wildlife and Fisheries Commission to use emergency rules to set finfish seasons, R.S. 56:326.3 which provides that the Wildlife and Fisheries Commission may set seasons for saltwater finfish, and the authority given to the secretary by the commission at its regular March 2026 meeting and in LAC 76:VII.335.G.5 to modify the recreational red snapper season, size, and bag limits as deemed necessary, the secretary hereby declares:</w:t>
      </w:r>
    </w:p>
    <w:p w14:paraId="21C82E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season for the private recreational and state charter harvest of red snapper in Louisiana state waters and federal waters off Louisiana shall re-open at 12:01 a.m. on Thursday, August 27, 2026 until 11:59 p.m. on August 30, 2026 at which time it shall close. The season shall re-open again from 12:01 a.m. on Friday, September 4, 2026 until 11:59 p.m. on Monday, September 7, 2026 at which time it shall close until further notice. Size and bag limits shall remain at the currently established four fish per day per person and a minimum size limit of 16 inches. Effective with this closure, no person shall recreationally harvest or possess red snapper whether within or without Louisiana waters. </w:t>
      </w:r>
    </w:p>
    <w:p w14:paraId="17A6D7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modification does not apply to federally permitted charter boats operating under federal law during federally established seasons and under federally established rules for those vessels.</w:t>
      </w:r>
    </w:p>
    <w:p w14:paraId="76A591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8B8AEDA" w14:textId="77777777" w:rsidR="006E50FF" w:rsidRPr="006E50FF" w:rsidRDefault="006E50FF" w:rsidP="006E50FF">
      <w:pPr>
        <w:keepNext/>
        <w:ind w:left="2160"/>
        <w:jc w:val="both"/>
      </w:pPr>
      <w:r w:rsidRPr="006E50FF">
        <w:t>Tyler M. Bosworth</w:t>
      </w:r>
    </w:p>
    <w:p w14:paraId="7018B2CA" w14:textId="77777777" w:rsidR="006E50FF" w:rsidRPr="006E50FF" w:rsidRDefault="006E50FF" w:rsidP="006E50FF">
      <w:pPr>
        <w:keepNext/>
        <w:ind w:left="2160"/>
        <w:jc w:val="both"/>
      </w:pPr>
      <w:r w:rsidRPr="006E50FF">
        <w:t>Secretary</w:t>
      </w:r>
    </w:p>
    <w:p w14:paraId="7E8FE82A" w14:textId="77777777" w:rsidR="006E50FF" w:rsidRPr="006E50FF" w:rsidRDefault="006E50FF" w:rsidP="006E50FF">
      <w:pPr>
        <w:rPr>
          <w:noProof/>
          <w:sz w:val="16"/>
        </w:rPr>
      </w:pPr>
      <w:r w:rsidRPr="006E50FF">
        <w:rPr>
          <w:noProof/>
          <w:sz w:val="16"/>
        </w:rPr>
        <w:t>2609#013</w:t>
      </w:r>
    </w:p>
    <w:p w14:paraId="71CA8BF7" w14:textId="77777777" w:rsidR="006E50FF" w:rsidRPr="006E50FF" w:rsidRDefault="006E50FF" w:rsidP="006E50FF"/>
    <w:p w14:paraId="0268748D"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7C4BF566" w14:textId="77777777" w:rsidR="006E50FF" w:rsidRPr="006E50FF" w:rsidRDefault="006E50FF" w:rsidP="006E50FF">
      <w:pPr>
        <w:keepNext/>
        <w:jc w:val="center"/>
        <w:rPr>
          <w:b/>
          <w:noProof/>
        </w:rPr>
      </w:pPr>
      <w:r w:rsidRPr="006E50FF">
        <w:rPr>
          <w:b/>
          <w:noProof/>
        </w:rPr>
        <w:t>Department of Wildlife and Fisheries</w:t>
      </w:r>
    </w:p>
    <w:p w14:paraId="09124265" w14:textId="77777777" w:rsidR="006E50FF" w:rsidRPr="006E50FF" w:rsidRDefault="006E50FF" w:rsidP="006E50FF">
      <w:pPr>
        <w:keepNext/>
        <w:jc w:val="center"/>
        <w:rPr>
          <w:b/>
          <w:noProof/>
        </w:rPr>
      </w:pPr>
      <w:r w:rsidRPr="006E50FF">
        <w:rPr>
          <w:b/>
          <w:noProof/>
        </w:rPr>
        <w:t>Wildlife and Fisheries Commission</w:t>
      </w:r>
    </w:p>
    <w:p w14:paraId="1C89DC4F" w14:textId="77777777" w:rsidR="006E50FF" w:rsidRPr="006E50FF" w:rsidRDefault="006E50FF" w:rsidP="006E50FF">
      <w:pPr>
        <w:keepNext/>
        <w:spacing w:before="240" w:after="240"/>
        <w:jc w:val="center"/>
        <w:rPr>
          <w:noProof/>
        </w:rPr>
      </w:pPr>
      <w:r w:rsidRPr="006E50FF">
        <w:rPr>
          <w:noProof/>
        </w:rPr>
        <w:t>2026-2027 Oyster Season on Public Areas of Louisiana</w:t>
      </w:r>
    </w:p>
    <w:p w14:paraId="6FD57E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emergency provisions of the Administrative Procedure Act, Revised Statutes (R.S.) 49:962, which allows the Wildlife and Fisheries Commission (commission) to use emergency procedures to set oyster seasons and under the authority of R.S. 56:433 and R.S. 56:435.1.1, which mandates that the commission shall set oyster seasons each year on the natural reefs, the commission does hereby set and declare the 2026/2027 oyster season in Louisiana state waters as follows:</w:t>
      </w:r>
    </w:p>
    <w:p w14:paraId="6C5CBF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portion of the Public Oyster Seed Grounds east of the Mississippi River, as described in LAC 76:VII.513, but including only the Department of Health (LDH) Shellfish Harvest Areas 1 and 2, the Hackberry Bay and Bay Junop Public Oyster Seed Reservations, as described in R.S. 56:434, and the Little Lake, Barataria and Lake Mechant Public Oyster Seed Grounds as described in LAC 76:VII.517 and LAC 76:VII.521, shall open for the harvest of seed oysters only for bedding purposes at one-half hour before sunrise on Monday, October 5, 2026 and shall close at one-half hour after sunset on Wednesday, October 7, 2026.</w:t>
      </w:r>
    </w:p>
    <w:p w14:paraId="3D3BA5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Vermilion/East and West Cote Blanche Bay/Atchafalaya Bay Public Oyster Seed Grounds, as described in Louisiana Administrative Code (LAC) 76:VII.507 and LAC 76:VII.509, shall open to the harvest of seed oysters for bedding purposes at one-half hour before sunrise on Monday, September 14, 2026. The harvest of market oysters for direct sale shall not commence, as per R.S. 56:433.B(1), prior to Monday, October 12, 2026. The harvest of seed and market oysters shall close at one-half hour after sunset on Friday, April 2, 2027.</w:t>
      </w:r>
    </w:p>
    <w:p w14:paraId="3443B8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Public Oyster Seed Grounds east of the Mississippi River, as described in LAC 76:VII.513, and north of the Mississippi River Gulf Outlet, which includes LDH Shellfish Harvest Areas 1, 2, 3, and 4, the Hackberry Bay Public Oyster Seed Reservation, as described in R.S. 56:434, and the Little Lake Public Oyster Seed Grounds, as described in LAC 76:VII.521, shall open to the harvest of market oysters for direct sale at one-half hour before sunrise on Monday, November 2, 2026, and shall close to the harvest of market oysters at one-half hour after sunset on Friday, April 2, 2027. </w:t>
      </w:r>
    </w:p>
    <w:p w14:paraId="250AE1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Public Oyster Seed Grounds east of the Mississippi River, as described in LAC 76:VII.511, and south of the Mississippi River Gulf Outlet, which includes LDH Shellfish Harvest Area 5, shall open to the harvest of market oysters for direct sale at one-half hour before sunrise on Monday, November 2, 2026, and shall close to the harvest of market oysters at one-half hour after sunset on Friday, November 27, 2026.</w:t>
      </w:r>
    </w:p>
    <w:p w14:paraId="2D769F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Sister Lake Public Oyster Seed Reservation, as described in R.S. 56:434, shall open to the harvest of market oysters for direct sale at one-half hour before sunrise on Monday, March 1, 2027, and shall close to the harvest of market oysters at one-half hour after sunset on Saturday, March 20, 2027.</w:t>
      </w:r>
    </w:p>
    <w:p w14:paraId="3AD41B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61E7C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 xml:space="preserve">The Bay Junop Public Oyster Seed Reservation, as described in R.S. 56:434, and the Lake Mechant Public Oyster Seed Grounds, as described in LAC 76:VII.517, shall open to the harvest of market oysters for direct sale at one-half hour before sunrise on Monday, October 12, 2026, and shall close to the harvest of market oysters at one-half hour after sunset on Saturday, October 31, 2026. </w:t>
      </w:r>
    </w:p>
    <w:p w14:paraId="0AADE9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West Cove portion of the Calcasieu Lake Public Oyster Area, as described in R.S. 56:435.1.1, shall open at one-half hour before sunrise on Monday, October 19, 2026, and the east side of the Calcasieu Lake Public Oyster Area shall open at one-half hour before sunrise on Sunday, November 1, 2026. These areas shall close on Friday, April 30, 2027.</w:t>
      </w:r>
    </w:p>
    <w:p w14:paraId="4CED3D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These actions shall not supersede public health closures as ordered by the LDH. </w:t>
      </w:r>
    </w:p>
    <w:p w14:paraId="4464B2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During the 2026/2027 open oyster season, the following provisions shall be in effect:</w:t>
      </w:r>
    </w:p>
    <w:p w14:paraId="661DD4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vessel from which any person(s) takes or attempts to take oysters from the public oyster areas, seed grounds and reservations described above, except for those harvesting from the Vermilion/East and West Cote Blanche/Atchafalaya Bay Public Oyster Seed Grounds, shall be restricted to a daily limit of sacks of oysters per vessel. The daily limit shall not exceed 40 sacks of oysters per vessel and the possession limit shall be twice the daily limit for the Public Oyster Seed Grounds east of the Mississippi River, the Hackberry Bay Public Oyster Seed Reservation, and the Little Lake Public Oyster Seed Grounds. The daily and possession limits for the Sister Lake and Bay Junop Public Oyster Seed Reservations and the Lake Mechant Public Oyster Seed Grounds shall not exceed 40 sacks of oysters per vessel per day. The daily and possession limits for Calcasieu Lake shall not exceed 10 sacks of oysters per vessel per day in aggregate between West Cove and the east side of the lake. A sack of oysters for the purposes of this Declaration of Emergency shall be defined as the size described in R.S. 56:440. If sacks smaller than the size described in R.S. 56:440 are used, the daily harvest and possession limits shall be based on the number of sacks used, not the size of the sack or other measures. The daily take and possession limit shall not apply to vessels harvesting seed oysters for bedding purposes, at such times and in such public oyster areas where the harvest of seed oysters is allowed. The possession limit shall not apply to vessels operating under a valid Oyster Cargo Vessel Permit, and these properly-permitted vessels shall not harvest oysters while operating under the cargo permit.</w:t>
      </w:r>
    </w:p>
    <w:p w14:paraId="216DB7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vessels harvesting on the open public oyster areas, seed grounds or reservations on Monday, September 14, 2026 through Sunday, October 11, 2026, shall be harvesting seed oysters for bedding purposes only and shall not have sacks or other containers typically used to hold oysters on board the harvest vessel.</w:t>
      </w:r>
    </w:p>
    <w:p w14:paraId="0934A9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vessel is limited to either harvesting market oysters for direct sale (sacking) or harvesting seed oysters for bedding purposes on any one day and is specifically prohibited from doing both on the same day.</w:t>
      </w:r>
    </w:p>
    <w:p w14:paraId="44454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any person on a vessel takes or attempts to take oysters from the public oyster areas, seed grounds or reservations described above, all oysters contained on that vessel shall be deemed to have been taken from said seed ground or reservation from the time harvest begins until all oysters are off-loaded dockside.</w:t>
      </w:r>
    </w:p>
    <w:p w14:paraId="31B75C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harvest of seed oysters from public oyster areas, seed grounds or reservations shall be for the purpose of moving live oyster resource. The removal of more than 15 percent of non-living reef material in bedding loads is prohibited. All vessels shall allow on-board inspection and sampling of seed oyster loads by Department of Wildlife and Fisheries (LDWF) personnel.</w:t>
      </w:r>
    </w:p>
    <w:p w14:paraId="626F41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oysters harvested from public oyster areas, seed grounds or reservations for the purpose of market sale shall be uncontaminated, sealed and not gaping as described in R.S. 56:433.</w:t>
      </w:r>
    </w:p>
    <w:p w14:paraId="613EB9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oysters harvested from public oyster areas, seed grounds or reservations for the purpose of direct sale shall measure a minimum of 3 inches from hinge to bill as described in R.S. 56:433.</w:t>
      </w:r>
    </w:p>
    <w:p w14:paraId="3E71FE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Prior to leaving public oyster areas, seed grounds or reservations with oysters harvested from said areas, all oysters must be sacked, the number of sacks shall be recorded in a log book, and each sack shall be properly tagged, with the exception of bedding vessels harvesting seed oysters. The Lower Calcasieu Lake Conditional Management Area is exempt from log book requirements as described in LAC 51:IX.333. </w:t>
      </w:r>
    </w:p>
    <w:p w14:paraId="3643C5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All vessels located in public oyster areas, seed grounds or reservations during those times between one-half hour after sunset and one-half hour before sunrise, shall have all oyster scrapers unshackled.</w:t>
      </w:r>
    </w:p>
    <w:p w14:paraId="60F148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In Calcasieu Lake, oyster scrapers are prohibited. Oyster harvesting shall be limited to oyster tongs or by hand. Oyster tongs shall be made as a grasping device consisting of two pieces joined by a pivot or hinged like scissors used for picking up objects.</w:t>
      </w:r>
    </w:p>
    <w:p w14:paraId="2389D7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 xml:space="preserve">Every vessel harvesting oysters from the public oyster areas, seed grounds or reservations shall report harvest information to the LDWF no later than 9 p.m. each day fished. Vessels shall provide the following information: Captain’s name, date of harvest, oyster harvester number, vessel number, the total number of sacks harvested that day, the total number of barrels of seed removed, and the oyster harvest area fished. Electronic Reporting shall be required and shall be performed in a manner prescribed by the LDWF. </w:t>
      </w:r>
    </w:p>
    <w:p w14:paraId="7A1819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following areas shall remain closed for the entire 2026/2027 oyster season:</w:t>
      </w:r>
    </w:p>
    <w:p w14:paraId="099AE4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Bay Gardene Oyster Seed Reservations, as described in R.S. 56:434.</w:t>
      </w:r>
    </w:p>
    <w:p w14:paraId="16379F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That portion of the Public Oyster Seed Grounds east of the Mississippi River, as described in LAC 76:VII.511, within the LDH Shellfish Harvest Areas 6 &amp; 7.</w:t>
      </w:r>
    </w:p>
    <w:p w14:paraId="6EE611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2023 Drum Bay spat-on-shell broodstock reef with the following coordinates:</w:t>
      </w:r>
    </w:p>
    <w:p w14:paraId="0B4B8919" w14:textId="77777777" w:rsidR="006E50FF" w:rsidRPr="006E50FF" w:rsidRDefault="006E50FF" w:rsidP="006E50FF">
      <w:pPr>
        <w:tabs>
          <w:tab w:val="left" w:pos="907"/>
        </w:tabs>
        <w:ind w:firstLine="547"/>
        <w:jc w:val="both"/>
        <w:outlineLvl w:val="5"/>
        <w:rPr>
          <w:kern w:val="2"/>
        </w:rPr>
      </w:pPr>
      <w:r w:rsidRPr="006E50FF">
        <w:rPr>
          <w:kern w:val="2"/>
        </w:rPr>
        <w:t>29 degrees 52 minutes 50.471 seconds, -89 degrees 16 minutes 38.502 seconds</w:t>
      </w:r>
    </w:p>
    <w:p w14:paraId="6BD73442" w14:textId="77777777" w:rsidR="006E50FF" w:rsidRPr="006E50FF" w:rsidRDefault="006E50FF" w:rsidP="006E50FF">
      <w:pPr>
        <w:tabs>
          <w:tab w:val="left" w:pos="907"/>
        </w:tabs>
        <w:ind w:firstLine="547"/>
        <w:jc w:val="both"/>
        <w:outlineLvl w:val="5"/>
        <w:rPr>
          <w:kern w:val="2"/>
        </w:rPr>
      </w:pPr>
      <w:r w:rsidRPr="006E50FF">
        <w:rPr>
          <w:kern w:val="2"/>
        </w:rPr>
        <w:t>29 degrees 52 minutes 54.871 seconds, -89 degrees 16 minutes 25.121 seconds</w:t>
      </w:r>
    </w:p>
    <w:p w14:paraId="39FCC050" w14:textId="77777777" w:rsidR="006E50FF" w:rsidRPr="006E50FF" w:rsidRDefault="006E50FF" w:rsidP="006E50FF">
      <w:pPr>
        <w:tabs>
          <w:tab w:val="left" w:pos="907"/>
        </w:tabs>
        <w:ind w:firstLine="547"/>
        <w:jc w:val="both"/>
        <w:outlineLvl w:val="5"/>
        <w:rPr>
          <w:kern w:val="2"/>
        </w:rPr>
      </w:pPr>
      <w:r w:rsidRPr="006E50FF">
        <w:rPr>
          <w:kern w:val="2"/>
        </w:rPr>
        <w:t>29 degrees 52 minutes 49.018 seconds, -89 degrees 16 minutes 21.173 seconds</w:t>
      </w:r>
    </w:p>
    <w:p w14:paraId="306A8C1D" w14:textId="77777777" w:rsidR="006E50FF" w:rsidRPr="006E50FF" w:rsidRDefault="006E50FF" w:rsidP="006E50FF">
      <w:pPr>
        <w:tabs>
          <w:tab w:val="left" w:pos="907"/>
        </w:tabs>
        <w:ind w:firstLine="547"/>
        <w:jc w:val="both"/>
        <w:outlineLvl w:val="5"/>
        <w:rPr>
          <w:kern w:val="2"/>
        </w:rPr>
      </w:pPr>
      <w:r w:rsidRPr="006E50FF">
        <w:rPr>
          <w:kern w:val="2"/>
        </w:rPr>
        <w:t>29 degrees 52 minutes 44.382 seconds, -89 degrees 16 minutes 34.559 seconds.</w:t>
      </w:r>
    </w:p>
    <w:p w14:paraId="028E00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Lake Tambour, Lake Chien, Lake Felicity and Deep Lake Public Oyster Seed Grounds as described in LAC 76:VII.517. </w:t>
      </w:r>
    </w:p>
    <w:p w14:paraId="1CAB02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5.</w:t>
      </w:r>
      <w:r w:rsidRPr="006E50FF">
        <w:rPr>
          <w:kern w:val="2"/>
        </w:rPr>
        <w:tab/>
        <w:t>The 2025 Sister Lake Cultch Plant with the following coordinates:</w:t>
      </w:r>
    </w:p>
    <w:p w14:paraId="679E88EA" w14:textId="77777777" w:rsidR="006E50FF" w:rsidRPr="006E50FF" w:rsidRDefault="006E50FF" w:rsidP="006E50FF">
      <w:pPr>
        <w:tabs>
          <w:tab w:val="left" w:pos="907"/>
        </w:tabs>
        <w:ind w:firstLine="547"/>
        <w:jc w:val="both"/>
        <w:outlineLvl w:val="5"/>
        <w:rPr>
          <w:kern w:val="2"/>
        </w:rPr>
      </w:pPr>
      <w:r w:rsidRPr="006E50FF">
        <w:rPr>
          <w:kern w:val="2"/>
        </w:rPr>
        <w:t>29 degrees 14 minutes 22.68 seconds, -90 degrees 55 minutes 14.40 seconds</w:t>
      </w:r>
    </w:p>
    <w:p w14:paraId="47F76428" w14:textId="77777777" w:rsidR="006E50FF" w:rsidRPr="006E50FF" w:rsidRDefault="006E50FF" w:rsidP="006E50FF">
      <w:pPr>
        <w:tabs>
          <w:tab w:val="left" w:pos="907"/>
        </w:tabs>
        <w:ind w:firstLine="547"/>
        <w:jc w:val="both"/>
        <w:outlineLvl w:val="5"/>
        <w:rPr>
          <w:kern w:val="2"/>
        </w:rPr>
      </w:pPr>
      <w:r w:rsidRPr="006E50FF">
        <w:rPr>
          <w:kern w:val="2"/>
        </w:rPr>
        <w:t>29 degrees 14 minutes 34.41 seconds, -90 degrees 54 minutes 19.87 seconds</w:t>
      </w:r>
    </w:p>
    <w:p w14:paraId="78CA22A0" w14:textId="77777777" w:rsidR="006E50FF" w:rsidRPr="006E50FF" w:rsidRDefault="006E50FF" w:rsidP="006E50FF">
      <w:pPr>
        <w:tabs>
          <w:tab w:val="left" w:pos="907"/>
        </w:tabs>
        <w:ind w:firstLine="547"/>
        <w:jc w:val="both"/>
        <w:outlineLvl w:val="5"/>
        <w:rPr>
          <w:kern w:val="2"/>
        </w:rPr>
      </w:pPr>
      <w:r w:rsidRPr="006E50FF">
        <w:rPr>
          <w:kern w:val="2"/>
        </w:rPr>
        <w:t>29 degrees 14 minutes 17.19 seconds, -90 degrees 54 minutes 13.28 seconds</w:t>
      </w:r>
    </w:p>
    <w:p w14:paraId="7D9F5AFE" w14:textId="77777777" w:rsidR="006E50FF" w:rsidRPr="006E50FF" w:rsidRDefault="006E50FF" w:rsidP="006E50FF">
      <w:pPr>
        <w:tabs>
          <w:tab w:val="left" w:pos="907"/>
        </w:tabs>
        <w:ind w:firstLine="547"/>
        <w:jc w:val="both"/>
        <w:outlineLvl w:val="5"/>
        <w:rPr>
          <w:kern w:val="2"/>
        </w:rPr>
      </w:pPr>
      <w:r w:rsidRPr="006E50FF">
        <w:rPr>
          <w:kern w:val="2"/>
        </w:rPr>
        <w:t>29 degrees 14 minutes 06.59 seconds, -90 degrees 55 minutes 11.65 seconds.</w:t>
      </w:r>
    </w:p>
    <w:p w14:paraId="6572C0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The 2026 Johnson Bayou Cultch Plant with the following coordinates: </w:t>
      </w:r>
    </w:p>
    <w:p w14:paraId="7E56972B" w14:textId="77777777" w:rsidR="006E50FF" w:rsidRPr="006E50FF" w:rsidRDefault="006E50FF" w:rsidP="006E50FF">
      <w:pPr>
        <w:tabs>
          <w:tab w:val="left" w:pos="907"/>
        </w:tabs>
        <w:ind w:firstLine="547"/>
        <w:jc w:val="both"/>
        <w:outlineLvl w:val="5"/>
        <w:rPr>
          <w:kern w:val="2"/>
        </w:rPr>
      </w:pPr>
      <w:r w:rsidRPr="006E50FF">
        <w:rPr>
          <w:kern w:val="2"/>
        </w:rPr>
        <w:t>30 degrees 05 minutes 55.51 seconds, -89 degrees 18 minutes 39.93 seconds</w:t>
      </w:r>
    </w:p>
    <w:p w14:paraId="5AF24328" w14:textId="77777777" w:rsidR="006E50FF" w:rsidRPr="006E50FF" w:rsidRDefault="006E50FF" w:rsidP="006E50FF">
      <w:pPr>
        <w:tabs>
          <w:tab w:val="left" w:pos="907"/>
        </w:tabs>
        <w:ind w:firstLine="547"/>
        <w:jc w:val="both"/>
        <w:outlineLvl w:val="5"/>
        <w:rPr>
          <w:kern w:val="2"/>
        </w:rPr>
      </w:pPr>
      <w:r w:rsidRPr="006E50FF">
        <w:rPr>
          <w:kern w:val="2"/>
        </w:rPr>
        <w:t>30 degrees 05 minutes 35.60 seconds, -89 degrees 18 minutes 12.60 seconds</w:t>
      </w:r>
    </w:p>
    <w:p w14:paraId="1B073D29" w14:textId="77777777" w:rsidR="006E50FF" w:rsidRPr="006E50FF" w:rsidRDefault="006E50FF" w:rsidP="006E50FF">
      <w:pPr>
        <w:tabs>
          <w:tab w:val="left" w:pos="907"/>
        </w:tabs>
        <w:ind w:firstLine="547"/>
        <w:jc w:val="both"/>
        <w:outlineLvl w:val="5"/>
        <w:rPr>
          <w:kern w:val="2"/>
        </w:rPr>
      </w:pPr>
      <w:r w:rsidRPr="006E50FF">
        <w:rPr>
          <w:kern w:val="2"/>
        </w:rPr>
        <w:t>30 degrees 04 minutes 39.23 seconds, -89 degrees 18 minutes 55.74 seconds</w:t>
      </w:r>
    </w:p>
    <w:p w14:paraId="7FC20962" w14:textId="77777777" w:rsidR="006E50FF" w:rsidRPr="006E50FF" w:rsidRDefault="006E50FF" w:rsidP="006E50FF">
      <w:pPr>
        <w:tabs>
          <w:tab w:val="left" w:pos="907"/>
        </w:tabs>
        <w:ind w:firstLine="547"/>
        <w:jc w:val="both"/>
        <w:outlineLvl w:val="5"/>
        <w:rPr>
          <w:kern w:val="2"/>
        </w:rPr>
      </w:pPr>
      <w:r w:rsidRPr="006E50FF">
        <w:rPr>
          <w:kern w:val="2"/>
        </w:rPr>
        <w:t>30 degrees 04 minutes 58.32 seconds, -89 degrees 19 minutes 24.73 seconds.</w:t>
      </w:r>
    </w:p>
    <w:p w14:paraId="51EEFD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Oyster harvest on the Sabine Lake Public Oyster Area is prohibited as described in R.S. 56:435.1.</w:t>
      </w:r>
    </w:p>
    <w:p w14:paraId="587A05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Oyster harvest is prohibited on artificial reef sites, as described in LAC 76:VII.537. </w:t>
      </w:r>
    </w:p>
    <w:p w14:paraId="5C3EE0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2026 Bay Eloi spat-on-shell broodstock reef with the following coordinates:</w:t>
      </w:r>
    </w:p>
    <w:p w14:paraId="732514A0" w14:textId="77777777" w:rsidR="006E50FF" w:rsidRPr="006E50FF" w:rsidRDefault="006E50FF" w:rsidP="006E50FF">
      <w:pPr>
        <w:tabs>
          <w:tab w:val="left" w:pos="907"/>
        </w:tabs>
        <w:ind w:firstLine="547"/>
        <w:jc w:val="both"/>
        <w:outlineLvl w:val="5"/>
        <w:rPr>
          <w:kern w:val="2"/>
        </w:rPr>
      </w:pPr>
      <w:r w:rsidRPr="006E50FF">
        <w:rPr>
          <w:kern w:val="2"/>
        </w:rPr>
        <w:t>29 degrees 43 minutes 27.30 seconds, -89 degrees 24 minutes 21.39 seconds</w:t>
      </w:r>
    </w:p>
    <w:p w14:paraId="70954525" w14:textId="77777777" w:rsidR="006E50FF" w:rsidRPr="006E50FF" w:rsidRDefault="006E50FF" w:rsidP="006E50FF">
      <w:pPr>
        <w:tabs>
          <w:tab w:val="left" w:pos="907"/>
        </w:tabs>
        <w:ind w:firstLine="547"/>
        <w:jc w:val="both"/>
        <w:outlineLvl w:val="5"/>
        <w:rPr>
          <w:kern w:val="2"/>
        </w:rPr>
      </w:pPr>
      <w:r w:rsidRPr="006E50FF">
        <w:rPr>
          <w:kern w:val="2"/>
        </w:rPr>
        <w:t>29 degrees 42 minutes 42.61 seconds, -89 degrees 24 minutes 22.25 seconds</w:t>
      </w:r>
    </w:p>
    <w:p w14:paraId="298A8292" w14:textId="77777777" w:rsidR="006E50FF" w:rsidRPr="006E50FF" w:rsidRDefault="006E50FF" w:rsidP="006E50FF">
      <w:pPr>
        <w:tabs>
          <w:tab w:val="left" w:pos="907"/>
        </w:tabs>
        <w:ind w:firstLine="547"/>
        <w:jc w:val="both"/>
        <w:outlineLvl w:val="5"/>
        <w:rPr>
          <w:kern w:val="2"/>
        </w:rPr>
      </w:pPr>
      <w:r w:rsidRPr="006E50FF">
        <w:rPr>
          <w:kern w:val="2"/>
        </w:rPr>
        <w:t>29 degrees 42 minutes 43.59 seconds, -89 degrees 25 minutes 17.93 seconds</w:t>
      </w:r>
    </w:p>
    <w:p w14:paraId="41BFE4B2" w14:textId="77777777" w:rsidR="006E50FF" w:rsidRPr="006E50FF" w:rsidRDefault="006E50FF" w:rsidP="006E50FF">
      <w:pPr>
        <w:tabs>
          <w:tab w:val="left" w:pos="907"/>
        </w:tabs>
        <w:ind w:firstLine="547"/>
        <w:jc w:val="both"/>
        <w:outlineLvl w:val="5"/>
        <w:rPr>
          <w:kern w:val="2"/>
        </w:rPr>
      </w:pPr>
      <w:r w:rsidRPr="006E50FF">
        <w:rPr>
          <w:kern w:val="2"/>
        </w:rPr>
        <w:t>29 degrees 43 minutes 28.27 seconds, -89 degrees 25 minutes 17.30 seconds.</w:t>
      </w:r>
    </w:p>
    <w:p w14:paraId="79B54957" w14:textId="77777777" w:rsidR="006E50FF" w:rsidRPr="006E50FF" w:rsidRDefault="006E50FF" w:rsidP="006E50FF">
      <w:pPr>
        <w:tabs>
          <w:tab w:val="left" w:pos="907"/>
        </w:tabs>
        <w:ind w:firstLine="547"/>
        <w:jc w:val="both"/>
        <w:outlineLvl w:val="5"/>
        <w:rPr>
          <w:kern w:val="2"/>
        </w:rPr>
      </w:pPr>
      <w:r w:rsidRPr="006E50FF">
        <w:rPr>
          <w:kern w:val="2"/>
        </w:rPr>
        <w:t>10.</w:t>
      </w:r>
      <w:r w:rsidRPr="006E50FF">
        <w:rPr>
          <w:kern w:val="2"/>
        </w:rPr>
        <w:tab/>
        <w:t>The 2026 Point Gardner spat-on-shell broodstock reef with the following coordinates:</w:t>
      </w:r>
    </w:p>
    <w:p w14:paraId="3ACB9627" w14:textId="77777777" w:rsidR="006E50FF" w:rsidRPr="006E50FF" w:rsidRDefault="006E50FF" w:rsidP="006E50FF">
      <w:pPr>
        <w:tabs>
          <w:tab w:val="left" w:pos="907"/>
        </w:tabs>
        <w:ind w:firstLine="547"/>
        <w:jc w:val="both"/>
        <w:outlineLvl w:val="5"/>
        <w:rPr>
          <w:kern w:val="2"/>
        </w:rPr>
      </w:pPr>
      <w:r w:rsidRPr="006E50FF">
        <w:rPr>
          <w:kern w:val="2"/>
        </w:rPr>
        <w:t>29 degrees 40 minutes 58.21 seconds, -89 degrees 24 minutes 54.69 seconds</w:t>
      </w:r>
    </w:p>
    <w:p w14:paraId="2F4C2046" w14:textId="77777777" w:rsidR="006E50FF" w:rsidRPr="006E50FF" w:rsidRDefault="006E50FF" w:rsidP="006E50FF">
      <w:pPr>
        <w:tabs>
          <w:tab w:val="left" w:pos="907"/>
        </w:tabs>
        <w:ind w:firstLine="547"/>
        <w:jc w:val="both"/>
        <w:outlineLvl w:val="5"/>
        <w:rPr>
          <w:kern w:val="2"/>
        </w:rPr>
      </w:pPr>
      <w:r w:rsidRPr="006E50FF">
        <w:rPr>
          <w:kern w:val="2"/>
        </w:rPr>
        <w:t>29 degrees 40 minutes 19.69 seconds, -89 degrees 24 minutes 03.87 seconds</w:t>
      </w:r>
    </w:p>
    <w:p w14:paraId="167EE98F" w14:textId="77777777" w:rsidR="006E50FF" w:rsidRPr="006E50FF" w:rsidRDefault="006E50FF" w:rsidP="006E50FF">
      <w:pPr>
        <w:tabs>
          <w:tab w:val="left" w:pos="907"/>
        </w:tabs>
        <w:ind w:firstLine="547"/>
        <w:jc w:val="both"/>
        <w:outlineLvl w:val="5"/>
        <w:rPr>
          <w:kern w:val="2"/>
        </w:rPr>
      </w:pPr>
      <w:r w:rsidRPr="006E50FF">
        <w:rPr>
          <w:kern w:val="2"/>
        </w:rPr>
        <w:t>29 degrees 39 minutes 52.95 seconds, -89 degrees 24 minutes 35.10 seconds</w:t>
      </w:r>
    </w:p>
    <w:p w14:paraId="1DD2DB68" w14:textId="77777777" w:rsidR="006E50FF" w:rsidRPr="006E50FF" w:rsidRDefault="006E50FF" w:rsidP="006E50FF">
      <w:pPr>
        <w:tabs>
          <w:tab w:val="left" w:pos="907"/>
        </w:tabs>
        <w:ind w:firstLine="547"/>
        <w:jc w:val="both"/>
        <w:outlineLvl w:val="5"/>
        <w:rPr>
          <w:kern w:val="2"/>
        </w:rPr>
      </w:pPr>
      <w:r w:rsidRPr="006E50FF">
        <w:rPr>
          <w:kern w:val="2"/>
        </w:rPr>
        <w:t>29 degrees 40 minutes 31.02 seconds, -89 degrees 25 minutes 22.57 seconds.</w:t>
      </w:r>
    </w:p>
    <w:p w14:paraId="3D37F1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LDWF is authorized to take emergency action as necessary to:</w:t>
      </w:r>
    </w:p>
    <w:p w14:paraId="2627A2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Close areas if oyster mortalities are occurring, to delay the season or close areas where significant spat catch has occurred with good probability of survival, where it is found that there are excessive amounts of non-living reef material in seed oyster loads, if oyster resources and/or reefs are being adversely impacted, or if enforcement problems are encountered. </w:t>
      </w:r>
    </w:p>
    <w:p w14:paraId="599EFC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Adjust daily take and/or possession limits as biological or enforcement data indicate a need.</w:t>
      </w:r>
    </w:p>
    <w:p w14:paraId="4349B8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Adjust sacking-only areas and/or restrict the taking of seed oysters as biological or enforcement data indicate a need.</w:t>
      </w:r>
    </w:p>
    <w:p w14:paraId="7E24E1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4.</w:t>
      </w:r>
      <w:r w:rsidRPr="006E50FF">
        <w:rPr>
          <w:kern w:val="2"/>
        </w:rPr>
        <w:tab/>
        <w:t>Reopen an area previously closed if the threat to the resource has ended, or open areas if substantial oyster resources are located.</w:t>
      </w:r>
    </w:p>
    <w:p w14:paraId="67F42423" w14:textId="77777777" w:rsidR="006E50FF" w:rsidRPr="006E50FF" w:rsidRDefault="006E50FF" w:rsidP="006E50FF">
      <w:pPr>
        <w:tabs>
          <w:tab w:val="left" w:pos="144"/>
          <w:tab w:val="left" w:pos="187"/>
          <w:tab w:val="left" w:pos="540"/>
          <w:tab w:val="left" w:pos="907"/>
          <w:tab w:val="left" w:pos="1080"/>
        </w:tabs>
        <w:ind w:firstLine="187"/>
        <w:jc w:val="both"/>
        <w:outlineLvl w:val="3"/>
        <w:rPr>
          <w:iCs/>
          <w:kern w:val="2"/>
        </w:rPr>
      </w:pPr>
      <w:r w:rsidRPr="006E50FF">
        <w:rPr>
          <w:kern w:val="2"/>
        </w:rPr>
        <w:t>Prior to any action, the secretary shall notify the chair of the commission of the intention to make any or all of the changes indicated above</w:t>
      </w:r>
      <w:r w:rsidRPr="006E50FF">
        <w:rPr>
          <w:iCs/>
          <w:kern w:val="2"/>
        </w:rPr>
        <w:t>.</w:t>
      </w:r>
    </w:p>
    <w:p w14:paraId="1C1B39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Notice of any opening, delaying or closing of a season will be made by public notice at least 72 hours prior to such action unless such closure is ordered by the LDH for public health concerns.</w:t>
      </w:r>
    </w:p>
    <w:p w14:paraId="5B88BE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7F6FEE8" w14:textId="77777777" w:rsidR="006E50FF" w:rsidRPr="006E50FF" w:rsidRDefault="006E50FF" w:rsidP="006E50FF">
      <w:pPr>
        <w:keepNext/>
        <w:ind w:left="2160"/>
        <w:jc w:val="both"/>
      </w:pPr>
      <w:r w:rsidRPr="006E50FF">
        <w:t>Kenneth A. “Andy” Brister</w:t>
      </w:r>
    </w:p>
    <w:p w14:paraId="499DCE77" w14:textId="77777777" w:rsidR="006E50FF" w:rsidRPr="006E50FF" w:rsidRDefault="006E50FF" w:rsidP="006E50FF">
      <w:pPr>
        <w:keepNext/>
        <w:ind w:left="2160"/>
        <w:jc w:val="both"/>
      </w:pPr>
      <w:r w:rsidRPr="006E50FF">
        <w:t>Chairman</w:t>
      </w:r>
    </w:p>
    <w:p w14:paraId="4606904F" w14:textId="77777777" w:rsidR="006E50FF" w:rsidRPr="006E50FF" w:rsidRDefault="006E50FF" w:rsidP="006E50FF">
      <w:pPr>
        <w:rPr>
          <w:noProof/>
          <w:sz w:val="16"/>
        </w:rPr>
      </w:pPr>
      <w:r w:rsidRPr="006E50FF">
        <w:rPr>
          <w:noProof/>
          <w:sz w:val="16"/>
        </w:rPr>
        <w:t>2609#027</w:t>
      </w:r>
    </w:p>
    <w:p w14:paraId="04DB01D1" w14:textId="77777777" w:rsidR="006E50FF" w:rsidRPr="006E50FF" w:rsidRDefault="006E50FF" w:rsidP="006E50FF"/>
    <w:p w14:paraId="60E15D9B"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40D0E35E" w14:textId="77777777" w:rsidR="006E50FF" w:rsidRPr="006E50FF" w:rsidRDefault="006E50FF" w:rsidP="006E50FF">
      <w:pPr>
        <w:keepNext/>
        <w:jc w:val="center"/>
        <w:rPr>
          <w:b/>
          <w:noProof/>
        </w:rPr>
      </w:pPr>
      <w:r w:rsidRPr="006E50FF">
        <w:rPr>
          <w:b/>
          <w:noProof/>
        </w:rPr>
        <w:t>Department of Wildlife and Fisheries</w:t>
      </w:r>
    </w:p>
    <w:p w14:paraId="28AF61BF" w14:textId="77777777" w:rsidR="006E50FF" w:rsidRPr="006E50FF" w:rsidRDefault="006E50FF" w:rsidP="006E50FF">
      <w:pPr>
        <w:keepNext/>
        <w:jc w:val="center"/>
        <w:rPr>
          <w:b/>
          <w:noProof/>
        </w:rPr>
      </w:pPr>
      <w:r w:rsidRPr="006E50FF">
        <w:rPr>
          <w:b/>
          <w:noProof/>
        </w:rPr>
        <w:t>Wildlife and Fisheries Commission</w:t>
      </w:r>
    </w:p>
    <w:p w14:paraId="6B4592A2" w14:textId="77777777" w:rsidR="006E50FF" w:rsidRPr="006E50FF" w:rsidRDefault="006E50FF" w:rsidP="006E50FF">
      <w:pPr>
        <w:keepNext/>
        <w:spacing w:before="240" w:after="240"/>
        <w:jc w:val="center"/>
        <w:rPr>
          <w:noProof/>
        </w:rPr>
      </w:pPr>
      <w:r w:rsidRPr="006E50FF">
        <w:rPr>
          <w:noProof/>
        </w:rPr>
        <w:t>2026-2027 Seasons and Regulations for Coochie Brake Wildlife Management Areas</w:t>
      </w:r>
    </w:p>
    <w:p w14:paraId="67173E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Wildlife and Fisheries acquired the tract referred to as Coochie Brake effective upon signature of agreement with Louisiana Department of Culture, Recreation and Tourism Office of State Parks. The Wildlife and Fisheries Commission adopted a resolution officially making the tract a WMA on September 3, 2026. The two primary objectives for Coochie Brake WMA are to provide the necessary habitats to deliver conservation priorities in the state, and to provide lands for public recreation.</w:t>
      </w:r>
    </w:p>
    <w:p w14:paraId="01B8F8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As with all department managed properties, the Department of Wildlife and Fisheries and the Wildlife and Fisheries Commission prioritize maximizing recreational opportunities for the sportsmen and women of the state. </w:t>
      </w:r>
    </w:p>
    <w:p w14:paraId="301F2A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provisions of R.S. 49:962.G which allows the Department of Wildlife and Fisheries and the Wildlife and Fisheries Commission to employ emergency procedures to promulgate rules and regulations relative to hunting seasons and all rules and regulations pursuant thereto, R.S. 56:6(25)(a), 56:115 and 56:116 which provide that the Wildlife and Fisheries Commission may set seasons and establish associated rules and regulations for hunting resident game animals, the Wildlife and Fisheries Commission hereby adopts the following Emergency Rule amending the WMA Rules and Regulations for the 2026-2027 season:</w:t>
      </w:r>
    </w:p>
    <w:p w14:paraId="36A637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Coochie Brake WMA</w:t>
      </w:r>
    </w:p>
    <w:p w14:paraId="21B283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Deer: same as outside, Archery only, either-sex.</w:t>
      </w:r>
    </w:p>
    <w:p w14:paraId="5865BA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Small Game and Waterfowl: same as outside. Beagles allowed for rabbits and dogs allowed for squirrel hunting February 1-28.</w:t>
      </w:r>
    </w:p>
    <w:p w14:paraId="51A56B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Raccoon (nighttime): February 1-28.</w:t>
      </w:r>
    </w:p>
    <w:p w14:paraId="5207DB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Turkey: closed.</w:t>
      </w:r>
    </w:p>
    <w:p w14:paraId="12764C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Declaration of Emergency shall become effective October 1, 2026, and remain in effect for the duration of the 2026-2027 Resident Game Hunting Season. </w:t>
      </w:r>
    </w:p>
    <w:p w14:paraId="5F5D12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0A671EE" w14:textId="77777777" w:rsidR="006E50FF" w:rsidRPr="006E50FF" w:rsidRDefault="006E50FF" w:rsidP="006E50FF">
      <w:pPr>
        <w:keepNext/>
        <w:ind w:left="2160"/>
        <w:jc w:val="both"/>
      </w:pPr>
      <w:r w:rsidRPr="006E50FF">
        <w:t>Kenneth A. “Andy” Brister</w:t>
      </w:r>
    </w:p>
    <w:p w14:paraId="5C6D60D2" w14:textId="77777777" w:rsidR="006E50FF" w:rsidRPr="006E50FF" w:rsidRDefault="006E50FF" w:rsidP="006E50FF">
      <w:pPr>
        <w:keepNext/>
        <w:ind w:left="2160"/>
        <w:jc w:val="both"/>
      </w:pPr>
      <w:r w:rsidRPr="006E50FF">
        <w:t>Chairman</w:t>
      </w:r>
    </w:p>
    <w:p w14:paraId="6B283C51" w14:textId="77777777" w:rsidR="006E50FF" w:rsidRPr="006E50FF" w:rsidRDefault="006E50FF" w:rsidP="006E50FF">
      <w:pPr>
        <w:rPr>
          <w:noProof/>
          <w:sz w:val="16"/>
        </w:rPr>
      </w:pPr>
      <w:r w:rsidRPr="006E50FF">
        <w:rPr>
          <w:noProof/>
          <w:sz w:val="16"/>
        </w:rPr>
        <w:t>2609#029</w:t>
      </w:r>
    </w:p>
    <w:p w14:paraId="019EDC13" w14:textId="77777777" w:rsidR="006E50FF" w:rsidRPr="006E50FF" w:rsidRDefault="006E50FF" w:rsidP="006E50FF"/>
    <w:p w14:paraId="466D8710" w14:textId="77777777" w:rsidR="006E50FF" w:rsidRPr="006E50FF" w:rsidRDefault="006E50FF" w:rsidP="006E50FF">
      <w:pPr>
        <w:sectPr w:rsidR="006E50FF" w:rsidRPr="006E50FF" w:rsidSect="006E50FF">
          <w:type w:val="continuous"/>
          <w:pgSz w:w="12240" w:h="15840" w:code="1"/>
          <w:pgMar w:top="720" w:right="864" w:bottom="317" w:left="864" w:header="576" w:footer="432" w:gutter="0"/>
          <w:cols w:num="2" w:space="720"/>
        </w:sectPr>
      </w:pPr>
    </w:p>
    <w:p w14:paraId="72E35990" w14:textId="77777777" w:rsidR="006E50FF" w:rsidRPr="006E50FF" w:rsidRDefault="006E50FF" w:rsidP="006E50FF"/>
    <w:p w14:paraId="46AAF18A" w14:textId="77777777" w:rsidR="006E50FF" w:rsidRDefault="006E50FF">
      <w:pPr>
        <w:sectPr w:rsidR="006E50FF" w:rsidSect="006E50FF">
          <w:type w:val="continuous"/>
          <w:pgSz w:w="12240" w:h="15840" w:code="1"/>
          <w:pgMar w:top="720" w:right="864" w:bottom="317" w:left="864" w:header="576" w:footer="432" w:gutter="0"/>
          <w:cols w:num="2" w:space="720"/>
        </w:sectPr>
      </w:pPr>
    </w:p>
    <w:p w14:paraId="1B9E8D2F" w14:textId="77777777" w:rsidR="006E50FF" w:rsidRPr="006E50FF" w:rsidRDefault="006E50FF" w:rsidP="006E50FF">
      <w:pPr>
        <w:jc w:val="center"/>
        <w:rPr>
          <w:rFonts w:ascii="Arial" w:hAnsi="Arial"/>
          <w:b/>
          <w:noProof/>
          <w:sz w:val="48"/>
        </w:rPr>
      </w:pPr>
      <w:r w:rsidRPr="006E50FF">
        <w:rPr>
          <w:rFonts w:ascii="Arial" w:hAnsi="Arial"/>
          <w:b/>
          <w:noProof/>
          <w:sz w:val="48"/>
        </w:rPr>
        <w:lastRenderedPageBreak/>
        <w:t>Rules</w:t>
      </w:r>
    </w:p>
    <w:p w14:paraId="2C9AFC46" w14:textId="77777777" w:rsidR="006E50FF" w:rsidRPr="006E50FF" w:rsidRDefault="006E50FF" w:rsidP="006E50FF"/>
    <w:p w14:paraId="50CCC5BF" w14:textId="77777777" w:rsidR="006E50FF" w:rsidRPr="006E50FF" w:rsidRDefault="006E50FF" w:rsidP="006E50FF"/>
    <w:p w14:paraId="5ACB12B1" w14:textId="77777777" w:rsidR="006E50FF" w:rsidRPr="006E50FF" w:rsidRDefault="006E50FF" w:rsidP="006E50FF">
      <w:pPr>
        <w:sectPr w:rsidR="006E50FF" w:rsidRPr="006E50FF" w:rsidSect="006E50FF">
          <w:footerReference w:type="even" r:id="rId14"/>
          <w:footerReference w:type="default" r:id="rId15"/>
          <w:pgSz w:w="12240" w:h="15840"/>
          <w:pgMar w:top="720" w:right="864" w:bottom="864" w:left="864" w:header="576" w:footer="432" w:gutter="0"/>
          <w:pgNumType w:start="1497"/>
          <w:cols w:space="720"/>
          <w:docGrid w:linePitch="272"/>
        </w:sectPr>
      </w:pPr>
    </w:p>
    <w:p w14:paraId="3B98F621" w14:textId="77777777" w:rsidR="006E50FF" w:rsidRPr="006E50FF" w:rsidRDefault="006E50FF" w:rsidP="006E50FF">
      <w:pPr>
        <w:keepNext/>
        <w:tabs>
          <w:tab w:val="left" w:pos="-1440"/>
        </w:tabs>
        <w:spacing w:after="120"/>
        <w:jc w:val="center"/>
        <w:rPr>
          <w:b/>
          <w:noProof/>
        </w:rPr>
      </w:pPr>
      <w:bookmarkStart w:id="35" w:name="TOC_Chap16"/>
      <w:bookmarkStart w:id="36" w:name="_Toc132630136"/>
      <w:bookmarkStart w:id="37" w:name="_Toc149214335"/>
      <w:bookmarkStart w:id="38" w:name="_Hlk155965849"/>
      <w:r w:rsidRPr="006E50FF">
        <w:rPr>
          <w:b/>
          <w:noProof/>
        </w:rPr>
        <w:t>RULE</w:t>
      </w:r>
    </w:p>
    <w:p w14:paraId="7627240E" w14:textId="77777777" w:rsidR="006E50FF" w:rsidRPr="006E50FF" w:rsidRDefault="006E50FF" w:rsidP="006E50FF">
      <w:pPr>
        <w:keepNext/>
        <w:jc w:val="center"/>
        <w:rPr>
          <w:b/>
          <w:noProof/>
        </w:rPr>
      </w:pPr>
      <w:r w:rsidRPr="006E50FF">
        <w:rPr>
          <w:b/>
          <w:noProof/>
        </w:rPr>
        <w:t>Department of Agriculture and Forestry</w:t>
      </w:r>
    </w:p>
    <w:p w14:paraId="569F25A5" w14:textId="77777777" w:rsidR="006E50FF" w:rsidRPr="006E50FF" w:rsidRDefault="006E50FF" w:rsidP="006E50FF">
      <w:pPr>
        <w:keepNext/>
        <w:jc w:val="center"/>
        <w:rPr>
          <w:b/>
          <w:noProof/>
        </w:rPr>
      </w:pPr>
      <w:r w:rsidRPr="006E50FF">
        <w:rPr>
          <w:b/>
          <w:noProof/>
        </w:rPr>
        <w:t>Board of Veterinary Medicine</w:t>
      </w:r>
    </w:p>
    <w:p w14:paraId="32740ED2" w14:textId="77777777" w:rsidR="006E50FF" w:rsidRPr="006E50FF" w:rsidRDefault="006E50FF" w:rsidP="006E50FF">
      <w:pPr>
        <w:keepNext/>
        <w:spacing w:before="240" w:after="240"/>
        <w:jc w:val="center"/>
        <w:rPr>
          <w:bCs/>
          <w:noProof/>
        </w:rPr>
      </w:pPr>
      <w:r w:rsidRPr="006E50FF">
        <w:rPr>
          <w:noProof/>
        </w:rPr>
        <w:t>Disciplinary Proceedings</w:t>
      </w:r>
      <w:r w:rsidRPr="006E50FF">
        <w:rPr>
          <w:noProof/>
        </w:rPr>
        <w:br/>
      </w:r>
      <w:r w:rsidRPr="006E50FF">
        <w:rPr>
          <w:bCs/>
          <w:noProof/>
        </w:rPr>
        <w:t>(LAC 46:LXXXV.1219, 1221, 1407, 1411, 1413, 1415, 1417, 1419, 1421, and 1425</w:t>
      </w:r>
    </w:p>
    <w:p w14:paraId="29696D00" w14:textId="77777777" w:rsidR="006E50FF" w:rsidRPr="006E50FF" w:rsidRDefault="006E50FF" w:rsidP="006E50FF">
      <w:pPr>
        <w:spacing w:after="120"/>
        <w:ind w:left="432" w:right="432"/>
        <w:jc w:val="both"/>
        <w:rPr>
          <w:noProof/>
          <w:sz w:val="16"/>
          <w:szCs w:val="16"/>
        </w:rPr>
      </w:pPr>
      <w:r w:rsidRPr="006E50FF">
        <w:rPr>
          <w:noProof/>
          <w:sz w:val="16"/>
          <w:szCs w:val="16"/>
        </w:rPr>
        <w:t xml:space="preserve">Editor’s Note: The following sections are being repromulgated in order to notify the public of the review of LAC 46:LXXXV.Chapters 12 and 14 in accordance with 2022 </w:t>
      </w:r>
      <w:r w:rsidRPr="006E50FF">
        <w:rPr>
          <w:i/>
          <w:noProof/>
          <w:sz w:val="16"/>
          <w:szCs w:val="16"/>
        </w:rPr>
        <w:t>Louisiana Administrative Code</w:t>
      </w:r>
      <w:r w:rsidRPr="006E50FF">
        <w:rPr>
          <w:noProof/>
          <w:sz w:val="16"/>
          <w:szCs w:val="16"/>
        </w:rPr>
        <w:t xml:space="preserve"> Review.</w:t>
      </w:r>
    </w:p>
    <w:p w14:paraId="4C8763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bookmarkStart w:id="39" w:name="_Hlk155965800"/>
      <w:r w:rsidRPr="006E50FF">
        <w:rPr>
          <w:kern w:val="2"/>
        </w:rPr>
        <w:t xml:space="preserve">In accordance with the Administrative Procedure Act (La. R.S. 49:950 et seq.), the 2022 </w:t>
      </w:r>
      <w:r w:rsidRPr="006E50FF">
        <w:rPr>
          <w:i/>
          <w:kern w:val="2"/>
        </w:rPr>
        <w:t>Louisiana Administrative Code</w:t>
      </w:r>
      <w:r w:rsidRPr="006E50FF">
        <w:rPr>
          <w:kern w:val="2"/>
        </w:rPr>
        <w:t xml:space="preserve"> Review, and the JML Executive Order No. 25-038, the Board (“Board”) of Veterinary Medicine has conducted a comprehensive review of </w:t>
      </w:r>
      <w:r w:rsidRPr="006E50FF">
        <w:rPr>
          <w:bCs/>
          <w:kern w:val="2"/>
        </w:rPr>
        <w:t xml:space="preserve">LAC 46:LXXXV.1219, 1221, 1407, 1411, 1413, 1415, 1417, 1419, 1421, and 1425 </w:t>
      </w:r>
      <w:r w:rsidRPr="006E50FF">
        <w:rPr>
          <w:kern w:val="2"/>
        </w:rPr>
        <w:t>and has determined that no language amendments are required. The Board intends to notify the public with this repromulgation of the sections below as is.</w:t>
      </w:r>
      <w:bookmarkEnd w:id="39"/>
      <w:r w:rsidRPr="006E50FF">
        <w:rPr>
          <w:kern w:val="2"/>
        </w:rPr>
        <w:t xml:space="preserve"> This Rule is hereby adopted on the day of promulgation.</w:t>
      </w:r>
    </w:p>
    <w:p w14:paraId="00F78EAE" w14:textId="77777777" w:rsidR="006E50FF" w:rsidRPr="006E50FF" w:rsidRDefault="006E50FF" w:rsidP="006E50FF">
      <w:pPr>
        <w:keepNext/>
        <w:jc w:val="center"/>
        <w:rPr>
          <w:b/>
          <w:kern w:val="28"/>
        </w:rPr>
      </w:pPr>
      <w:r w:rsidRPr="006E50FF">
        <w:rPr>
          <w:b/>
          <w:kern w:val="28"/>
        </w:rPr>
        <w:t>Title 46</w:t>
      </w:r>
    </w:p>
    <w:p w14:paraId="3429696D" w14:textId="77777777" w:rsidR="006E50FF" w:rsidRPr="006E50FF" w:rsidRDefault="006E50FF" w:rsidP="006E50FF">
      <w:pPr>
        <w:keepNext/>
        <w:jc w:val="center"/>
        <w:rPr>
          <w:b/>
          <w:kern w:val="28"/>
        </w:rPr>
      </w:pPr>
      <w:r w:rsidRPr="006E50FF">
        <w:rPr>
          <w:b/>
          <w:kern w:val="28"/>
        </w:rPr>
        <w:t>PROFESSIONAL AND OCCUPATIONAL STANDARDS</w:t>
      </w:r>
    </w:p>
    <w:p w14:paraId="33BE47A0" w14:textId="77777777" w:rsidR="006E50FF" w:rsidRPr="006E50FF" w:rsidRDefault="006E50FF" w:rsidP="006E50FF">
      <w:pPr>
        <w:keepNext/>
        <w:jc w:val="center"/>
        <w:rPr>
          <w:b/>
          <w:noProof/>
        </w:rPr>
      </w:pPr>
      <w:r w:rsidRPr="006E50FF">
        <w:rPr>
          <w:b/>
          <w:noProof/>
        </w:rPr>
        <w:t>Part LXXXV.  Veterinarians</w:t>
      </w:r>
    </w:p>
    <w:p w14:paraId="25CE9FF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 w:name="TOC_Chap2"/>
      <w:bookmarkStart w:id="41" w:name="_Toc182996734"/>
      <w:bookmarkStart w:id="42" w:name="_Toc191549537"/>
      <w:bookmarkStart w:id="43" w:name="TOC_Chap14"/>
      <w:bookmarkStart w:id="44" w:name="_Toc182996776"/>
      <w:bookmarkStart w:id="45" w:name="_Toc191549579"/>
      <w:bookmarkEnd w:id="35"/>
      <w:bookmarkEnd w:id="36"/>
      <w:bookmarkEnd w:id="37"/>
      <w:bookmarkEnd w:id="38"/>
      <w:r w:rsidRPr="006E50FF">
        <w:rPr>
          <w:b/>
          <w:kern w:val="2"/>
        </w:rPr>
        <w:t>Chapter 12.</w:t>
      </w:r>
      <w:bookmarkStart w:id="46" w:name="TOCT_Chap2"/>
      <w:bookmarkEnd w:id="40"/>
      <w:r w:rsidRPr="006E50FF">
        <w:rPr>
          <w:b/>
          <w:kern w:val="2"/>
        </w:rPr>
        <w:tab/>
        <w:t>Certified Animal Euthanasia Technicians</w:t>
      </w:r>
      <w:bookmarkEnd w:id="41"/>
      <w:bookmarkEnd w:id="42"/>
      <w:bookmarkEnd w:id="46"/>
    </w:p>
    <w:p w14:paraId="02DC09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 w:name="_Toc237943271"/>
      <w:bookmarkEnd w:id="43"/>
      <w:bookmarkEnd w:id="44"/>
      <w:bookmarkEnd w:id="45"/>
      <w:r w:rsidRPr="006E50FF">
        <w:rPr>
          <w:b/>
          <w:kern w:val="2"/>
        </w:rPr>
        <w:t>§1219.</w:t>
      </w:r>
      <w:r w:rsidRPr="006E50FF">
        <w:rPr>
          <w:b/>
          <w:kern w:val="2"/>
        </w:rPr>
        <w:tab/>
        <w:t>Appeals and Review</w:t>
      </w:r>
      <w:bookmarkEnd w:id="47"/>
    </w:p>
    <w:p w14:paraId="4E6B4D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applicant for a certificate of approval desiring to review his examination and/or the master answer sheet and/or the examination questions shall make arrangements with the board, its agent, designee or any other person, firm, corporation, or entity charged with the preparation, grading and/or administration of the course for such review.</w:t>
      </w:r>
    </w:p>
    <w:p w14:paraId="058289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Persons Aggrieved by a Decision of the Board</w:t>
      </w:r>
    </w:p>
    <w:p w14:paraId="7BD4E9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certified animal euthanasia technician aggrieved by a decision of the board, other than a holder of a certificate of approval against whom disciplinary proceedings have been brought pursuant to R.S. 37:1551 et seq., may, within 30 days of notification of the board's action or decision, petition the board for a review of the board's actions.</w:t>
      </w:r>
    </w:p>
    <w:p w14:paraId="321A13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petition shall be in the form of a letter, signed by the person aggrieved, and mailed to the board at its principal office.</w:t>
      </w:r>
    </w:p>
    <w:p w14:paraId="2D6228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Upon receipt of such petition, the board may proceed to take such action as it deems expedient or hold such hearings as may be necessary, and may review such testimony and/or documents and/or records as it deems necessary to dispose of the matter, but the board shall not, in any event, be required to conduct any hearings or investigations, or consider any offerings, testimony, or evidence unless so required by statute or other rules or regulations of the board.</w:t>
      </w:r>
    </w:p>
    <w:p w14:paraId="29A8D5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37:1558.</w:t>
      </w:r>
    </w:p>
    <w:p w14:paraId="4D00F2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Hospitals, Board of Veterinary Medicine, LR 19:1426 (November 1993), amended LR 25:2227 (November 1999), LR </w:t>
      </w:r>
      <w:r w:rsidRPr="006E50FF">
        <w:rPr>
          <w:kern w:val="2"/>
          <w:sz w:val="18"/>
        </w:rPr>
        <w:t>26:319 (February 2000), repromulgated by the Department of Agriculture and Forestry, Board of Veterinary Medicine, LR 52:1497 (September 2026).</w:t>
      </w:r>
    </w:p>
    <w:p w14:paraId="38609EE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 w:name="_Toc237943272"/>
      <w:r w:rsidRPr="006E50FF">
        <w:rPr>
          <w:b/>
          <w:kern w:val="2"/>
        </w:rPr>
        <w:t>§1221.</w:t>
      </w:r>
      <w:r w:rsidRPr="006E50FF">
        <w:rPr>
          <w:b/>
          <w:kern w:val="2"/>
        </w:rPr>
        <w:tab/>
        <w:t>Disciplinary Proceedings</w:t>
      </w:r>
      <w:bookmarkEnd w:id="48"/>
    </w:p>
    <w:p w14:paraId="6DBDE2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CAET against whom disciplinary proceedings have been instituted and against whom disciplinary action has been taken by the board pursuant to R.S. 37:1551 et seq., and/or the board's rules, shall have rights of review and/or rehearing and/or appeal in accordance with the terms and provisions of the Administrative Procedure Act and §1401 et seq., of the board's rules.</w:t>
      </w:r>
    </w:p>
    <w:p w14:paraId="28B2EA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37:1558.</w:t>
      </w:r>
    </w:p>
    <w:p w14:paraId="72DDFF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25:2227 (November 1999), amended LR 26:319 (February 2000), repromulgated by the Department of Agriculture and Forestry, Board of Veterinary Medicine, LR 52:1497 (September 2026).</w:t>
      </w:r>
    </w:p>
    <w:p w14:paraId="499C629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9" w:name="TOC_Chap34"/>
      <w:bookmarkStart w:id="50" w:name="_Toc237943282"/>
      <w:r w:rsidRPr="006E50FF">
        <w:rPr>
          <w:b/>
          <w:kern w:val="2"/>
        </w:rPr>
        <w:t>Chapter 14.</w:t>
      </w:r>
      <w:bookmarkStart w:id="51" w:name="TOCT_Chap33"/>
      <w:bookmarkStart w:id="52" w:name="TOCT_Chap34"/>
      <w:bookmarkEnd w:id="49"/>
      <w:r w:rsidRPr="006E50FF">
        <w:rPr>
          <w:b/>
          <w:kern w:val="2"/>
        </w:rPr>
        <w:tab/>
        <w:t>Disciplinary Procedures</w:t>
      </w:r>
      <w:bookmarkEnd w:id="50"/>
      <w:bookmarkEnd w:id="51"/>
      <w:bookmarkEnd w:id="52"/>
    </w:p>
    <w:p w14:paraId="0F7E459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 w:name="_Toc237943286"/>
      <w:r w:rsidRPr="006E50FF">
        <w:rPr>
          <w:b/>
          <w:kern w:val="2"/>
        </w:rPr>
        <w:t>§1407.</w:t>
      </w:r>
      <w:r w:rsidRPr="006E50FF">
        <w:rPr>
          <w:b/>
          <w:kern w:val="2"/>
        </w:rPr>
        <w:tab/>
        <w:t>Informal Disposition of Complaints</w:t>
      </w:r>
      <w:bookmarkEnd w:id="53"/>
    </w:p>
    <w:p w14:paraId="7A40A7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Some complaints may be settled informally by the board and the person accused of a violation without a formal hearing. The following types of informal dispositions may be utilized.</w:t>
      </w:r>
    </w:p>
    <w:p w14:paraId="1D71EC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Disposition by Correspondence. For complaints less serious, the investigating board member may write to the person explaining the nature of the complaint received. The person's subsequent response may satisfactorily explain the situation, and the matter may be closed. If the situation is not satisfactorily explained, it shall be pursued through an informal conference or formal hearing.</w:t>
      </w:r>
    </w:p>
    <w:p w14:paraId="3697C2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Informal Conference</w:t>
      </w:r>
    </w:p>
    <w:p w14:paraId="771561F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investigating board member may hold a conference with the person in lieu of, or in addition to, correspondence in cases of less serious complaints. If the situation is satisfactorily explained in conference, a formal hearing is not scheduled.</w:t>
      </w:r>
    </w:p>
    <w:p w14:paraId="0A5CDE4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person shall be given adequate notice of the conference, of the issues to be discussed, and of the fact that information brought out at the conference may later be used in a formal hearing. Board members, other than the investigating board member, may not be involved in informal conferences.</w:t>
      </w:r>
    </w:p>
    <w:p w14:paraId="27C852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Settlement. An agreement worked out between the person making the complaint and the person accused of a violation does not preclude disciplinary action by the board. The nature of the offense alleged and the evidence before the board must be considered.</w:t>
      </w:r>
    </w:p>
    <w:p w14:paraId="4B247D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51FA8B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25:2228 (November 1999), repromulgated by the Department of Agriculture and Forestry, Board of Veterinary Medicine, LR 52:1497 (September 2026).</w:t>
      </w:r>
    </w:p>
    <w:p w14:paraId="13D87D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 w:name="_Toc237943288"/>
      <w:r w:rsidRPr="006E50FF">
        <w:rPr>
          <w:b/>
          <w:kern w:val="2"/>
        </w:rPr>
        <w:t>§1411.</w:t>
      </w:r>
      <w:r w:rsidRPr="006E50FF">
        <w:rPr>
          <w:b/>
          <w:kern w:val="2"/>
        </w:rPr>
        <w:tab/>
        <w:t>Consent Order</w:t>
      </w:r>
      <w:bookmarkEnd w:id="54"/>
      <w:r w:rsidRPr="006E50FF">
        <w:rPr>
          <w:b/>
          <w:kern w:val="2"/>
        </w:rPr>
        <w:fldChar w:fldCharType="begin"/>
      </w:r>
      <w:r w:rsidRPr="006E50FF">
        <w:rPr>
          <w:b/>
          <w:kern w:val="2"/>
        </w:rPr>
        <w:instrText xml:space="preserve"> XE "Consent Order" </w:instrText>
      </w:r>
      <w:r w:rsidRPr="006E50FF">
        <w:rPr>
          <w:b/>
          <w:kern w:val="2"/>
        </w:rPr>
        <w:fldChar w:fldCharType="end"/>
      </w:r>
    </w:p>
    <w:p w14:paraId="736345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An order involving a type of disciplinary action may be made to the board by the investigating board member with the consent of the person. To be accepted, a consent order </w:t>
      </w:r>
      <w:r w:rsidRPr="006E50FF">
        <w:rPr>
          <w:kern w:val="2"/>
        </w:rPr>
        <w:lastRenderedPageBreak/>
        <w:t>requires formal consent of a majority of the quorum of the board. Such quorum does not include the investigating board member. It is not the result of the board's deliberation; it is the board's acceptance of an agreement reached between the board and the person. A proposed consent order may be rejected by the board in which event a formal hearing will occur. The consent order, if accepted by the board, is issued by the board to carry out the parties' agreement.</w:t>
      </w:r>
    </w:p>
    <w:p w14:paraId="426116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21B684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25:2230 (November 1999), repromulgated by the Department of Agriculture and Forestry, Board of Veterinary Medicine, LR 52:1497 (September 2026).</w:t>
      </w:r>
    </w:p>
    <w:p w14:paraId="7212BE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 w:name="_Toc237943289"/>
      <w:r w:rsidRPr="006E50FF">
        <w:rPr>
          <w:b/>
          <w:kern w:val="2"/>
        </w:rPr>
        <w:t>§1413.</w:t>
      </w:r>
      <w:r w:rsidRPr="006E50FF">
        <w:rPr>
          <w:b/>
          <w:kern w:val="2"/>
        </w:rPr>
        <w:tab/>
        <w:t>Withdrawal of a Complaint</w:t>
      </w:r>
      <w:bookmarkEnd w:id="55"/>
    </w:p>
    <w:p w14:paraId="543001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the complainant wishes to withdraw the complaint, the inquiry is terminated, except in cases where the investigating board member judges the issues to be of such importance as to warrant completing the investigation in its own right and in the interest of public welfare.</w:t>
      </w:r>
    </w:p>
    <w:p w14:paraId="50AF57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71C4F8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25:2230 (November 1999), repromulgated by the Department of Agriculture and Forestry, Board of Veterinary Medicine, LR 52:1498 (September 2026).</w:t>
      </w:r>
    </w:p>
    <w:p w14:paraId="2C888F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 w:name="_Toc237943290"/>
      <w:r w:rsidRPr="006E50FF">
        <w:rPr>
          <w:b/>
          <w:kern w:val="2"/>
        </w:rPr>
        <w:t>§1415.</w:t>
      </w:r>
      <w:r w:rsidRPr="006E50FF">
        <w:rPr>
          <w:b/>
          <w:kern w:val="2"/>
        </w:rPr>
        <w:tab/>
        <w:t>Refusal to Respond or Cooperate with the Board</w:t>
      </w:r>
      <w:bookmarkEnd w:id="56"/>
    </w:p>
    <w:p w14:paraId="0E0878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the person does not respond to the original inquiry within a reasonable period of time as requested by the board, a follow-up letter shall be sent to the person by certified mail, return receipt requested.</w:t>
      </w:r>
    </w:p>
    <w:p w14:paraId="75F4A1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person refuses to reply to the board's inquiry or otherwise cooperate with the board, the board shall continue its investigation. The board shall record the circumstances of the person's failure to cooperate and shall inform the person that the lack of cooperation may result in action which could eventually lead to the denial, revocation or suspension of his license, temporary permit or certification, or application for licensure, temporary permit or certification, or otherwise issue appropriate disciplinary sanction.</w:t>
      </w:r>
    </w:p>
    <w:p w14:paraId="44E5FD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4628E3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25:2230 (November 1999), repromulgated by the Department of Agriculture and Forestry, Board of Veterinary Medicine, LR 52:1498 (September 2026).</w:t>
      </w:r>
    </w:p>
    <w:p w14:paraId="29BC50D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 w:name="_Toc237943291"/>
      <w:r w:rsidRPr="006E50FF">
        <w:rPr>
          <w:b/>
          <w:kern w:val="2"/>
        </w:rPr>
        <w:t>§1417.</w:t>
      </w:r>
      <w:r w:rsidRPr="006E50FF">
        <w:rPr>
          <w:b/>
          <w:kern w:val="2"/>
        </w:rPr>
        <w:tab/>
        <w:t>Judicial Review of Adjudication</w:t>
      </w:r>
      <w:bookmarkEnd w:id="57"/>
    </w:p>
    <w:p w14:paraId="387610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Any person whose license, temporary permit or certification, or application for licensure, temporary permit or certification, has been denied, revoked or suspended or otherwise disciplined by the board shall have the right to have the proceedings of the board reviewed by the state district court for the parish of East Baton Rouge, provided that such petition for judicial review is made within 30 days after the notice of the decision of the board. If judicial review is </w:t>
      </w:r>
      <w:r w:rsidRPr="006E50FF">
        <w:rPr>
          <w:kern w:val="2"/>
        </w:rPr>
        <w:br w:type="column"/>
      </w:r>
      <w:r w:rsidRPr="006E50FF">
        <w:rPr>
          <w:kern w:val="2"/>
        </w:rPr>
        <w:t>granted, the board's decision is enforceable in the interim unless the court orders a stay.</w:t>
      </w:r>
    </w:p>
    <w:p w14:paraId="2471B0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387C8E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1D7F87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 w:name="_Toc237943292"/>
      <w:r w:rsidRPr="006E50FF">
        <w:rPr>
          <w:b/>
          <w:kern w:val="2"/>
        </w:rPr>
        <w:t>§1419.</w:t>
      </w:r>
      <w:r w:rsidRPr="006E50FF">
        <w:rPr>
          <w:b/>
          <w:kern w:val="2"/>
        </w:rPr>
        <w:tab/>
        <w:t>Appeal</w:t>
      </w:r>
      <w:bookmarkEnd w:id="58"/>
    </w:p>
    <w:p w14:paraId="406E93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person aggrieved by any final judgment rendered by the state district court may obtain a review of said final judgment by appeal to the appropriate circuit court of appeal. Pursuant to the applicable section of the Administrative Procedure Act, R.S. 49:950 et seq., this appeal shall be taken as in any other civil case.</w:t>
      </w:r>
    </w:p>
    <w:p w14:paraId="6D0F83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072FD5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5124A1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9" w:name="_Toc237943293"/>
      <w:r w:rsidRPr="006E50FF">
        <w:rPr>
          <w:b/>
          <w:kern w:val="2"/>
        </w:rPr>
        <w:t>§1421.</w:t>
      </w:r>
      <w:r w:rsidRPr="006E50FF">
        <w:rPr>
          <w:b/>
          <w:kern w:val="2"/>
        </w:rPr>
        <w:tab/>
        <w:t>Reinstatement of Suspended or Revoked License</w:t>
      </w:r>
      <w:bookmarkEnd w:id="59"/>
    </w:p>
    <w:p w14:paraId="056283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person whose license is suspended or revoked may, at the discretion of the board, be relicensed or reinstated at any time without an examination by majority vote of the board on written application made to the board showing cause justifying relicensing or reinstatement.</w:t>
      </w:r>
    </w:p>
    <w:p w14:paraId="2F5EE5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6690F7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6282FC5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0" w:name="_Toc237943295"/>
      <w:r w:rsidRPr="006E50FF">
        <w:rPr>
          <w:b/>
          <w:kern w:val="2"/>
        </w:rPr>
        <w:t>§1425.</w:t>
      </w:r>
      <w:r w:rsidRPr="006E50FF">
        <w:rPr>
          <w:b/>
          <w:kern w:val="2"/>
        </w:rPr>
        <w:tab/>
        <w:t>Injunction</w:t>
      </w:r>
      <w:bookmarkEnd w:id="60"/>
    </w:p>
    <w:p w14:paraId="56182C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board or any citizen of this state may bring an action to enjoin any person from practicing veterinary medicine without a currently valid license or temporary permit.</w:t>
      </w:r>
    </w:p>
    <w:p w14:paraId="785E54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court finds that the person is violating, or is threatening to violate, this Chapter it shall enter an injunction restraining him from such unlawful acts.</w:t>
      </w:r>
    </w:p>
    <w:p w14:paraId="55DF56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successful maintenance of an action based on any one of the remedies set forth in this rule shall in no way prejudice the prosecution of an action based on any other of the remedies.</w:t>
      </w:r>
    </w:p>
    <w:p w14:paraId="73FA07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59F86C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2A5E80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p>
    <w:p w14:paraId="06872F4C" w14:textId="77777777" w:rsidR="006E50FF" w:rsidRPr="006E50FF" w:rsidRDefault="006E50FF" w:rsidP="006E50FF">
      <w:pPr>
        <w:keepNext/>
        <w:ind w:left="2160"/>
        <w:jc w:val="both"/>
      </w:pPr>
      <w:r w:rsidRPr="006E50FF">
        <w:t>Jared B. Granier</w:t>
      </w:r>
    </w:p>
    <w:p w14:paraId="0B2E31BB" w14:textId="77777777" w:rsidR="006E50FF" w:rsidRPr="006E50FF" w:rsidRDefault="006E50FF" w:rsidP="006E50FF">
      <w:pPr>
        <w:keepNext/>
        <w:ind w:left="2160"/>
        <w:jc w:val="both"/>
      </w:pPr>
      <w:r w:rsidRPr="006E50FF">
        <w:t>Executive Director</w:t>
      </w:r>
    </w:p>
    <w:p w14:paraId="0636927A" w14:textId="77777777" w:rsidR="006E50FF" w:rsidRPr="006E50FF" w:rsidRDefault="006E50FF" w:rsidP="006E50FF">
      <w:pPr>
        <w:rPr>
          <w:noProof/>
          <w:sz w:val="16"/>
        </w:rPr>
      </w:pPr>
      <w:r w:rsidRPr="006E50FF">
        <w:rPr>
          <w:noProof/>
          <w:sz w:val="16"/>
        </w:rPr>
        <w:t>2609#001</w:t>
      </w:r>
    </w:p>
    <w:p w14:paraId="769E06FE" w14:textId="77777777" w:rsidR="006E50FF" w:rsidRPr="006E50FF" w:rsidRDefault="006E50FF" w:rsidP="006E50FF"/>
    <w:p w14:paraId="277F32B7" w14:textId="77777777" w:rsidR="006E50FF" w:rsidRPr="006E50FF" w:rsidRDefault="006E50FF" w:rsidP="006E50FF"/>
    <w:p w14:paraId="55C95472" w14:textId="77777777" w:rsidR="006E50FF" w:rsidRPr="006E50FF" w:rsidRDefault="006E50FF" w:rsidP="006E50FF">
      <w:pPr>
        <w:keepNext/>
        <w:tabs>
          <w:tab w:val="left" w:pos="-1440"/>
        </w:tabs>
        <w:spacing w:after="120"/>
        <w:jc w:val="center"/>
        <w:rPr>
          <w:b/>
          <w:noProof/>
        </w:rPr>
      </w:pPr>
      <w:r w:rsidRPr="006E50FF">
        <w:rPr>
          <w:b/>
          <w:noProof/>
        </w:rPr>
        <w:lastRenderedPageBreak/>
        <w:t>RULE</w:t>
      </w:r>
    </w:p>
    <w:p w14:paraId="27B97B92" w14:textId="77777777" w:rsidR="006E50FF" w:rsidRPr="006E50FF" w:rsidRDefault="006E50FF" w:rsidP="006E50FF">
      <w:pPr>
        <w:keepNext/>
        <w:jc w:val="center"/>
        <w:rPr>
          <w:b/>
          <w:noProof/>
        </w:rPr>
      </w:pPr>
      <w:r w:rsidRPr="006E50FF">
        <w:rPr>
          <w:b/>
          <w:noProof/>
        </w:rPr>
        <w:t>Department of Agriculture and Forestry</w:t>
      </w:r>
    </w:p>
    <w:p w14:paraId="11C667EF" w14:textId="77777777" w:rsidR="006E50FF" w:rsidRPr="006E50FF" w:rsidRDefault="006E50FF" w:rsidP="006E50FF">
      <w:pPr>
        <w:keepNext/>
        <w:jc w:val="center"/>
        <w:rPr>
          <w:b/>
          <w:noProof/>
        </w:rPr>
      </w:pPr>
      <w:r w:rsidRPr="006E50FF">
        <w:rPr>
          <w:b/>
          <w:noProof/>
        </w:rPr>
        <w:t>Office of Agro-Consumer Services</w:t>
      </w:r>
      <w:r w:rsidRPr="006E50FF">
        <w:rPr>
          <w:b/>
          <w:noProof/>
        </w:rPr>
        <w:br/>
        <w:t>Division of Weights and Measures</w:t>
      </w:r>
    </w:p>
    <w:p w14:paraId="038DF1C7" w14:textId="77777777" w:rsidR="006E50FF" w:rsidRPr="006E50FF" w:rsidRDefault="006E50FF" w:rsidP="006E50FF">
      <w:pPr>
        <w:keepNext/>
        <w:spacing w:before="240" w:after="240"/>
        <w:jc w:val="center"/>
        <w:rPr>
          <w:noProof/>
        </w:rPr>
      </w:pPr>
      <w:r w:rsidRPr="006E50FF">
        <w:rPr>
          <w:noProof/>
        </w:rPr>
        <w:t xml:space="preserve">Registration Requirements and Fees for Liquid Measuring Devices and Multiple Dimension Measuring Devices </w:t>
      </w:r>
      <w:r w:rsidRPr="006E50FF">
        <w:rPr>
          <w:noProof/>
        </w:rPr>
        <w:br/>
        <w:t>(LAC 7:XXXV.103, 125, and 127)</w:t>
      </w:r>
    </w:p>
    <w:p w14:paraId="77810A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49:950 </w:t>
      </w:r>
      <w:r w:rsidRPr="006E50FF">
        <w:rPr>
          <w:i/>
          <w:iCs/>
          <w:kern w:val="2"/>
        </w:rPr>
        <w:t>et seq.</w:t>
      </w:r>
      <w:r w:rsidRPr="006E50FF">
        <w:rPr>
          <w:kern w:val="2"/>
        </w:rPr>
        <w:t xml:space="preserve">, and through the authority granted in R.S. 3:4608 and 3:4622, the Department of Agriculture and Forestry (LDAF), Office of Agro-Consumer Services, Division of Weights and Measures, has amended LAC 7:XXXV sections 103, 125, and 127 to provide for definitions, fee schedule, and registration requirements of Multiple Dimension Measuring Devices (MDMD) and liquid measuring devices, except for those used to dispense motor fuels. </w:t>
      </w:r>
    </w:p>
    <w:p w14:paraId="2C77EF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R.S. 3:4622(A) establishes that commercial weighing and measuring devices shall be registered annually with the department in accordance with rules and regulations adopted by the commissioner. Both liquid measuring devices and Multiple Dimension Measuring Devices (MDMD) are included as commercial weighing and measuring devices in the National Institute of Standards and Technology (NIST), handbook 44, which the department adopts in its entirety in LAC 7:XXXV.101. The department has seen a rise in the use of liquid measuring devices for purposes other than motor fuels, typically used for the sale of diesel exhaust fluid (DEF) at fuel stations. The commercial use of Multiple Dimension Measuring Devices has become more frequent, most commonly, to calculate freight shipping costs or loads of products sold by volume. Pursuant to R.S. 3:4622(B)(4), the registration fee of any other commercial weighing and measuring device shall be as established in a fee schedule adopted by the commissioner. The fee rates shall be based on the cost of the work performed. </w:t>
      </w:r>
    </w:p>
    <w:p w14:paraId="103466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Rule change also updates the definition of NTEP to provide for the proper identification of the National Council on Weights and Measures, repeals the definition of Hand-Held Scanning Device, both in section 103 of LAC 7:XXXV. Additionally, the Rule change provides for updates in section 127, subsections O and Q, will be subsections Q and R, to better reflect current practices of the division. The Rule change also repeals section 127, subsection P, because it was duplicative. </w:t>
      </w:r>
    </w:p>
    <w:p w14:paraId="455E2A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agency evaluated the Rule change and determined it was necessary, consistent with law, and aligned with the agency’s mission. The benefits of the Rule outweigh the burdens and costs. The Rule is written in plain language, in an effort to increase transparency. The Rule is hereby adopted on the day of promulgation.  </w:t>
      </w:r>
    </w:p>
    <w:p w14:paraId="48907EFC" w14:textId="77777777" w:rsidR="006E50FF" w:rsidRPr="006E50FF" w:rsidRDefault="006E50FF" w:rsidP="006E50FF">
      <w:pPr>
        <w:keepNext/>
        <w:jc w:val="center"/>
        <w:rPr>
          <w:b/>
          <w:kern w:val="28"/>
        </w:rPr>
      </w:pPr>
      <w:r w:rsidRPr="006E50FF">
        <w:rPr>
          <w:b/>
          <w:kern w:val="28"/>
        </w:rPr>
        <w:t>Title 7</w:t>
      </w:r>
    </w:p>
    <w:p w14:paraId="6A645C44" w14:textId="77777777" w:rsidR="006E50FF" w:rsidRPr="006E50FF" w:rsidRDefault="006E50FF" w:rsidP="006E50FF">
      <w:pPr>
        <w:keepNext/>
        <w:jc w:val="center"/>
        <w:rPr>
          <w:b/>
          <w:kern w:val="28"/>
        </w:rPr>
      </w:pPr>
      <w:r w:rsidRPr="006E50FF">
        <w:rPr>
          <w:b/>
          <w:kern w:val="28"/>
        </w:rPr>
        <w:t>AGRICULTURE AND ANIMALS</w:t>
      </w:r>
    </w:p>
    <w:p w14:paraId="27348AED" w14:textId="77777777" w:rsidR="006E50FF" w:rsidRPr="006E50FF" w:rsidRDefault="006E50FF" w:rsidP="006E50FF">
      <w:pPr>
        <w:keepNext/>
        <w:jc w:val="center"/>
        <w:rPr>
          <w:b/>
          <w:noProof/>
        </w:rPr>
      </w:pPr>
      <w:r w:rsidRPr="006E50FF">
        <w:rPr>
          <w:b/>
          <w:noProof/>
        </w:rPr>
        <w:t>Part XXXV.  Agro-Consumer Services</w:t>
      </w:r>
    </w:p>
    <w:p w14:paraId="25C260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Weights and Measures</w:t>
      </w:r>
    </w:p>
    <w:p w14:paraId="2D0FC1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§103.</w:t>
      </w:r>
      <w:r w:rsidRPr="006E50FF">
        <w:rPr>
          <w:b/>
          <w:kern w:val="2"/>
        </w:rPr>
        <w:tab/>
        <w:t>Definitions</w:t>
      </w:r>
    </w:p>
    <w:p w14:paraId="50765B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79FD7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A1CDE3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Department</w:t>
      </w:r>
      <w:r w:rsidRPr="006E50FF">
        <w:rPr>
          <w:kern w:val="2"/>
        </w:rPr>
        <w:t>—the Louisiana Department of Agriculture and Forestry.</w:t>
      </w:r>
    </w:p>
    <w:p w14:paraId="4086B5D5"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Diesel Exhaust Fluid (DEF)</w:t>
      </w:r>
      <w:r w:rsidRPr="006E50FF">
        <w:rPr>
          <w:kern w:val="2"/>
        </w:rPr>
        <w:t>—a liquid reducing agent, other than the engine fuel, used in conjunction with selective catalytic reduction to reduce nitrogen dioxide emissions. DEF is an aqueous solution of urea conforming to the specifications of ISO 22241, Diesel engines – NOx reduction agent AUS 32.</w:t>
      </w:r>
    </w:p>
    <w:p w14:paraId="0AFA86F9"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Director</w:t>
      </w:r>
      <w:r w:rsidRPr="006E50FF">
        <w:rPr>
          <w:kern w:val="2"/>
        </w:rPr>
        <w:t>—the director of the weights and measures commission, appointed by the commissioner.</w:t>
      </w:r>
    </w:p>
    <w:p w14:paraId="4818A2B9"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Indicating Element</w:t>
      </w:r>
      <w:r w:rsidRPr="006E50FF">
        <w:rPr>
          <w:kern w:val="2"/>
        </w:rPr>
        <w:t>—an element incorporated in a weighing or measuring device by means or which its performance relative to quantity or money value is read from the device itself (i.e., an index-and-graduated-scale combinations, a weighbeam-and-pose combination, a digital indicator, etc.).</w:t>
      </w:r>
    </w:p>
    <w:p w14:paraId="742769BF"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Liquid Measuring Device (LMD)</w:t>
      </w:r>
      <w:r w:rsidRPr="006E50FF">
        <w:rPr>
          <w:kern w:val="2"/>
        </w:rPr>
        <w:t>—commercial devices used for the measurement of liquids, excluding Retail Motor - Fuel Devices and other devices used for the sale of petroleum products.</w:t>
      </w:r>
    </w:p>
    <w:p w14:paraId="2710BC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824D442"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Multiple Dimension Measuring Devices (MDMD)</w:t>
      </w:r>
      <w:r w:rsidRPr="006E50FF">
        <w:rPr>
          <w:kern w:val="2"/>
        </w:rPr>
        <w:t xml:space="preserve">—a commercial device used to automatically, or semi-automatically, determine the length, height, width, density, and/or volume of an object. Also known as, multi-dimensional measuring devices. </w:t>
      </w:r>
    </w:p>
    <w:p w14:paraId="47EFB3A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1CBF90A"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NTEP</w:t>
      </w:r>
      <w:r w:rsidRPr="006E50FF">
        <w:rPr>
          <w:kern w:val="2"/>
        </w:rPr>
        <w:t>—National Type Evaluation Program administered through the National Council on Weights and Measures.</w:t>
      </w:r>
    </w:p>
    <w:p w14:paraId="191DD9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93316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3:4603 (formerly R.S. 55:3).</w:t>
      </w:r>
    </w:p>
    <w:p w14:paraId="27EDA0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Commission of Weights and Measures, LR 13:157 (March 1987), amended by the Department of Agriculture and Forestry, Office of Agro-Consumer Services, Division of Weights and Measures, LR 19:1530 (December 1993), LR 23:857 (July 1997), LR 48:995 (April 2022), LR 50:350 (March 2024), LR 52:1499 (September 2026).</w:t>
      </w:r>
    </w:p>
    <w:p w14:paraId="62367A2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§125.</w:t>
      </w:r>
      <w:r w:rsidRPr="006E50FF">
        <w:rPr>
          <w:b/>
          <w:kern w:val="2"/>
        </w:rPr>
        <w:tab/>
        <w:t>Weights and Measures Fee Structure</w:t>
      </w:r>
    </w:p>
    <w:p w14:paraId="5EF9E8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J.</w:t>
      </w:r>
      <w:r w:rsidRPr="006E50FF">
        <w:rPr>
          <w:kern w:val="2"/>
        </w:rPr>
        <w:tab/>
        <w:t>...</w:t>
      </w:r>
    </w:p>
    <w:p w14:paraId="3457E8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 xml:space="preserve">The annual fee for registration of commercial liquid measuring devices, except for those dispensing motor fuels, is $50. </w:t>
      </w:r>
    </w:p>
    <w:p w14:paraId="2B6F59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 xml:space="preserve">The annual fee for registration of commercial multiple dimension measuring devices (MDMD) is $100. </w:t>
      </w:r>
    </w:p>
    <w:p w14:paraId="69B919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3:4608 and 3:4622.</w:t>
      </w:r>
    </w:p>
    <w:p w14:paraId="7D2276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Division of Weights and Measures, LR 19:1534 (December 1993), amended LR 23:857 (July 1997), LR 30:1142 (June 2004), LR 42:218 (February 2016), LR 42:1649 (October 2016), LR 47:852 (July 2021), LR 47:1840 (December 2021), LR 50:351 (March 2024), repromulgated LR 50:478 (April 2024), amended LR 50:1627 (November 2024), LR 52:1499 (September 2026).</w:t>
      </w:r>
    </w:p>
    <w:p w14:paraId="2E25009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§127.</w:t>
      </w:r>
      <w:r w:rsidRPr="006E50FF">
        <w:rPr>
          <w:b/>
          <w:kern w:val="2"/>
        </w:rPr>
        <w:tab/>
        <w:t>Registration</w:t>
      </w:r>
    </w:p>
    <w:p w14:paraId="5C94A3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F.4</w:t>
      </w:r>
      <w:r w:rsidRPr="006E50FF">
        <w:rPr>
          <w:kern w:val="2"/>
        </w:rPr>
        <w:tab/>
        <w:t>...</w:t>
      </w:r>
    </w:p>
    <w:p w14:paraId="4D4F89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Liquid measuring devices, except for those dispensing motor fuels, shall be registered according to the following criteria:</w:t>
      </w:r>
    </w:p>
    <w:p w14:paraId="7F6D51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make; </w:t>
      </w:r>
    </w:p>
    <w:p w14:paraId="1FCF1F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model; </w:t>
      </w:r>
    </w:p>
    <w:p w14:paraId="67F3C0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serial number; and</w:t>
      </w:r>
    </w:p>
    <w:p w14:paraId="0D3670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type of liquid dispensed.</w:t>
      </w:r>
    </w:p>
    <w:p w14:paraId="7C95F7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H.</w:t>
      </w:r>
      <w:r w:rsidRPr="006E50FF">
        <w:rPr>
          <w:kern w:val="2"/>
        </w:rPr>
        <w:tab/>
        <w:t>Multiple Dimension Measuring Devices (MDMD) shall be registered according to the following criteria:</w:t>
      </w:r>
    </w:p>
    <w:p w14:paraId="204AA22E" w14:textId="77777777" w:rsidR="006E50FF" w:rsidRPr="006E50FF" w:rsidRDefault="006E50FF" w:rsidP="006E50FF">
      <w:pPr>
        <w:tabs>
          <w:tab w:val="left" w:pos="720"/>
          <w:tab w:val="left" w:pos="979"/>
          <w:tab w:val="left" w:pos="1152"/>
        </w:tabs>
        <w:ind w:firstLine="360"/>
        <w:jc w:val="both"/>
        <w:outlineLvl w:val="4"/>
        <w:rPr>
          <w:kern w:val="2"/>
        </w:rPr>
      </w:pPr>
    </w:p>
    <w:p w14:paraId="6A3C70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make; </w:t>
      </w:r>
    </w:p>
    <w:p w14:paraId="2BB070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model; </w:t>
      </w:r>
    </w:p>
    <w:p w14:paraId="2ACDB7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serial number; and</w:t>
      </w:r>
    </w:p>
    <w:p w14:paraId="30F971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intended use.</w:t>
      </w:r>
    </w:p>
    <w:p w14:paraId="6C8AA7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 late fee of $25 will be assessed for each commercial weighing and measuring device, weighmaster, service agency, and service technician, when the application is submitted after December 31, with a maximum penalty of $100 per location.</w:t>
      </w:r>
    </w:p>
    <w:p w14:paraId="1E36A5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A late fee of $25 will be assessed for each new device not registered within 30 days from the date it is put into service.</w:t>
      </w:r>
    </w:p>
    <w:p w14:paraId="317F2B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 xml:space="preserve">A compound weighing device shall be considered one or more devices for the purpose of registration in accordance with the following. </w:t>
      </w:r>
    </w:p>
    <w:p w14:paraId="76AFE4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compound weighing device that consists of a single load receiving element and more than one indicating element shall be considered a single device when all indicating elements may be tested during the same test for the purpose of sealing the device as correct. Said device shall be considered separate devices for each separate test necessary for sealing. </w:t>
      </w:r>
    </w:p>
    <w:p w14:paraId="54EE5D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compound weighing device that consists of one indicating element and more than one load receiving element shall for the purpose of registration be considered a separate device for each load receiving element.</w:t>
      </w:r>
    </w:p>
    <w:p w14:paraId="577C0B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Applicants for registration may request application forms, verbally or in writing, from the Division of Weights and Measures of the Department of Agriculture and Forestry.</w:t>
      </w:r>
    </w:p>
    <w:p w14:paraId="4CC5E6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Each application for annual registration shall be accompanied by payment of the required fee and said registration shall be valid until December 31. To remain valid, each annual registration must be renewed before January 1. This Subsection shall not apply to the registration of taxicab meters.</w:t>
      </w:r>
    </w:p>
    <w:p w14:paraId="5F3B34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Taxicab meters shall be registered annually with the division. Each registration shall be valid for one year from the date of issuance. Taxi meters may only be registered with the division upon completion of an inspection of the taxi meter by the department and payment of the required registration fee. The inspection period for taxicab meters for registration purposes shall occur from January 1 through June 30 each year. After June 30, inspections for registration purposes will be done by appointment only.</w:t>
      </w:r>
    </w:p>
    <w:p w14:paraId="7D5537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If a taxicab operates in a municipality or parish which requires a local inspection, the inspection required under this Part shall be completed no later than the month in which the taxicab’s parish, municipal, or airport inspection is due. </w:t>
      </w:r>
    </w:p>
    <w:p w14:paraId="493057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Taxicab meters inspected after June 30 will be charged a late fee of $25 unless the late inspection is due to a meter being new, repaired, replaced, or being placed in a different vehicle.</w:t>
      </w:r>
    </w:p>
    <w:p w14:paraId="5E9904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Any registration obtained without complying with all of the requirements of these regulations may be voided by the division.</w:t>
      </w:r>
    </w:p>
    <w:p w14:paraId="2F5F63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Before a device may be sealed to certify the accuracy and correctness of a device, that device must be registered </w:t>
      </w:r>
      <w:r w:rsidRPr="006E50FF">
        <w:rPr>
          <w:kern w:val="2"/>
        </w:rPr>
        <w:t>with the Division of Weights and Measures of the Louisiana Department of Agriculture and Forestry.</w:t>
      </w:r>
    </w:p>
    <w:p w14:paraId="797F9A5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Q.</w:t>
      </w:r>
      <w:r w:rsidRPr="006E50FF">
        <w:rPr>
          <w:kern w:val="2"/>
        </w:rPr>
        <w:tab/>
        <w:t xml:space="preserve">In accordance with R.S. 3:4611, no one shall use a weight, measure or weighing or measuring device which has not been sealed by the division, its director, or its inspectors, at its direction, within the year prior thereto, unless written notice has been given to the division to the effect that the weight, measure or weighing or measuring device is available for examination or is due for re-examination. Application or renewal of registration fulfills this requirement. </w:t>
      </w:r>
    </w:p>
    <w:p w14:paraId="2F5017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Applications for annual renewal of registration shall be mailed</w:t>
      </w:r>
      <w:r w:rsidRPr="006E50FF">
        <w:rPr>
          <w:color w:val="FF0000"/>
          <w:kern w:val="2"/>
        </w:rPr>
        <w:t xml:space="preserve"> </w:t>
      </w:r>
      <w:r w:rsidRPr="006E50FF">
        <w:rPr>
          <w:kern w:val="2"/>
        </w:rPr>
        <w:t>or e-mailed by the Division of Weights and Measures of the Department of Agriculture and Forestry to all registrants, at the last address or e-mail address provided by the registrant, on or before November 15 and must be returned before January 1.</w:t>
      </w:r>
    </w:p>
    <w:p w14:paraId="2EA82F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w:t>
      </w:r>
      <w:r w:rsidRPr="006E50FF">
        <w:rPr>
          <w:kern w:val="2"/>
        </w:rPr>
        <w:tab/>
        <w:t>The record of all registrations shall be maintained by the Division of Weights and Measures and the director of the Division of Weights and Measures in its office in Baton Rouge.</w:t>
      </w:r>
    </w:p>
    <w:p w14:paraId="053F50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Any registrant having a device registered under provisions of this regulation, and that is taken out of commercial use at the location shown on the application for registration, shall notify the commission's office in writing to remove said device from its records.</w:t>
      </w:r>
    </w:p>
    <w:p w14:paraId="68EFB9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3:4603 (formerly R.S. 55:3), 3:4607, 4608, and 3:4622.</w:t>
      </w:r>
    </w:p>
    <w:p w14:paraId="4F99158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Commission of Weights and Measures, LR 13:158 (March 1987), amended LR 15:78 (February 1989), amended by the Department of Agriculture and Forestry, Office of Agro-Consumer Services, Division of Weights and Measures, LR 19:1534 (December 1993), LR 23:857 (July 1997), LR 41:2098 (October 2015), LR 42:1649 (October 2016), amended by the Department of Agriculture and Forestry, Office of Agro-Consumer Services LR 47:562 (May 2021), LR 47:1840 (December 2021), LR 50:351 (March 2024), LR 52:1499 (September 2026).</w:t>
      </w:r>
    </w:p>
    <w:p w14:paraId="3EDAF4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0D9BEF3" w14:textId="77777777" w:rsidR="006E50FF" w:rsidRPr="006E50FF" w:rsidRDefault="006E50FF" w:rsidP="006E50FF">
      <w:pPr>
        <w:keepNext/>
        <w:ind w:left="2160"/>
        <w:jc w:val="both"/>
      </w:pPr>
      <w:r w:rsidRPr="006E50FF">
        <w:t>Mike Strain, DVM</w:t>
      </w:r>
    </w:p>
    <w:p w14:paraId="6C7F5FD8" w14:textId="77777777" w:rsidR="006E50FF" w:rsidRPr="006E50FF" w:rsidRDefault="006E50FF" w:rsidP="006E50FF">
      <w:pPr>
        <w:keepNext/>
        <w:ind w:left="2160"/>
        <w:jc w:val="both"/>
      </w:pPr>
      <w:r w:rsidRPr="006E50FF">
        <w:t xml:space="preserve">Commissioner </w:t>
      </w:r>
    </w:p>
    <w:p w14:paraId="6D8CCD23" w14:textId="77777777" w:rsidR="006E50FF" w:rsidRPr="006E50FF" w:rsidRDefault="006E50FF" w:rsidP="006E50FF">
      <w:pPr>
        <w:rPr>
          <w:noProof/>
          <w:sz w:val="16"/>
        </w:rPr>
      </w:pPr>
      <w:r w:rsidRPr="006E50FF">
        <w:rPr>
          <w:noProof/>
          <w:sz w:val="16"/>
        </w:rPr>
        <w:t>2609#035</w:t>
      </w:r>
    </w:p>
    <w:p w14:paraId="4DA6B8AA" w14:textId="77777777" w:rsidR="006E50FF" w:rsidRPr="006E50FF" w:rsidRDefault="006E50FF" w:rsidP="006E50FF"/>
    <w:p w14:paraId="100742D4" w14:textId="77777777" w:rsidR="006E50FF" w:rsidRPr="006E50FF" w:rsidRDefault="006E50FF" w:rsidP="006E50FF">
      <w:pPr>
        <w:keepNext/>
        <w:tabs>
          <w:tab w:val="left" w:pos="-1440"/>
        </w:tabs>
        <w:spacing w:after="120"/>
        <w:jc w:val="center"/>
        <w:rPr>
          <w:b/>
          <w:noProof/>
        </w:rPr>
      </w:pPr>
      <w:bookmarkStart w:id="61" w:name="_Hlk210477263"/>
      <w:r w:rsidRPr="006E50FF">
        <w:rPr>
          <w:b/>
          <w:noProof/>
        </w:rPr>
        <w:t>RULE</w:t>
      </w:r>
    </w:p>
    <w:p w14:paraId="019B762B" w14:textId="77777777" w:rsidR="006E50FF" w:rsidRPr="006E50FF" w:rsidRDefault="006E50FF" w:rsidP="006E50FF">
      <w:pPr>
        <w:keepNext/>
        <w:jc w:val="center"/>
        <w:rPr>
          <w:b/>
          <w:noProof/>
        </w:rPr>
      </w:pPr>
      <w:r w:rsidRPr="006E50FF">
        <w:rPr>
          <w:b/>
          <w:noProof/>
        </w:rPr>
        <w:t>Office of the Governor</w:t>
      </w:r>
    </w:p>
    <w:p w14:paraId="4410F71C" w14:textId="77777777" w:rsidR="006E50FF" w:rsidRPr="006E50FF" w:rsidRDefault="006E50FF" w:rsidP="006E50FF">
      <w:pPr>
        <w:keepNext/>
        <w:jc w:val="center"/>
        <w:rPr>
          <w:b/>
          <w:noProof/>
        </w:rPr>
      </w:pPr>
      <w:r w:rsidRPr="006E50FF">
        <w:rPr>
          <w:b/>
          <w:noProof/>
        </w:rPr>
        <w:t>Board of Architectural Examiners</w:t>
      </w:r>
    </w:p>
    <w:p w14:paraId="59E4BC72" w14:textId="77777777" w:rsidR="006E50FF" w:rsidRPr="006E50FF" w:rsidRDefault="006E50FF" w:rsidP="006E50FF">
      <w:pPr>
        <w:keepNext/>
        <w:spacing w:before="240" w:after="240"/>
        <w:jc w:val="center"/>
        <w:rPr>
          <w:noProof/>
        </w:rPr>
      </w:pPr>
      <w:r w:rsidRPr="006E50FF">
        <w:rPr>
          <w:noProof/>
        </w:rPr>
        <w:t>Administration (LAC 46:I.Chapter 13)</w:t>
      </w:r>
    </w:p>
    <w:p w14:paraId="371E4D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Board of Architectural Examiners, in accordance with the provisions of R.S. 49:950 et seq., and through the authority granted in R.S. 37:144(C), has amended many of the Sections in LAC 46:I.Chapter 13 pertaining to its administration of the licensing law. More specifically, the board has amended LAC 46:I.1303 (Architect’s Seal or Stamp); LAC 46:I.1305 (Placing of Seal or Stamp); LAC 46:I.1309 (Calculating Gross Floor Area under R.S. 37:155(4) Where Building Contains Mixed Occupancy Classifications); LAC 46:I.1311 (Interpretation of R.S. 37:155(4)(c)); LAC 46:I.1313 (Interpretation of R.S. 37:152(B)); LAC 46:I.1315 (Continuing Education), and LAC 46:I.1317 (Interpretation of R.S. 37:155(A)(3)). </w:t>
      </w:r>
    </w:p>
    <w:p w14:paraId="208E7E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Act 192 of 2024 mandated that all state agencies which make rules systematically review in accordance with stated criteria a sufficient number of rules each year so that all rules have been reviewed within a five-year period. Executive Order JML 25-038 issued April 1, 2025, mandated that by December 31, 2025, state agencies review at least 50 percent of the rules listed in the order or a minimum of 100 rules, whichever is greater. Each rule should be evaluated to determine if it is necessary, consistent with the law, aligned with the agency’s mission, and otherwise complies with the legislation described therein. Rules not specifically listed in the order must be reviewed by December 31, 2026.</w:t>
      </w:r>
    </w:p>
    <w:p w14:paraId="15A593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Applying the criteria required by Act 192 and EO JML 25-035, the board reviewed Chapter 13 of its rules (LAC 46:I.Chapter 13) and determined that many of the rules therein should be updated, clarified, and amended. The board is clarifying and amending LAC 46:I.1303 (Architect’s Seal or Stamp) and LAC 46:I.1305 (Placing of Seal or Stamp) by removing references in such rules to “stamp” and clarifying the meaning of “computer generated” and “responsible supervision”; LAC 46:I.1309 (Calculating Gross Floor Area under R.S. 37:155(4) Where Building Contains Mixed Occupancy Classifications) and LAC 46:I.1311 (Interpretation of R.S. 37:155(4)(c)) by correcting the erroneous references in such rules to sections of the licensing law and clarifying the interpretations made therein; LAC 46:I.1313 (Interpretation of R.S. 37:152(B)) by clarifying the interpretation therein; and LAC 46:I.1317 (Interpretation of R.S. 37:155(A)(3)) by clarifying its interpretation of “associates with a registered architect of this state” in the referenced section of the licensing law.</w:t>
      </w:r>
    </w:p>
    <w:p w14:paraId="0C124D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board is proposing modernizing, clarifying, and amending LAC 46:I.1315 (Continuing Education) Subsections A - G by clarifying and modernizing the purpose of continuing education (CE), exemptions from CE requirements, definitions, CE requirements, acceptable CE activities, allowing the earning of Continuing Education Hours (CEH) in additional CE activities, the number of CEH which may be earned in different activities, reporting requirements, and related matters. </w:t>
      </w:r>
    </w:p>
    <w:p w14:paraId="352644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LAC 46:I.1301 (Renewal Procedure), LAC 46:I.1307 (Architect or Professional Engineer), LAC 46:I.1319 (Interpretation of R.S. 37:141(B)(3); Design/Build), and LAC 46:I.1321 (Interpretation of R.S. 37:145; Architect Engineers) are being maintained without change. This Rule is hereby adopted on the day of promulgation. </w:t>
      </w:r>
    </w:p>
    <w:p w14:paraId="181C0E73" w14:textId="77777777" w:rsidR="006E50FF" w:rsidRPr="006E50FF" w:rsidRDefault="006E50FF" w:rsidP="006E50FF">
      <w:pPr>
        <w:keepNext/>
        <w:jc w:val="center"/>
        <w:rPr>
          <w:rFonts w:eastAsia="Calibri"/>
          <w:b/>
          <w:kern w:val="28"/>
        </w:rPr>
      </w:pPr>
      <w:r w:rsidRPr="006E50FF">
        <w:rPr>
          <w:rFonts w:eastAsia="Calibri"/>
          <w:b/>
          <w:kern w:val="28"/>
        </w:rPr>
        <w:t>Title 46</w:t>
      </w:r>
    </w:p>
    <w:p w14:paraId="07630721" w14:textId="77777777" w:rsidR="006E50FF" w:rsidRPr="006E50FF" w:rsidRDefault="006E50FF" w:rsidP="006E50FF">
      <w:pPr>
        <w:keepNext/>
        <w:jc w:val="center"/>
        <w:rPr>
          <w:rFonts w:eastAsia="Calibri"/>
          <w:b/>
          <w:kern w:val="28"/>
        </w:rPr>
      </w:pPr>
      <w:r w:rsidRPr="006E50FF">
        <w:rPr>
          <w:rFonts w:eastAsia="Calibri"/>
          <w:b/>
          <w:kern w:val="28"/>
        </w:rPr>
        <w:t>PROFESSIONAL AND OCCUPATIONAL STANDARDS</w:t>
      </w:r>
    </w:p>
    <w:p w14:paraId="7D153D0C" w14:textId="77777777" w:rsidR="006E50FF" w:rsidRPr="006E50FF" w:rsidRDefault="006E50FF" w:rsidP="006E50FF">
      <w:pPr>
        <w:keepNext/>
        <w:jc w:val="center"/>
        <w:rPr>
          <w:rFonts w:eastAsia="Calibri"/>
          <w:b/>
          <w:noProof/>
        </w:rPr>
      </w:pPr>
      <w:r w:rsidRPr="006E50FF">
        <w:rPr>
          <w:rFonts w:eastAsia="Calibri"/>
          <w:b/>
          <w:noProof/>
        </w:rPr>
        <w:t>Part I.  Architects</w:t>
      </w:r>
    </w:p>
    <w:p w14:paraId="32D4012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color w:val="000000"/>
          <w:kern w:val="2"/>
        </w:rPr>
      </w:pPr>
      <w:r w:rsidRPr="006E50FF">
        <w:rPr>
          <w:rFonts w:eastAsia="Calibri"/>
          <w:b/>
          <w:kern w:val="2"/>
        </w:rPr>
        <w:t>Chapter 13.</w:t>
      </w:r>
      <w:r w:rsidRPr="006E50FF">
        <w:rPr>
          <w:rFonts w:eastAsia="Calibri"/>
          <w:b/>
          <w:kern w:val="2"/>
        </w:rPr>
        <w:tab/>
        <w:t>Administration</w:t>
      </w:r>
    </w:p>
    <w:p w14:paraId="0A3DF31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§1303.</w:t>
      </w:r>
      <w:r w:rsidRPr="006E50FF">
        <w:rPr>
          <w:b/>
          <w:kern w:val="2"/>
          <w:lang w:bidi="en-US"/>
        </w:rPr>
        <w:tab/>
        <w:t xml:space="preserve">Architect’s Seal </w:t>
      </w:r>
    </w:p>
    <w:p w14:paraId="05A387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The seal of the architect shall contain the name of the architect, the architect’s license number, and the words "Registered Architect, State of</w:t>
      </w:r>
      <w:r w:rsidRPr="006E50FF">
        <w:rPr>
          <w:spacing w:val="-11"/>
          <w:kern w:val="2"/>
          <w:lang w:bidi="en-US"/>
        </w:rPr>
        <w:t xml:space="preserve"> </w:t>
      </w:r>
      <w:r w:rsidRPr="006E50FF">
        <w:rPr>
          <w:kern w:val="2"/>
          <w:lang w:bidi="en-US"/>
        </w:rPr>
        <w:t>Louisiana."</w:t>
      </w:r>
    </w:p>
    <w:p w14:paraId="6D9AEA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w:t>
      </w:r>
      <w:r w:rsidRPr="006E50FF">
        <w:rPr>
          <w:kern w:val="2"/>
          <w:lang w:bidi="en-US"/>
        </w:rPr>
        <w:tab/>
        <w:t>The architect’s seal shall be circular in shape and measure approximately 1 and three-fourths inches in diameter. In addition to the words set forth in the preceding paragraph, it shall contain the state emblem. For purposes of this rule, the state emblem is the</w:t>
      </w:r>
      <w:r w:rsidRPr="006E50FF">
        <w:rPr>
          <w:spacing w:val="-6"/>
          <w:kern w:val="2"/>
          <w:lang w:bidi="en-US"/>
        </w:rPr>
        <w:t xml:space="preserve"> </w:t>
      </w:r>
      <w:r w:rsidRPr="006E50FF">
        <w:rPr>
          <w:kern w:val="2"/>
          <w:lang w:bidi="en-US"/>
        </w:rPr>
        <w:t>pelican.</w:t>
      </w:r>
    </w:p>
    <w:p w14:paraId="6B27BF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br w:type="column"/>
      </w:r>
      <w:r w:rsidRPr="006E50FF">
        <w:rPr>
          <w:kern w:val="2"/>
          <w:lang w:bidi="en-US"/>
        </w:rPr>
        <w:t>C.</w:t>
      </w:r>
      <w:r w:rsidRPr="006E50FF">
        <w:rPr>
          <w:kern w:val="2"/>
          <w:lang w:bidi="en-US"/>
        </w:rPr>
        <w:tab/>
        <w:t>Rubber seals and electronically generated seals are acceptable.</w:t>
      </w:r>
    </w:p>
    <w:p w14:paraId="6EF83C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D.</w:t>
      </w:r>
      <w:r w:rsidRPr="006E50FF">
        <w:rPr>
          <w:kern w:val="2"/>
          <w:lang w:bidi="en-US"/>
        </w:rPr>
        <w:tab/>
        <w:t>…</w:t>
      </w:r>
    </w:p>
    <w:p w14:paraId="4437E123" w14:textId="77777777" w:rsidR="006E50FF" w:rsidRPr="006E50FF" w:rsidRDefault="006E50FF" w:rsidP="006E50FF">
      <w:pPr>
        <w:tabs>
          <w:tab w:val="left" w:pos="144"/>
          <w:tab w:val="left" w:pos="187"/>
          <w:tab w:val="left" w:pos="540"/>
          <w:tab w:val="left" w:pos="907"/>
          <w:tab w:val="left" w:pos="1080"/>
        </w:tabs>
        <w:ind w:firstLine="187"/>
        <w:jc w:val="center"/>
        <w:outlineLvl w:val="3"/>
        <w:rPr>
          <w:kern w:val="2"/>
          <w:lang w:bidi="en-US"/>
        </w:rPr>
      </w:pPr>
      <w:r w:rsidRPr="006E50FF">
        <w:rPr>
          <w:kern w:val="2"/>
          <w:lang w:bidi="en-US"/>
        </w:rPr>
        <w:t>* * *</w:t>
      </w:r>
    </w:p>
    <w:p w14:paraId="2EC4D5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50417A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39:483 (March 2013), amended LR 52:1501 (September 2026).</w:t>
      </w:r>
    </w:p>
    <w:p w14:paraId="7AFC0F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§1305.</w:t>
      </w:r>
      <w:r w:rsidRPr="006E50FF">
        <w:rPr>
          <w:b/>
          <w:kern w:val="2"/>
          <w:lang w:bidi="en-US"/>
        </w:rPr>
        <w:tab/>
        <w:t>Placing of Seal</w:t>
      </w:r>
    </w:p>
    <w:p w14:paraId="32E657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An architect shall affix his or her seal to all contract drawings and specifications requiring the services of an architect which were prepared by the architect or under the architect's responsible control. Contract drawings and specifications prepared by a consulting electrical, mechanical, structural, or other engineer shall be sealed only by the consulting engineer. Contract drawings and specifications within the meaning of this rule include construction documents prepared for bidding or for receipt of proposals, as well as such documents submitted for permitting.</w:t>
      </w:r>
    </w:p>
    <w:p w14:paraId="49B2C9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w:t>
      </w:r>
      <w:r w:rsidRPr="006E50FF">
        <w:rPr>
          <w:kern w:val="2"/>
          <w:lang w:bidi="en-US"/>
        </w:rPr>
        <w:tab/>
        <w:t>An architect shall clearly identify the specification sections prepared by that architect or under that architect's responsible control and distinguish such sections from those prepared by consulting engineers. An architect shall affix his or her seal either</w:t>
      </w:r>
      <w:r w:rsidRPr="006E50FF">
        <w:rPr>
          <w:spacing w:val="-3"/>
          <w:kern w:val="2"/>
          <w:lang w:bidi="en-US"/>
        </w:rPr>
        <w:t xml:space="preserve"> </w:t>
      </w:r>
      <w:r w:rsidRPr="006E50FF">
        <w:rPr>
          <w:kern w:val="2"/>
          <w:lang w:bidi="en-US"/>
        </w:rPr>
        <w:t>to:</w:t>
      </w:r>
    </w:p>
    <w:p w14:paraId="6AEDF17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each specification section, page, or sheet prepared by or under the responsible control of the architect;</w:t>
      </w:r>
      <w:r w:rsidRPr="006E50FF">
        <w:rPr>
          <w:spacing w:val="-15"/>
          <w:kern w:val="2"/>
          <w:lang w:bidi="en-US"/>
        </w:rPr>
        <w:t xml:space="preserve"> </w:t>
      </w:r>
      <w:r w:rsidRPr="006E50FF">
        <w:rPr>
          <w:kern w:val="2"/>
          <w:lang w:bidi="en-US"/>
        </w:rPr>
        <w:t>or</w:t>
      </w:r>
    </w:p>
    <w:p w14:paraId="4555431D"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the appropriate portion of any seals page in the specification document which identifies the specification sections prepared by the architect or under his or her responsible control and those sections prepared by consulting engineers. Consulting engineers shall affix their seal either to each specification section, page, or sheet prepared by that consultant, or to that portion of any seals page which identifies the specification sections prepared by that</w:t>
      </w:r>
      <w:r w:rsidRPr="006E50FF">
        <w:rPr>
          <w:spacing w:val="-4"/>
          <w:kern w:val="2"/>
          <w:lang w:bidi="en-US"/>
        </w:rPr>
        <w:t xml:space="preserve"> </w:t>
      </w:r>
      <w:r w:rsidRPr="006E50FF">
        <w:rPr>
          <w:kern w:val="2"/>
          <w:lang w:bidi="en-US"/>
        </w:rPr>
        <w:t>consultant.</w:t>
      </w:r>
    </w:p>
    <w:p w14:paraId="72FC84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C.</w:t>
      </w:r>
      <w:r w:rsidRPr="006E50FF">
        <w:rPr>
          <w:kern w:val="2"/>
          <w:lang w:bidi="en-US"/>
        </w:rPr>
        <w:tab/>
        <w:t>If a public or governmental agency requires further certification by the architect (such as that the title or index page</w:t>
      </w:r>
      <w:r w:rsidRPr="006E50FF">
        <w:rPr>
          <w:spacing w:val="21"/>
          <w:kern w:val="2"/>
          <w:lang w:bidi="en-US"/>
        </w:rPr>
        <w:t xml:space="preserve"> </w:t>
      </w:r>
      <w:r w:rsidRPr="006E50FF">
        <w:rPr>
          <w:kern w:val="2"/>
          <w:lang w:bidi="en-US"/>
        </w:rPr>
        <w:t>of</w:t>
      </w:r>
      <w:r w:rsidRPr="006E50FF">
        <w:rPr>
          <w:spacing w:val="20"/>
          <w:kern w:val="2"/>
          <w:lang w:bidi="en-US"/>
        </w:rPr>
        <w:t xml:space="preserve"> </w:t>
      </w:r>
      <w:r w:rsidRPr="006E50FF">
        <w:rPr>
          <w:kern w:val="2"/>
          <w:lang w:bidi="en-US"/>
        </w:rPr>
        <w:t>the</w:t>
      </w:r>
      <w:r w:rsidRPr="006E50FF">
        <w:rPr>
          <w:spacing w:val="22"/>
          <w:kern w:val="2"/>
          <w:lang w:bidi="en-US"/>
        </w:rPr>
        <w:t xml:space="preserve"> </w:t>
      </w:r>
      <w:r w:rsidRPr="006E50FF">
        <w:rPr>
          <w:kern w:val="2"/>
          <w:lang w:bidi="en-US"/>
        </w:rPr>
        <w:t>specifications</w:t>
      </w:r>
      <w:r w:rsidRPr="006E50FF">
        <w:rPr>
          <w:spacing w:val="21"/>
          <w:kern w:val="2"/>
          <w:lang w:bidi="en-US"/>
        </w:rPr>
        <w:t xml:space="preserve"> </w:t>
      </w:r>
      <w:r w:rsidRPr="006E50FF">
        <w:rPr>
          <w:kern w:val="2"/>
          <w:lang w:bidi="en-US"/>
        </w:rPr>
        <w:t>be</w:t>
      </w:r>
      <w:r w:rsidRPr="006E50FF">
        <w:rPr>
          <w:spacing w:val="22"/>
          <w:kern w:val="2"/>
          <w:lang w:bidi="en-US"/>
        </w:rPr>
        <w:t xml:space="preserve"> </w:t>
      </w:r>
      <w:r w:rsidRPr="006E50FF">
        <w:rPr>
          <w:kern w:val="2"/>
          <w:lang w:bidi="en-US"/>
        </w:rPr>
        <w:t>certified</w:t>
      </w:r>
      <w:r w:rsidRPr="006E50FF">
        <w:rPr>
          <w:spacing w:val="23"/>
          <w:kern w:val="2"/>
          <w:lang w:bidi="en-US"/>
        </w:rPr>
        <w:t xml:space="preserve"> </w:t>
      </w:r>
      <w:r w:rsidRPr="006E50FF">
        <w:rPr>
          <w:kern w:val="2"/>
          <w:lang w:bidi="en-US"/>
        </w:rPr>
        <w:t>by</w:t>
      </w:r>
      <w:r w:rsidRPr="006E50FF">
        <w:rPr>
          <w:spacing w:val="18"/>
          <w:kern w:val="2"/>
          <w:lang w:bidi="en-US"/>
        </w:rPr>
        <w:t xml:space="preserve"> </w:t>
      </w:r>
      <w:r w:rsidRPr="006E50FF">
        <w:rPr>
          <w:kern w:val="2"/>
          <w:lang w:bidi="en-US"/>
        </w:rPr>
        <w:t>the</w:t>
      </w:r>
      <w:r w:rsidRPr="006E50FF">
        <w:rPr>
          <w:spacing w:val="22"/>
          <w:kern w:val="2"/>
          <w:lang w:bidi="en-US"/>
        </w:rPr>
        <w:t xml:space="preserve"> </w:t>
      </w:r>
      <w:r w:rsidRPr="006E50FF">
        <w:rPr>
          <w:kern w:val="2"/>
          <w:lang w:bidi="en-US"/>
        </w:rPr>
        <w:t>architect),</w:t>
      </w:r>
      <w:r w:rsidRPr="006E50FF">
        <w:rPr>
          <w:spacing w:val="22"/>
          <w:kern w:val="2"/>
          <w:lang w:bidi="en-US"/>
        </w:rPr>
        <w:t xml:space="preserve"> </w:t>
      </w:r>
      <w:r w:rsidRPr="006E50FF">
        <w:rPr>
          <w:kern w:val="2"/>
          <w:lang w:bidi="en-US"/>
        </w:rPr>
        <w:t>the architect's further certification shall include a description of exactly what drawings and what portions or sections of the specifications were prepared by or under the architect's responsible control, and what drawings and what portions or sections of the specifications were prepared by others. In addition, the architect shall include a certification from any consulting engineers as to what drawings and what portions or sections of the specifications were prepared by or under the responsible charge of the consulting engineers.</w:t>
      </w:r>
    </w:p>
    <w:p w14:paraId="5C65C2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46E754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38:1587 (July 2012), amended LR 52:1501 (September 2026).</w:t>
      </w:r>
    </w:p>
    <w:p w14:paraId="33B0FC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62" w:name="_bookmark42"/>
      <w:bookmarkEnd w:id="62"/>
      <w:r w:rsidRPr="006E50FF">
        <w:rPr>
          <w:rFonts w:eastAsia="Calibri"/>
          <w:b/>
          <w:kern w:val="2"/>
        </w:rPr>
        <w:t>§1309.</w:t>
      </w:r>
      <w:r w:rsidRPr="006E50FF">
        <w:rPr>
          <w:rFonts w:eastAsia="Calibri"/>
          <w:b/>
          <w:kern w:val="2"/>
        </w:rPr>
        <w:tab/>
        <w:t>Calculating Gross Floor Area under R.S. 37:155(A)(4) Where Building Contains Mixed Occupancy Classifications</w:t>
      </w:r>
    </w:p>
    <w:p w14:paraId="27CB32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When a building contains more than one of the occupancy classifications set forth in R.S. 37:155(A)(4)(f), the gross floor area shall be calculated by performing the following</w:t>
      </w:r>
      <w:r w:rsidRPr="006E50FF">
        <w:rPr>
          <w:spacing w:val="-2"/>
          <w:kern w:val="2"/>
          <w:lang w:bidi="en-US"/>
        </w:rPr>
        <w:t xml:space="preserve"> </w:t>
      </w:r>
      <w:r w:rsidRPr="006E50FF">
        <w:rPr>
          <w:kern w:val="2"/>
          <w:lang w:bidi="en-US"/>
        </w:rPr>
        <w:t>calculations.</w:t>
      </w:r>
    </w:p>
    <w:p w14:paraId="3953576E"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lastRenderedPageBreak/>
        <w:t>1.</w:t>
      </w:r>
      <w:r w:rsidRPr="006E50FF">
        <w:rPr>
          <w:kern w:val="2"/>
          <w:lang w:bidi="en-US"/>
        </w:rPr>
        <w:tab/>
        <w:t>Divide the gross floor area of each of the occupancy classifications by the corresponding threshold of each, as established in R.S. 37:155(A)(4)(f). Round off the resultants to four decimal</w:t>
      </w:r>
      <w:r w:rsidRPr="006E50FF">
        <w:rPr>
          <w:spacing w:val="1"/>
          <w:kern w:val="2"/>
          <w:lang w:bidi="en-US"/>
        </w:rPr>
        <w:t xml:space="preserve"> </w:t>
      </w:r>
      <w:r w:rsidRPr="006E50FF">
        <w:rPr>
          <w:kern w:val="2"/>
          <w:lang w:bidi="en-US"/>
        </w:rPr>
        <w:t>points.</w:t>
      </w:r>
    </w:p>
    <w:p w14:paraId="4D4DE7CF"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w:t>
      </w:r>
    </w:p>
    <w:p w14:paraId="40C2C9AA"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If the total exceeds 1.0000, the building shall be determined to exceed the gross floor areas established in R.S.</w:t>
      </w:r>
      <w:r w:rsidRPr="006E50FF">
        <w:rPr>
          <w:spacing w:val="-1"/>
          <w:kern w:val="2"/>
          <w:lang w:bidi="en-US"/>
        </w:rPr>
        <w:t xml:space="preserve"> </w:t>
      </w:r>
      <w:r w:rsidRPr="006E50FF">
        <w:rPr>
          <w:kern w:val="2"/>
          <w:lang w:bidi="en-US"/>
        </w:rPr>
        <w:t>37:155(4)(f).</w:t>
      </w:r>
    </w:p>
    <w:p w14:paraId="0BBF53F4"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w:t>
      </w:r>
      <w:r w:rsidRPr="006E50FF">
        <w:rPr>
          <w:kern w:val="2"/>
          <w:lang w:bidi="en-US"/>
        </w:rPr>
        <w:tab/>
        <w:t>…</w:t>
      </w:r>
    </w:p>
    <w:p w14:paraId="46047F46"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b.</w:t>
      </w:r>
      <w:r w:rsidRPr="006E50FF">
        <w:rPr>
          <w:rFonts w:eastAsia="Calibri"/>
          <w:kern w:val="2"/>
        </w:rPr>
        <w:tab/>
        <w:t>In this example, the threshold square footage of this mixed occupancy building would be exceeded and, therefore, would not be exempt under R.S.</w:t>
      </w:r>
      <w:r w:rsidRPr="006E50FF">
        <w:rPr>
          <w:rFonts w:eastAsia="Calibri"/>
          <w:spacing w:val="-4"/>
          <w:kern w:val="2"/>
        </w:rPr>
        <w:t xml:space="preserve"> </w:t>
      </w:r>
      <w:r w:rsidRPr="006E50FF">
        <w:rPr>
          <w:rFonts w:eastAsia="Calibri"/>
          <w:kern w:val="2"/>
        </w:rPr>
        <w:t>37:155(A)(4).</w:t>
      </w:r>
    </w:p>
    <w:p w14:paraId="35936C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73C1120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52:1501 (September 2026).</w:t>
      </w:r>
    </w:p>
    <w:p w14:paraId="50DD09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r w:rsidRPr="006E50FF">
        <w:rPr>
          <w:rFonts w:eastAsia="Calibri"/>
          <w:b/>
          <w:kern w:val="2"/>
        </w:rPr>
        <w:t>§1311.</w:t>
      </w:r>
      <w:r w:rsidRPr="006E50FF">
        <w:rPr>
          <w:rFonts w:eastAsia="Calibri"/>
          <w:b/>
          <w:kern w:val="2"/>
        </w:rPr>
        <w:tab/>
        <w:t>Interpretation of R.S. 37:155(A)(4)(c)</w:t>
      </w:r>
    </w:p>
    <w:p w14:paraId="4ACB22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 xml:space="preserve">As set forth in R.S. 37:155(A)(4)(c), renovations or alterations of any size building that exceeds the gross floor area of Subsection (f) of 37:155(A)(4) which do not affect </w:t>
      </w:r>
      <w:r w:rsidRPr="006E50FF">
        <w:rPr>
          <w:spacing w:val="2"/>
          <w:kern w:val="2"/>
          <w:lang w:bidi="en-US"/>
        </w:rPr>
        <w:t xml:space="preserve">the </w:t>
      </w:r>
      <w:r w:rsidRPr="006E50FF">
        <w:rPr>
          <w:kern w:val="2"/>
          <w:lang w:bidi="en-US"/>
        </w:rPr>
        <w:t xml:space="preserve">structural integrity or life </w:t>
      </w:r>
      <w:r w:rsidRPr="006E50FF">
        <w:rPr>
          <w:spacing w:val="-3"/>
          <w:kern w:val="2"/>
          <w:lang w:bidi="en-US"/>
        </w:rPr>
        <w:t xml:space="preserve">safety, </w:t>
      </w:r>
      <w:r w:rsidRPr="006E50FF">
        <w:rPr>
          <w:kern w:val="2"/>
          <w:lang w:bidi="en-US"/>
        </w:rPr>
        <w:t xml:space="preserve">exclusive of building finishes and furnishings, are exempted from the Licensing </w:t>
      </w:r>
      <w:r w:rsidRPr="006E50FF">
        <w:rPr>
          <w:spacing w:val="-4"/>
          <w:kern w:val="2"/>
          <w:lang w:bidi="en-US"/>
        </w:rPr>
        <w:t xml:space="preserve">Law, </w:t>
      </w:r>
      <w:r w:rsidRPr="006E50FF">
        <w:rPr>
          <w:kern w:val="2"/>
          <w:lang w:bidi="en-US"/>
        </w:rPr>
        <w:t xml:space="preserve">R.S.37:141 et seq. Alterations – Level 1, as defined by the International Building Code, which exceed $125,000 are exempted from the Licensing Law only if the applicant documents to the satisfaction of the state fire marshal that the project does not affect structural integrity or life </w:t>
      </w:r>
      <w:r w:rsidRPr="006E50FF">
        <w:rPr>
          <w:spacing w:val="-3"/>
          <w:kern w:val="2"/>
          <w:lang w:bidi="en-US"/>
        </w:rPr>
        <w:t>safety.</w:t>
      </w:r>
    </w:p>
    <w:p w14:paraId="6DF855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6AF431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52:1502 (September 2026).</w:t>
      </w:r>
    </w:p>
    <w:p w14:paraId="35203D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§1313.</w:t>
      </w:r>
      <w:r w:rsidRPr="006E50FF">
        <w:rPr>
          <w:b/>
          <w:kern w:val="2"/>
          <w:lang w:bidi="en-US"/>
        </w:rPr>
        <w:tab/>
        <w:t>Interpretation of R.S. 37:152(B)</w:t>
      </w:r>
    </w:p>
    <w:p w14:paraId="30E2A1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A.1.</w:t>
      </w:r>
      <w:r w:rsidRPr="006E50FF">
        <w:rPr>
          <w:kern w:val="2"/>
          <w:lang w:bidi="en-US"/>
        </w:rPr>
        <w:tab/>
        <w:t>Specifications, drawings, or other related documents will be deemed to have been prepared either by the architect or under the architect's responsible control only</w:t>
      </w:r>
      <w:r w:rsidRPr="006E50FF">
        <w:rPr>
          <w:spacing w:val="-2"/>
          <w:kern w:val="2"/>
          <w:lang w:bidi="en-US"/>
        </w:rPr>
        <w:t xml:space="preserve"> </w:t>
      </w:r>
      <w:r w:rsidRPr="006E50FF">
        <w:rPr>
          <w:kern w:val="2"/>
          <w:lang w:bidi="en-US"/>
        </w:rPr>
        <w:t>when:</w:t>
      </w:r>
    </w:p>
    <w:p w14:paraId="014FDAE2"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 - b.</w:t>
      </w:r>
      <w:r w:rsidRPr="006E50FF">
        <w:rPr>
          <w:kern w:val="2"/>
          <w:lang w:bidi="en-US"/>
        </w:rPr>
        <w:tab/>
        <w:t>…</w:t>
      </w:r>
    </w:p>
    <w:p w14:paraId="6F8CB50A"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c.</w:t>
      </w:r>
      <w:r w:rsidRPr="006E50FF">
        <w:rPr>
          <w:kern w:val="2"/>
          <w:lang w:bidi="en-US"/>
        </w:rPr>
        <w:tab/>
        <w:t>the architect shall maintain evidence for a minimum of five years of the architect's responsible control including correspondence, time records, check prints, telephone logs, site visit logs, research done for the project, calculations, changes, and written agreements with any persons preparing the documents outside of the architect's offices accepting professional responsibility for such work;</w:t>
      </w:r>
    </w:p>
    <w:p w14:paraId="040A2F88"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d. - e.</w:t>
      </w:r>
      <w:r w:rsidRPr="006E50FF">
        <w:rPr>
          <w:kern w:val="2"/>
          <w:lang w:bidi="en-US"/>
        </w:rPr>
        <w:tab/>
        <w:t>…</w:t>
      </w:r>
    </w:p>
    <w:p w14:paraId="15CE2CD5"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 xml:space="preserve">If an architect fails to maintain written documentation of the items set forth above, then the architect shall be considered to be in violation of R.S. 37:152, and the architect shall be subject to the disciplinary penalties provided in R.S. 37:153. </w:t>
      </w:r>
    </w:p>
    <w:p w14:paraId="219A92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B.1. - 2.</w:t>
      </w:r>
      <w:r w:rsidRPr="006E50FF">
        <w:rPr>
          <w:kern w:val="2"/>
          <w:lang w:bidi="en-US"/>
        </w:rPr>
        <w:tab/>
        <w:t>…</w:t>
      </w:r>
    </w:p>
    <w:p w14:paraId="41E904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234F40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29:565 (April 2003), amended LR 52:1502 (September 2026).</w:t>
      </w:r>
    </w:p>
    <w:p w14:paraId="3266528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§1315.</w:t>
      </w:r>
      <w:r w:rsidRPr="006E50FF">
        <w:rPr>
          <w:b/>
          <w:kern w:val="2"/>
          <w:lang w:bidi="en-US"/>
        </w:rPr>
        <w:tab/>
        <w:t>Continuing Education</w:t>
      </w:r>
    </w:p>
    <w:p w14:paraId="1A7A19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Purpose and Scope. These rules provide for a continuing education program to ensure that all architects remain informed of those technical and professional subjects necessary to safeguard life, health, and promote the public welfare. These rules shall apply to all architects practicing architecture in this</w:t>
      </w:r>
      <w:r w:rsidRPr="006E50FF">
        <w:rPr>
          <w:spacing w:val="-4"/>
          <w:kern w:val="2"/>
          <w:lang w:bidi="en-US"/>
        </w:rPr>
        <w:t xml:space="preserve"> </w:t>
      </w:r>
      <w:r w:rsidRPr="006E50FF">
        <w:rPr>
          <w:kern w:val="2"/>
          <w:lang w:bidi="en-US"/>
        </w:rPr>
        <w:t>state.</w:t>
      </w:r>
    </w:p>
    <w:p w14:paraId="592017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w:t>
      </w:r>
      <w:r w:rsidRPr="006E50FF">
        <w:rPr>
          <w:kern w:val="2"/>
          <w:lang w:bidi="en-US"/>
        </w:rPr>
        <w:tab/>
        <w:t>Exemptions. An architect shall not be subject to these requirements</w:t>
      </w:r>
      <w:r w:rsidRPr="006E50FF">
        <w:rPr>
          <w:spacing w:val="-2"/>
          <w:kern w:val="2"/>
          <w:lang w:bidi="en-US"/>
        </w:rPr>
        <w:t xml:space="preserve"> </w:t>
      </w:r>
      <w:r w:rsidRPr="006E50FF">
        <w:rPr>
          <w:kern w:val="2"/>
          <w:lang w:bidi="en-US"/>
        </w:rPr>
        <w:t>if:</w:t>
      </w:r>
    </w:p>
    <w:p w14:paraId="3F32C5DF"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the architect is newly registered architect during their initial year of</w:t>
      </w:r>
      <w:r w:rsidRPr="006E50FF">
        <w:rPr>
          <w:spacing w:val="-3"/>
          <w:kern w:val="2"/>
          <w:lang w:bidi="en-US"/>
        </w:rPr>
        <w:t xml:space="preserve"> </w:t>
      </w:r>
      <w:r w:rsidRPr="006E50FF">
        <w:rPr>
          <w:kern w:val="2"/>
          <w:lang w:bidi="en-US"/>
        </w:rPr>
        <w:t>registration;</w:t>
      </w:r>
    </w:p>
    <w:p w14:paraId="19DDC83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the architect has been granted emeritus status; or</w:t>
      </w:r>
    </w:p>
    <w:p w14:paraId="6C56B56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 xml:space="preserve">the architect otherwise meets all renewal requirements and is called to active military service, has a serious medical condition, or can demonstrate to the board </w:t>
      </w:r>
      <w:r w:rsidRPr="006E50FF">
        <w:rPr>
          <w:iCs/>
          <w:color w:val="000000"/>
          <w:kern w:val="2"/>
          <w:lang w:bidi="en-US"/>
        </w:rPr>
        <w:t>other like non-military hardship</w:t>
      </w:r>
      <w:r w:rsidRPr="006E50FF">
        <w:rPr>
          <w:kern w:val="2"/>
          <w:lang w:bidi="en-US"/>
        </w:rPr>
        <w:t>, then upon the board’s so finding, the architect may be excused from some or all of these requirements.</w:t>
      </w:r>
    </w:p>
    <w:p w14:paraId="557A1E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C.</w:t>
      </w:r>
      <w:r w:rsidRPr="006E50FF">
        <w:rPr>
          <w:kern w:val="2"/>
          <w:lang w:bidi="en-US"/>
        </w:rPr>
        <w:tab/>
        <w:t>Definitions</w:t>
      </w:r>
    </w:p>
    <w:p w14:paraId="4901B40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AIA</w:t>
      </w:r>
      <w:r w:rsidRPr="006E50FF">
        <w:rPr>
          <w:kern w:val="2"/>
          <w:lang w:bidi="en-US"/>
        </w:rPr>
        <w:t>—the American Institute of Architects.</w:t>
      </w:r>
    </w:p>
    <w:p w14:paraId="61645E63"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AIA/CES</w:t>
      </w:r>
      <w:r w:rsidRPr="006E50FF">
        <w:rPr>
          <w:kern w:val="2"/>
          <w:lang w:bidi="en-US"/>
        </w:rPr>
        <w:t>—the continuing education system developed by AIA to record professional learning as a mandatory requirement for membership in the AIA.</w:t>
      </w:r>
    </w:p>
    <w:p w14:paraId="6285E0BE"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ARE</w:t>
      </w:r>
      <w:r w:rsidRPr="006E50FF">
        <w:rPr>
          <w:kern w:val="2"/>
          <w:lang w:bidi="en-US"/>
        </w:rPr>
        <w:t>—the Architect Registration Examination prepared by the National Council of Architectural Registration Boards.</w:t>
      </w:r>
    </w:p>
    <w:p w14:paraId="450BBEA0"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Board</w:t>
      </w:r>
      <w:r w:rsidRPr="006E50FF">
        <w:rPr>
          <w:kern w:val="2"/>
          <w:lang w:bidi="en-US"/>
        </w:rPr>
        <w:t xml:space="preserve">—the Louisiana State Board of Architectural Examiners, 9625 Fenway </w:t>
      </w:r>
      <w:r w:rsidRPr="006E50FF">
        <w:rPr>
          <w:spacing w:val="-3"/>
          <w:kern w:val="2"/>
          <w:lang w:bidi="en-US"/>
        </w:rPr>
        <w:t xml:space="preserve">Avenue, </w:t>
      </w:r>
      <w:r w:rsidRPr="006E50FF">
        <w:rPr>
          <w:kern w:val="2"/>
          <w:lang w:bidi="en-US"/>
        </w:rPr>
        <w:t xml:space="preserve">Suite B, Baton Rouge, LA 70809, telephone: (225) 925-4802, website: </w:t>
      </w:r>
      <w:r w:rsidRPr="006E50FF">
        <w:rPr>
          <w:color w:val="000000"/>
          <w:kern w:val="2"/>
          <w:lang w:bidi="en-US"/>
        </w:rPr>
        <w:t>http://www.lsbae.com.</w:t>
      </w:r>
    </w:p>
    <w:p w14:paraId="6E9CE5A6"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Continuing Education (CE)</w:t>
      </w:r>
      <w:r w:rsidRPr="006E50FF">
        <w:rPr>
          <w:kern w:val="2"/>
          <w:lang w:bidi="en-US"/>
        </w:rPr>
        <w:t xml:space="preserve">—continuing education is a post-licensure learning that enables a registered architect to increase or update knowledge of and competence in technical and professional subjects related to the practice of architecture to safeguard the public’s health, </w:t>
      </w:r>
      <w:r w:rsidRPr="006E50FF">
        <w:rPr>
          <w:spacing w:val="-3"/>
          <w:kern w:val="2"/>
          <w:lang w:bidi="en-US"/>
        </w:rPr>
        <w:t xml:space="preserve">safety, </w:t>
      </w:r>
      <w:r w:rsidRPr="006E50FF">
        <w:rPr>
          <w:kern w:val="2"/>
          <w:lang w:bidi="en-US"/>
        </w:rPr>
        <w:t>and welfare.</w:t>
      </w:r>
    </w:p>
    <w:p w14:paraId="1423163B"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Continuing Education Hour (CEH)</w:t>
      </w:r>
      <w:r w:rsidRPr="006E50FF">
        <w:rPr>
          <w:kern w:val="2"/>
          <w:lang w:bidi="en-US"/>
        </w:rPr>
        <w:t>—one continuous instructional hour (50 to 60 minutes of contact) spent in structured educational activities intended to increase or update the architect’s knowledge and competence in health, safety, and welfare subjects. If the provider of the structured educational activities prescribes a customary time for completion of such an activity, then such prescribed time shall, unless the board finds the prescribed time to be unreasonable, be accepted as the architect’s time for continuing education hour purposes irrespective of actual time spent on the activity.</w:t>
      </w:r>
    </w:p>
    <w:p w14:paraId="211891E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color w:val="000000"/>
          <w:kern w:val="2"/>
          <w:lang w:bidi="en-US"/>
        </w:rPr>
        <w:t>Health, Safety, and Welfare (HSW) Subjects</w:t>
      </w:r>
      <w:r w:rsidRPr="006E50FF">
        <w:rPr>
          <w:kern w:val="2"/>
          <w:lang w:bidi="en-US"/>
        </w:rPr>
        <w:t>—technical and professional subjects related to the practice of architecture that the board deems appropriate to safeguard the public and that are within the following continuing education subject areas necessary for the proper evaluation, design, construction, and utilization of buildings and the built environment.</w:t>
      </w:r>
    </w:p>
    <w:p w14:paraId="46A214CC"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 - j.</w:t>
      </w:r>
      <w:r w:rsidRPr="006E50FF">
        <w:rPr>
          <w:kern w:val="2"/>
          <w:lang w:bidi="en-US"/>
        </w:rPr>
        <w:tab/>
        <w:t>…</w:t>
      </w:r>
    </w:p>
    <w:p w14:paraId="5304B3B2"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NCARB</w:t>
      </w:r>
      <w:r w:rsidRPr="006E50FF">
        <w:rPr>
          <w:kern w:val="2"/>
          <w:lang w:bidi="en-US"/>
        </w:rPr>
        <w:t>—the National Council of Architectural Registration Boards.</w:t>
      </w:r>
    </w:p>
    <w:p w14:paraId="766E887B"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Non-Resident Architect</w:t>
      </w:r>
      <w:r w:rsidRPr="006E50FF">
        <w:rPr>
          <w:kern w:val="2"/>
          <w:lang w:bidi="en-US"/>
        </w:rPr>
        <w:t>—an architect registered by the board and residing outside Louisiana.</w:t>
      </w:r>
    </w:p>
    <w:p w14:paraId="0976C834"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Resident Architect</w:t>
      </w:r>
      <w:r w:rsidRPr="006E50FF">
        <w:rPr>
          <w:kern w:val="2"/>
          <w:lang w:bidi="en-US"/>
        </w:rPr>
        <w:t>—an architect residing in this state.</w:t>
      </w:r>
    </w:p>
    <w:p w14:paraId="2CEB2D90"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Sponsor</w:t>
      </w:r>
      <w:r w:rsidRPr="006E50FF">
        <w:rPr>
          <w:kern w:val="2"/>
          <w:lang w:bidi="en-US"/>
        </w:rPr>
        <w:t>—an individual, organization, association, institution or other entity which offers an educational activity for the purpose of fulfilling the continuing education requirements of these</w:t>
      </w:r>
      <w:r w:rsidRPr="006E50FF">
        <w:rPr>
          <w:spacing w:val="-4"/>
          <w:kern w:val="2"/>
          <w:lang w:bidi="en-US"/>
        </w:rPr>
        <w:t xml:space="preserve"> </w:t>
      </w:r>
      <w:r w:rsidRPr="006E50FF">
        <w:rPr>
          <w:kern w:val="2"/>
          <w:lang w:bidi="en-US"/>
        </w:rPr>
        <w:t>rules.</w:t>
      </w:r>
    </w:p>
    <w:p w14:paraId="553FA96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Structured Educational Activities</w:t>
      </w:r>
      <w:r w:rsidRPr="006E50FF">
        <w:rPr>
          <w:kern w:val="2"/>
          <w:lang w:bidi="en-US"/>
        </w:rPr>
        <w:t xml:space="preserve">—educational activities in which at least 75 percent of an activity’s content and instructional time must be devoted to HSW subjects related to the practice of architecture, including courses of study or other activities under the areas identified as HSW subjects and </w:t>
      </w:r>
      <w:r w:rsidRPr="006E50FF">
        <w:rPr>
          <w:kern w:val="2"/>
          <w:lang w:bidi="en-US"/>
        </w:rPr>
        <w:lastRenderedPageBreak/>
        <w:t>provided by qualified individuals or organizations whether delivered by direct contact or distance learning</w:t>
      </w:r>
      <w:r w:rsidRPr="006E50FF">
        <w:rPr>
          <w:spacing w:val="-7"/>
          <w:kern w:val="2"/>
          <w:lang w:bidi="en-US"/>
        </w:rPr>
        <w:t xml:space="preserve"> </w:t>
      </w:r>
      <w:r w:rsidRPr="006E50FF">
        <w:rPr>
          <w:kern w:val="2"/>
          <w:lang w:bidi="en-US"/>
        </w:rPr>
        <w:t>methods.</w:t>
      </w:r>
    </w:p>
    <w:p w14:paraId="0652C8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D.</w:t>
      </w:r>
      <w:r w:rsidRPr="006E50FF">
        <w:rPr>
          <w:kern w:val="2"/>
          <w:lang w:bidi="en-US"/>
        </w:rPr>
        <w:tab/>
        <w:t>Continuing Education</w:t>
      </w:r>
      <w:r w:rsidRPr="006E50FF">
        <w:rPr>
          <w:spacing w:val="-3"/>
          <w:kern w:val="2"/>
          <w:lang w:bidi="en-US"/>
        </w:rPr>
        <w:t xml:space="preserve"> </w:t>
      </w:r>
      <w:r w:rsidRPr="006E50FF">
        <w:rPr>
          <w:kern w:val="2"/>
          <w:lang w:bidi="en-US"/>
        </w:rPr>
        <w:t>Requirements</w:t>
      </w:r>
    </w:p>
    <w:p w14:paraId="30D67EE7" w14:textId="77777777" w:rsidR="006E50FF" w:rsidRPr="006E50FF" w:rsidRDefault="006E50FF" w:rsidP="006E50FF">
      <w:pPr>
        <w:tabs>
          <w:tab w:val="left" w:pos="720"/>
          <w:tab w:val="left" w:pos="979"/>
          <w:tab w:val="left" w:pos="1152"/>
        </w:tabs>
        <w:ind w:firstLine="360"/>
        <w:jc w:val="both"/>
        <w:outlineLvl w:val="4"/>
        <w:rPr>
          <w:spacing w:val="-3"/>
          <w:kern w:val="2"/>
          <w:lang w:bidi="en-US"/>
        </w:rPr>
      </w:pPr>
      <w:r w:rsidRPr="006E50FF">
        <w:rPr>
          <w:kern w:val="2"/>
          <w:lang w:bidi="en-US"/>
        </w:rPr>
        <w:t>1.</w:t>
      </w:r>
      <w:r w:rsidRPr="006E50FF">
        <w:rPr>
          <w:kern w:val="2"/>
          <w:lang w:bidi="en-US"/>
        </w:rPr>
        <w:tab/>
        <w:t xml:space="preserve">In addition to all other requirements for license renewal, an architect must complete a minimum of 12 continuing education hours each calendar year or be exempt from these continuing education requirements as provided above. Failure to comply with these requirements may result in non-renewal of the architect’s license or other discipline as set forth </w:t>
      </w:r>
      <w:r w:rsidRPr="006E50FF">
        <w:rPr>
          <w:spacing w:val="-3"/>
          <w:kern w:val="2"/>
          <w:lang w:bidi="en-US"/>
        </w:rPr>
        <w:t>below.</w:t>
      </w:r>
    </w:p>
    <w:p w14:paraId="2FCF36DD"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 xml:space="preserve">Continuing Education Hours. Continuing education hours must be completed in </w:t>
      </w:r>
      <w:r w:rsidRPr="006E50FF">
        <w:rPr>
          <w:color w:val="000000"/>
          <w:kern w:val="2"/>
          <w:lang w:bidi="en-US"/>
        </w:rPr>
        <w:t xml:space="preserve">HSW </w:t>
      </w:r>
      <w:r w:rsidRPr="006E50FF">
        <w:rPr>
          <w:kern w:val="2"/>
          <w:lang w:bidi="en-US"/>
        </w:rPr>
        <w:t>subjects acquired in structured educational activities. Excess</w:t>
      </w:r>
      <w:r w:rsidRPr="006E50FF">
        <w:rPr>
          <w:color w:val="EE0000"/>
          <w:kern w:val="2"/>
          <w:lang w:bidi="en-US"/>
        </w:rPr>
        <w:t xml:space="preserve"> </w:t>
      </w:r>
      <w:r w:rsidRPr="006E50FF">
        <w:rPr>
          <w:kern w:val="2"/>
          <w:lang w:bidi="en-US"/>
        </w:rPr>
        <w:t xml:space="preserve">continuing education hours may not be </w:t>
      </w:r>
      <w:r w:rsidRPr="006E50FF">
        <w:rPr>
          <w:color w:val="000000"/>
          <w:kern w:val="2"/>
          <w:lang w:bidi="en-US"/>
        </w:rPr>
        <w:t>credited</w:t>
      </w:r>
      <w:r w:rsidRPr="006E50FF">
        <w:rPr>
          <w:kern w:val="2"/>
          <w:lang w:bidi="en-US"/>
        </w:rPr>
        <w:t xml:space="preserve"> to a future calendar year. </w:t>
      </w:r>
    </w:p>
    <w:p w14:paraId="3B7899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E.</w:t>
      </w:r>
      <w:r w:rsidRPr="006E50FF">
        <w:rPr>
          <w:kern w:val="2"/>
          <w:lang w:bidi="en-US"/>
        </w:rPr>
        <w:tab/>
        <w:t>Acceptable Educational</w:t>
      </w:r>
      <w:r w:rsidRPr="006E50FF">
        <w:rPr>
          <w:spacing w:val="-11"/>
          <w:kern w:val="2"/>
          <w:lang w:bidi="en-US"/>
        </w:rPr>
        <w:t xml:space="preserve"> </w:t>
      </w:r>
      <w:r w:rsidRPr="006E50FF">
        <w:rPr>
          <w:kern w:val="2"/>
          <w:lang w:bidi="en-US"/>
        </w:rPr>
        <w:t>Activities</w:t>
      </w:r>
    </w:p>
    <w:p w14:paraId="1C943641"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w:t>
      </w:r>
    </w:p>
    <w:p w14:paraId="7CF22DBB"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Acceptable continuing educational activities in HSW subjects include the</w:t>
      </w:r>
      <w:r w:rsidRPr="006E50FF">
        <w:rPr>
          <w:spacing w:val="-5"/>
          <w:kern w:val="2"/>
          <w:lang w:bidi="en-US"/>
        </w:rPr>
        <w:t xml:space="preserve"> </w:t>
      </w:r>
      <w:r w:rsidRPr="006E50FF">
        <w:rPr>
          <w:kern w:val="2"/>
          <w:lang w:bidi="en-US"/>
        </w:rPr>
        <w:t>following:</w:t>
      </w:r>
    </w:p>
    <w:p w14:paraId="71D16221"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w:t>
      </w:r>
      <w:r w:rsidRPr="006E50FF">
        <w:rPr>
          <w:kern w:val="2"/>
          <w:lang w:bidi="en-US"/>
        </w:rPr>
        <w:tab/>
        <w:t>…</w:t>
      </w:r>
    </w:p>
    <w:p w14:paraId="08AE8E4B"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b.</w:t>
      </w:r>
      <w:r w:rsidRPr="006E50FF">
        <w:rPr>
          <w:kern w:val="2"/>
          <w:lang w:bidi="en-US"/>
        </w:rPr>
        <w:tab/>
        <w:t xml:space="preserve">successfully completing health, </w:t>
      </w:r>
      <w:r w:rsidRPr="006E50FF">
        <w:rPr>
          <w:spacing w:val="-3"/>
          <w:kern w:val="2"/>
          <w:lang w:bidi="en-US"/>
        </w:rPr>
        <w:t xml:space="preserve">safety, </w:t>
      </w:r>
      <w:r w:rsidRPr="006E50FF">
        <w:rPr>
          <w:kern w:val="2"/>
          <w:lang w:bidi="en-US"/>
        </w:rPr>
        <w:t xml:space="preserve">and welfare subject tutorials, short courses, correspondence courses, televised courses, video-taped courses, </w:t>
      </w:r>
      <w:bookmarkStart w:id="63" w:name="_Hlk206233831"/>
      <w:r w:rsidRPr="006E50FF">
        <w:rPr>
          <w:kern w:val="2"/>
          <w:lang w:bidi="en-US"/>
        </w:rPr>
        <w:t xml:space="preserve">online programs, on-demand e-learning programs, on-demand print/other programs for which summative assessments are completed, or blended learning programs </w:t>
      </w:r>
      <w:bookmarkEnd w:id="63"/>
      <w:r w:rsidRPr="006E50FF">
        <w:rPr>
          <w:kern w:val="2"/>
          <w:lang w:bidi="en-US"/>
        </w:rPr>
        <w:t>offered by a provider mentioned in the preceding</w:t>
      </w:r>
      <w:r w:rsidRPr="006E50FF">
        <w:rPr>
          <w:spacing w:val="-8"/>
          <w:kern w:val="2"/>
          <w:lang w:bidi="en-US"/>
        </w:rPr>
        <w:t xml:space="preserve"> </w:t>
      </w:r>
      <w:r w:rsidRPr="006E50FF">
        <w:rPr>
          <w:kern w:val="2"/>
          <w:lang w:bidi="en-US"/>
        </w:rPr>
        <w:t>Subparagraph;</w:t>
      </w:r>
    </w:p>
    <w:p w14:paraId="2B9581EE"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c. - h.</w:t>
      </w:r>
      <w:r w:rsidRPr="006E50FF">
        <w:rPr>
          <w:kern w:val="2"/>
          <w:lang w:bidi="en-US"/>
        </w:rPr>
        <w:tab/>
        <w:t xml:space="preserve">… </w:t>
      </w:r>
    </w:p>
    <w:p w14:paraId="21A64128"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Continuing educational activities may be acquired at any</w:t>
      </w:r>
      <w:r w:rsidRPr="006E50FF">
        <w:rPr>
          <w:spacing w:val="-14"/>
          <w:kern w:val="2"/>
          <w:lang w:bidi="en-US"/>
        </w:rPr>
        <w:t xml:space="preserve"> </w:t>
      </w:r>
      <w:r w:rsidRPr="006E50FF">
        <w:rPr>
          <w:kern w:val="2"/>
          <w:lang w:bidi="en-US"/>
        </w:rPr>
        <w:t>location, within Louisiana or elsewhere.</w:t>
      </w:r>
    </w:p>
    <w:p w14:paraId="021E7021" w14:textId="77777777" w:rsidR="006E50FF" w:rsidRPr="006E50FF" w:rsidRDefault="006E50FF" w:rsidP="006E50FF">
      <w:pPr>
        <w:tabs>
          <w:tab w:val="left" w:pos="720"/>
          <w:tab w:val="left" w:pos="1080"/>
          <w:tab w:val="left" w:pos="1152"/>
        </w:tabs>
        <w:ind w:firstLine="360"/>
        <w:jc w:val="both"/>
        <w:outlineLvl w:val="4"/>
        <w:rPr>
          <w:kern w:val="2"/>
          <w:lang w:bidi="en-US"/>
        </w:rPr>
      </w:pPr>
      <w:r w:rsidRPr="006E50FF">
        <w:rPr>
          <w:kern w:val="2"/>
          <w:lang w:bidi="en-US"/>
        </w:rPr>
        <w:t>4. - 4.e.</w:t>
      </w:r>
      <w:r w:rsidRPr="006E50FF">
        <w:rPr>
          <w:kern w:val="2"/>
          <w:lang w:bidi="en-US"/>
        </w:rPr>
        <w:tab/>
        <w:t>…</w:t>
      </w:r>
    </w:p>
    <w:p w14:paraId="64C058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F.</w:t>
      </w:r>
      <w:r w:rsidRPr="006E50FF">
        <w:rPr>
          <w:kern w:val="2"/>
          <w:lang w:bidi="en-US"/>
        </w:rPr>
        <w:tab/>
        <w:t>Number of Continuing Education Hours</w:t>
      </w:r>
      <w:r w:rsidRPr="006E50FF">
        <w:rPr>
          <w:spacing w:val="-20"/>
          <w:kern w:val="2"/>
          <w:lang w:bidi="en-US"/>
        </w:rPr>
        <w:t xml:space="preserve"> </w:t>
      </w:r>
      <w:r w:rsidRPr="006E50FF">
        <w:rPr>
          <w:kern w:val="2"/>
          <w:lang w:bidi="en-US"/>
        </w:rPr>
        <w:t>Earned</w:t>
      </w:r>
    </w:p>
    <w:p w14:paraId="4205E31F"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Continuing education credits shall be measured in continuing education hours and shall be computed as follows.</w:t>
      </w:r>
    </w:p>
    <w:p w14:paraId="76E6E743"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w:t>
      </w:r>
      <w:r w:rsidRPr="006E50FF">
        <w:rPr>
          <w:kern w:val="2"/>
          <w:lang w:bidi="en-US"/>
        </w:rPr>
        <w:tab/>
        <w:t>…</w:t>
      </w:r>
    </w:p>
    <w:p w14:paraId="1342EEBA"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b.</w:t>
      </w:r>
      <w:r w:rsidRPr="006E50FF">
        <w:rPr>
          <w:kern w:val="2"/>
          <w:lang w:bidi="en-US"/>
        </w:rPr>
        <w:tab/>
        <w:t>Successfully completing tutorials, short courses, correspondence courses, televised or video-taped courses, monographs, online programs, on demand e-learning programs, on-demand print/other programs for which summative assessments are completed, blended learning programs, and other self-study courses shall constitute the continuing education hours recommended by the program sponsor</w:t>
      </w:r>
    </w:p>
    <w:p w14:paraId="09CD12F1"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c.</w:t>
      </w:r>
      <w:r w:rsidRPr="006E50FF">
        <w:rPr>
          <w:kern w:val="2"/>
          <w:lang w:bidi="en-US"/>
        </w:rPr>
        <w:tab/>
        <w:t>…</w:t>
      </w:r>
    </w:p>
    <w:p w14:paraId="1B5C51F6" w14:textId="77777777" w:rsidR="006E50FF" w:rsidRPr="006E50FF" w:rsidRDefault="006E50FF" w:rsidP="006E50FF">
      <w:pPr>
        <w:tabs>
          <w:tab w:val="left" w:pos="907"/>
        </w:tabs>
        <w:ind w:firstLine="547"/>
        <w:jc w:val="both"/>
        <w:outlineLvl w:val="5"/>
        <w:rPr>
          <w:spacing w:val="-11"/>
          <w:kern w:val="2"/>
          <w:lang w:bidi="en-US"/>
        </w:rPr>
      </w:pPr>
      <w:r w:rsidRPr="006E50FF">
        <w:rPr>
          <w:kern w:val="2"/>
          <w:lang w:bidi="en-US"/>
        </w:rPr>
        <w:t>d.</w:t>
      </w:r>
      <w:r w:rsidRPr="006E50FF">
        <w:rPr>
          <w:kern w:val="2"/>
          <w:lang w:bidi="en-US"/>
        </w:rPr>
        <w:tab/>
        <w:t>Authoring a published paper, article or book shall be equivalent of twelve continuing education hours</w:t>
      </w:r>
      <w:r w:rsidRPr="006E50FF">
        <w:rPr>
          <w:spacing w:val="-11"/>
          <w:kern w:val="2"/>
          <w:lang w:bidi="en-US"/>
        </w:rPr>
        <w:t>.</w:t>
      </w:r>
    </w:p>
    <w:p w14:paraId="3FC11C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F.1.e. - F.2.</w:t>
      </w:r>
      <w:r w:rsidRPr="006E50FF">
        <w:rPr>
          <w:kern w:val="2"/>
          <w:lang w:bidi="en-US"/>
        </w:rPr>
        <w:tab/>
        <w:t>…</w:t>
      </w:r>
    </w:p>
    <w:p w14:paraId="6E7D2399"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 xml:space="preserve">No credit may be earned for activities of less than one CEH in duration. For activities lasting longer than one CEH, fractional CEH may be earned. As examples, where appropriate, 1 and one-half CEH, 2 and one-fourth CEH, etc. may be earned. </w:t>
      </w:r>
    </w:p>
    <w:p w14:paraId="51CB92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G.</w:t>
      </w:r>
      <w:r w:rsidRPr="006E50FF">
        <w:rPr>
          <w:kern w:val="2"/>
          <w:lang w:bidi="en-US"/>
        </w:rPr>
        <w:tab/>
        <w:t>Reporting, Record Keeping and</w:t>
      </w:r>
      <w:r w:rsidRPr="006E50FF">
        <w:rPr>
          <w:spacing w:val="-12"/>
          <w:kern w:val="2"/>
          <w:lang w:bidi="en-US"/>
        </w:rPr>
        <w:t xml:space="preserve"> </w:t>
      </w:r>
      <w:r w:rsidRPr="006E50FF">
        <w:rPr>
          <w:kern w:val="2"/>
          <w:lang w:bidi="en-US"/>
        </w:rPr>
        <w:t>Auditing</w:t>
      </w:r>
    </w:p>
    <w:p w14:paraId="09B4A4D8"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 xml:space="preserve">An architect shall complete and submit forms as required by the board certifying that the architect has completed the required continuing education hours. The board requires that each architect complete the language on the renewal application pertaining to that architect's continuing education activities during the calendar year immediately preceding the license renewal period. Any untrue or false statement or the use thereof with respect to course attendance or any other aspect of continuing educational </w:t>
      </w:r>
      <w:r w:rsidRPr="006E50FF">
        <w:rPr>
          <w:kern w:val="2"/>
          <w:lang w:bidi="en-US"/>
        </w:rPr>
        <w:t>activity is fraud or misrepresentation and will subject the architect to license revocation or other disciplinary</w:t>
      </w:r>
      <w:r w:rsidRPr="006E50FF">
        <w:rPr>
          <w:spacing w:val="-7"/>
          <w:kern w:val="2"/>
          <w:lang w:bidi="en-US"/>
        </w:rPr>
        <w:t xml:space="preserve"> </w:t>
      </w:r>
      <w:r w:rsidRPr="006E50FF">
        <w:rPr>
          <w:kern w:val="2"/>
          <w:lang w:bidi="en-US"/>
        </w:rPr>
        <w:t>action.</w:t>
      </w:r>
    </w:p>
    <w:p w14:paraId="72249EAC"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r>
      <w:r w:rsidRPr="006E50FF">
        <w:rPr>
          <w:spacing w:val="-6"/>
          <w:kern w:val="2"/>
          <w:lang w:bidi="en-US"/>
        </w:rPr>
        <w:t xml:space="preserve">To </w:t>
      </w:r>
      <w:r w:rsidRPr="006E50FF">
        <w:rPr>
          <w:kern w:val="2"/>
          <w:lang w:bidi="en-US"/>
        </w:rPr>
        <w:t>verify attendance each attendee shall obtain an attendance certificate from the program sponsor. Additional evidence may include but is not limited to attendance receipts, canceled checks, and sponsor's list of attendees (signed</w:t>
      </w:r>
      <w:r w:rsidRPr="006E50FF">
        <w:rPr>
          <w:spacing w:val="12"/>
          <w:kern w:val="2"/>
          <w:lang w:bidi="en-US"/>
        </w:rPr>
        <w:t xml:space="preserve"> </w:t>
      </w:r>
      <w:r w:rsidRPr="006E50FF">
        <w:rPr>
          <w:kern w:val="2"/>
          <w:lang w:bidi="en-US"/>
        </w:rPr>
        <w:t>by</w:t>
      </w:r>
      <w:r w:rsidRPr="006E50FF">
        <w:rPr>
          <w:spacing w:val="8"/>
          <w:kern w:val="2"/>
          <w:lang w:bidi="en-US"/>
        </w:rPr>
        <w:t xml:space="preserve"> </w:t>
      </w:r>
      <w:r w:rsidRPr="006E50FF">
        <w:rPr>
          <w:kern w:val="2"/>
          <w:lang w:bidi="en-US"/>
        </w:rPr>
        <w:t>a</w:t>
      </w:r>
      <w:r w:rsidRPr="006E50FF">
        <w:rPr>
          <w:spacing w:val="12"/>
          <w:kern w:val="2"/>
          <w:lang w:bidi="en-US"/>
        </w:rPr>
        <w:t xml:space="preserve"> </w:t>
      </w:r>
      <w:r w:rsidRPr="006E50FF">
        <w:rPr>
          <w:kern w:val="2"/>
          <w:lang w:bidi="en-US"/>
        </w:rPr>
        <w:t>responsible</w:t>
      </w:r>
      <w:r w:rsidRPr="006E50FF">
        <w:rPr>
          <w:spacing w:val="11"/>
          <w:kern w:val="2"/>
          <w:lang w:bidi="en-US"/>
        </w:rPr>
        <w:t xml:space="preserve"> </w:t>
      </w:r>
      <w:r w:rsidRPr="006E50FF">
        <w:rPr>
          <w:kern w:val="2"/>
          <w:lang w:bidi="en-US"/>
        </w:rPr>
        <w:t>person</w:t>
      </w:r>
      <w:r w:rsidRPr="006E50FF">
        <w:rPr>
          <w:spacing w:val="11"/>
          <w:kern w:val="2"/>
          <w:lang w:bidi="en-US"/>
        </w:rPr>
        <w:t xml:space="preserve"> </w:t>
      </w:r>
      <w:r w:rsidRPr="006E50FF">
        <w:rPr>
          <w:kern w:val="2"/>
          <w:lang w:bidi="en-US"/>
        </w:rPr>
        <w:t>in</w:t>
      </w:r>
      <w:r w:rsidRPr="006E50FF">
        <w:rPr>
          <w:spacing w:val="11"/>
          <w:kern w:val="2"/>
          <w:lang w:bidi="en-US"/>
        </w:rPr>
        <w:t xml:space="preserve"> </w:t>
      </w:r>
      <w:r w:rsidRPr="006E50FF">
        <w:rPr>
          <w:kern w:val="2"/>
          <w:lang w:bidi="en-US"/>
        </w:rPr>
        <w:t>charge</w:t>
      </w:r>
      <w:r w:rsidRPr="006E50FF">
        <w:rPr>
          <w:spacing w:val="12"/>
          <w:kern w:val="2"/>
          <w:lang w:bidi="en-US"/>
        </w:rPr>
        <w:t xml:space="preserve"> </w:t>
      </w:r>
      <w:r w:rsidRPr="006E50FF">
        <w:rPr>
          <w:kern w:val="2"/>
          <w:lang w:bidi="en-US"/>
        </w:rPr>
        <w:t>of</w:t>
      </w:r>
      <w:r w:rsidRPr="006E50FF">
        <w:rPr>
          <w:spacing w:val="9"/>
          <w:kern w:val="2"/>
          <w:lang w:bidi="en-US"/>
        </w:rPr>
        <w:t xml:space="preserve"> </w:t>
      </w:r>
      <w:r w:rsidRPr="006E50FF">
        <w:rPr>
          <w:kern w:val="2"/>
          <w:lang w:bidi="en-US"/>
        </w:rPr>
        <w:t>the</w:t>
      </w:r>
      <w:r w:rsidRPr="006E50FF">
        <w:rPr>
          <w:spacing w:val="12"/>
          <w:kern w:val="2"/>
          <w:lang w:bidi="en-US"/>
        </w:rPr>
        <w:t xml:space="preserve"> </w:t>
      </w:r>
      <w:r w:rsidRPr="006E50FF">
        <w:rPr>
          <w:kern w:val="2"/>
          <w:lang w:bidi="en-US"/>
        </w:rPr>
        <w:t xml:space="preserve">activity). A log showing the activity claimed, sponsoring organization, location, duration, etc., shall be supported by other evidence. Evidence of compliance shall be retained by the architect for six years </w:t>
      </w:r>
      <w:bookmarkStart w:id="64" w:name="_Hlk206235646"/>
      <w:r w:rsidRPr="006E50FF">
        <w:rPr>
          <w:kern w:val="2"/>
          <w:lang w:bidi="en-US"/>
        </w:rPr>
        <w:t>after the end of the period for which renewal was requested</w:t>
      </w:r>
      <w:bookmarkEnd w:id="64"/>
      <w:r w:rsidRPr="006E50FF">
        <w:rPr>
          <w:kern w:val="2"/>
          <w:lang w:bidi="en-US"/>
        </w:rPr>
        <w:t>.</w:t>
      </w:r>
    </w:p>
    <w:p w14:paraId="01E83322"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w:t>
      </w:r>
    </w:p>
    <w:p w14:paraId="43FE6290"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4.</w:t>
      </w:r>
      <w:r w:rsidRPr="006E50FF">
        <w:rPr>
          <w:kern w:val="2"/>
          <w:lang w:bidi="en-US"/>
        </w:rPr>
        <w:tab/>
        <w:t>The board may disallow claimed credit. If the board disallows any continuing education hours, the architect shall have 60 days from notice of such disallowance either to provide further evidence of having completed the continuing education hours disallowed or to remedy the disallowance by completing the required number of continuing education hours (such continuing education hours shall not be used again for the next calendar year). If the board finds, after proper notice and hearing, that the architect willfully disregarded these requirements or falsified documentation of required continuing education hours, the architect may be subject to disciplinary action in accordance with the board regulations.</w:t>
      </w:r>
    </w:p>
    <w:p w14:paraId="11180589"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5.</w:t>
      </w:r>
      <w:r w:rsidRPr="006E50FF">
        <w:rPr>
          <w:kern w:val="2"/>
          <w:lang w:bidi="en-US"/>
        </w:rPr>
        <w:tab/>
        <w:t>Documentation of reported continuing education hours shall be maintained by the architect for six years after the end of the period for which renewal was requested.</w:t>
      </w:r>
    </w:p>
    <w:p w14:paraId="61990D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H.</w:t>
      </w:r>
      <w:r w:rsidRPr="006E50FF">
        <w:rPr>
          <w:kern w:val="2"/>
          <w:lang w:bidi="en-US"/>
        </w:rPr>
        <w:tab/>
        <w:t>Pre-Approval of</w:t>
      </w:r>
      <w:r w:rsidRPr="006E50FF">
        <w:rPr>
          <w:spacing w:val="-3"/>
          <w:kern w:val="2"/>
          <w:lang w:bidi="en-US"/>
        </w:rPr>
        <w:t xml:space="preserve"> </w:t>
      </w:r>
      <w:r w:rsidRPr="006E50FF">
        <w:rPr>
          <w:kern w:val="2"/>
          <w:lang w:bidi="en-US"/>
        </w:rPr>
        <w:t>Programs</w:t>
      </w:r>
    </w:p>
    <w:p w14:paraId="47A2BC9E"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 - 3.</w:t>
      </w:r>
      <w:r w:rsidRPr="006E50FF">
        <w:rPr>
          <w:kern w:val="2"/>
          <w:lang w:bidi="en-US"/>
        </w:rPr>
        <w:tab/>
        <w:t>…</w:t>
      </w:r>
    </w:p>
    <w:p w14:paraId="492AE1B3"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4.</w:t>
      </w:r>
      <w:r w:rsidRPr="006E50FF">
        <w:rPr>
          <w:kern w:val="2"/>
          <w:lang w:bidi="en-US"/>
        </w:rPr>
        <w:tab/>
        <w:t>The sponsor of a pre-approved program</w:t>
      </w:r>
      <w:r w:rsidRPr="006E50FF">
        <w:rPr>
          <w:spacing w:val="36"/>
          <w:kern w:val="2"/>
          <w:lang w:bidi="en-US"/>
        </w:rPr>
        <w:t xml:space="preserve"> </w:t>
      </w:r>
      <w:r w:rsidRPr="006E50FF">
        <w:rPr>
          <w:kern w:val="2"/>
          <w:lang w:bidi="en-US"/>
        </w:rPr>
        <w:t>may announce or indicate as</w:t>
      </w:r>
      <w:r w:rsidRPr="006E50FF">
        <w:rPr>
          <w:spacing w:val="1"/>
          <w:kern w:val="2"/>
          <w:lang w:bidi="en-US"/>
        </w:rPr>
        <w:t xml:space="preserve"> </w:t>
      </w:r>
      <w:r w:rsidRPr="006E50FF">
        <w:rPr>
          <w:kern w:val="2"/>
          <w:lang w:bidi="en-US"/>
        </w:rPr>
        <w:t>follows:</w:t>
      </w:r>
    </w:p>
    <w:p w14:paraId="0D2163E0" w14:textId="77777777" w:rsidR="006E50FF" w:rsidRPr="006E50FF" w:rsidRDefault="006E50FF" w:rsidP="006E50FF">
      <w:pPr>
        <w:tabs>
          <w:tab w:val="left" w:pos="720"/>
          <w:tab w:val="left" w:pos="979"/>
          <w:tab w:val="left" w:pos="1152"/>
        </w:tabs>
        <w:ind w:firstLine="360"/>
        <w:jc w:val="both"/>
        <w:outlineLvl w:val="4"/>
        <w:rPr>
          <w:kern w:val="2"/>
          <w:lang w:bidi="en-US"/>
        </w:rPr>
      </w:pPr>
    </w:p>
    <w:p w14:paraId="550145AA" w14:textId="77777777" w:rsidR="006E50FF" w:rsidRPr="006E50FF" w:rsidRDefault="006E50FF" w:rsidP="006E50FF">
      <w:pPr>
        <w:ind w:left="432" w:right="432"/>
        <w:jc w:val="both"/>
        <w:rPr>
          <w:noProof/>
          <w:sz w:val="16"/>
          <w:szCs w:val="16"/>
          <w:lang w:bidi="en-US"/>
        </w:rPr>
      </w:pPr>
      <w:r w:rsidRPr="006E50FF">
        <w:rPr>
          <w:noProof/>
          <w:sz w:val="16"/>
          <w:szCs w:val="16"/>
          <w:lang w:bidi="en-US"/>
        </w:rPr>
        <w:t>“This course has been approved by the Louisiana State Board of Architectural Examiners for a</w:t>
      </w:r>
      <w:r w:rsidRPr="006E50FF">
        <w:rPr>
          <w:noProof/>
          <w:spacing w:val="38"/>
          <w:sz w:val="16"/>
          <w:szCs w:val="16"/>
          <w:lang w:bidi="en-US"/>
        </w:rPr>
        <w:t xml:space="preserve"> </w:t>
      </w:r>
      <w:r w:rsidRPr="006E50FF">
        <w:rPr>
          <w:noProof/>
          <w:sz w:val="16"/>
          <w:szCs w:val="16"/>
          <w:lang w:bidi="en-US"/>
        </w:rPr>
        <w:t>maximum of_____Continuing Education</w:t>
      </w:r>
      <w:r w:rsidRPr="006E50FF">
        <w:rPr>
          <w:noProof/>
          <w:spacing w:val="-3"/>
          <w:sz w:val="16"/>
          <w:szCs w:val="16"/>
          <w:lang w:bidi="en-US"/>
        </w:rPr>
        <w:t xml:space="preserve"> </w:t>
      </w:r>
      <w:r w:rsidRPr="006E50FF">
        <w:rPr>
          <w:noProof/>
          <w:sz w:val="16"/>
          <w:szCs w:val="16"/>
          <w:lang w:bidi="en-US"/>
        </w:rPr>
        <w:t>Hours in health, safety, and welfare subjects acquired in structured educational activities.”</w:t>
      </w:r>
    </w:p>
    <w:p w14:paraId="2CDA7A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p>
    <w:p w14:paraId="54AAAC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I.</w:t>
      </w:r>
      <w:r w:rsidRPr="006E50FF">
        <w:rPr>
          <w:kern w:val="2"/>
          <w:lang w:bidi="en-US"/>
        </w:rPr>
        <w:tab/>
        <w:t>Continuing Education Disciplinary</w:t>
      </w:r>
      <w:r w:rsidRPr="006E50FF">
        <w:rPr>
          <w:spacing w:val="-8"/>
          <w:kern w:val="2"/>
          <w:lang w:bidi="en-US"/>
        </w:rPr>
        <w:t xml:space="preserve"> </w:t>
      </w:r>
      <w:r w:rsidRPr="006E50FF">
        <w:rPr>
          <w:kern w:val="2"/>
          <w:lang w:bidi="en-US"/>
        </w:rPr>
        <w:t>Guidelines</w:t>
      </w:r>
    </w:p>
    <w:p w14:paraId="32B0C16C"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w:t>
      </w:r>
    </w:p>
    <w:p w14:paraId="41F91703"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r>
      <w:r w:rsidRPr="006E50FF">
        <w:rPr>
          <w:color w:val="000000"/>
          <w:kern w:val="2"/>
          <w:lang w:bidi="en-US"/>
        </w:rPr>
        <w:t xml:space="preserve">Absent aggravating </w:t>
      </w:r>
      <w:r w:rsidRPr="006E50FF">
        <w:rPr>
          <w:kern w:val="2"/>
          <w:lang w:bidi="en-US"/>
        </w:rPr>
        <w:t>or mitigating circumstances, the following discipline shall be imposed for the following violations:</w:t>
      </w:r>
    </w:p>
    <w:p w14:paraId="0BF4B292" w14:textId="77777777" w:rsidR="006E50FF" w:rsidRPr="006E50FF" w:rsidRDefault="006E50FF" w:rsidP="006E50FF">
      <w:pPr>
        <w:tabs>
          <w:tab w:val="left" w:pos="720"/>
          <w:tab w:val="left" w:pos="979"/>
          <w:tab w:val="left" w:pos="1152"/>
        </w:tabs>
        <w:ind w:firstLine="360"/>
        <w:jc w:val="both"/>
        <w:outlineLvl w:val="4"/>
        <w:rPr>
          <w:kern w:val="2"/>
          <w:lang w:bidi="en-US"/>
        </w:rPr>
      </w:pPr>
    </w:p>
    <w:tbl>
      <w:tblPr>
        <w:tblStyle w:val="TableGrid1"/>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2424"/>
        <w:gridCol w:w="2426"/>
      </w:tblGrid>
      <w:tr w:rsidR="006E50FF" w:rsidRPr="006E50FF" w14:paraId="1AA4F00B" w14:textId="77777777" w:rsidTr="0088638B">
        <w:trPr>
          <w:tblHeader/>
        </w:trPr>
        <w:tc>
          <w:tcPr>
            <w:tcW w:w="2424" w:type="dxa"/>
            <w:shd w:val="clear" w:color="auto" w:fill="BFBFBF" w:themeFill="background1" w:themeFillShade="BF"/>
            <w:vAlign w:val="bottom"/>
          </w:tcPr>
          <w:p w14:paraId="457354C5" w14:textId="77777777" w:rsidR="006E50FF" w:rsidRPr="006E50FF" w:rsidRDefault="006E50FF" w:rsidP="006E50FF">
            <w:pPr>
              <w:tabs>
                <w:tab w:val="left" w:pos="720"/>
                <w:tab w:val="left" w:pos="979"/>
                <w:tab w:val="left" w:pos="1152"/>
              </w:tabs>
              <w:jc w:val="center"/>
              <w:outlineLvl w:val="4"/>
              <w:rPr>
                <w:b/>
                <w:bCs/>
                <w:kern w:val="2"/>
                <w:sz w:val="16"/>
                <w:szCs w:val="16"/>
                <w:lang w:bidi="en-US"/>
              </w:rPr>
            </w:pPr>
            <w:r w:rsidRPr="006E50FF">
              <w:rPr>
                <w:b/>
                <w:bCs/>
                <w:kern w:val="2"/>
                <w:sz w:val="16"/>
                <w:szCs w:val="16"/>
                <w:lang w:bidi="en-US"/>
              </w:rPr>
              <w:t>Violation</w:t>
            </w:r>
          </w:p>
        </w:tc>
        <w:tc>
          <w:tcPr>
            <w:tcW w:w="2426" w:type="dxa"/>
            <w:shd w:val="clear" w:color="auto" w:fill="BFBFBF" w:themeFill="background1" w:themeFillShade="BF"/>
            <w:vAlign w:val="bottom"/>
          </w:tcPr>
          <w:p w14:paraId="7487D936" w14:textId="77777777" w:rsidR="006E50FF" w:rsidRPr="006E50FF" w:rsidRDefault="006E50FF" w:rsidP="006E50FF">
            <w:pPr>
              <w:tabs>
                <w:tab w:val="left" w:pos="720"/>
                <w:tab w:val="left" w:pos="979"/>
                <w:tab w:val="left" w:pos="1152"/>
              </w:tabs>
              <w:jc w:val="center"/>
              <w:outlineLvl w:val="4"/>
              <w:rPr>
                <w:b/>
                <w:bCs/>
                <w:kern w:val="2"/>
                <w:sz w:val="16"/>
                <w:szCs w:val="16"/>
                <w:lang w:bidi="en-US"/>
              </w:rPr>
            </w:pPr>
            <w:r w:rsidRPr="006E50FF">
              <w:rPr>
                <w:b/>
                <w:bCs/>
                <w:kern w:val="2"/>
                <w:sz w:val="16"/>
                <w:szCs w:val="16"/>
                <w:lang w:bidi="en-US"/>
              </w:rPr>
              <w:t>Discipline</w:t>
            </w:r>
          </w:p>
        </w:tc>
      </w:tr>
      <w:tr w:rsidR="006E50FF" w:rsidRPr="006E50FF" w14:paraId="27DE3834" w14:textId="77777777" w:rsidTr="0088638B">
        <w:tc>
          <w:tcPr>
            <w:tcW w:w="2424" w:type="dxa"/>
            <w:vAlign w:val="center"/>
          </w:tcPr>
          <w:p w14:paraId="4499A08D" w14:textId="77777777" w:rsidR="006E50FF" w:rsidRPr="006E50FF" w:rsidRDefault="006E50FF" w:rsidP="006E50FF">
            <w:pPr>
              <w:tabs>
                <w:tab w:val="left" w:pos="720"/>
                <w:tab w:val="left" w:pos="979"/>
                <w:tab w:val="left" w:pos="1152"/>
              </w:tabs>
              <w:outlineLvl w:val="4"/>
              <w:rPr>
                <w:kern w:val="2"/>
                <w:lang w:bidi="en-US"/>
              </w:rPr>
            </w:pPr>
            <w:r w:rsidRPr="006E50FF">
              <w:rPr>
                <w:sz w:val="16"/>
                <w:szCs w:val="16"/>
                <w:lang w:bidi="en-US"/>
              </w:rPr>
              <w:t>1.</w:t>
            </w:r>
            <w:r w:rsidRPr="006E50FF">
              <w:rPr>
                <w:kern w:val="2"/>
                <w:sz w:val="16"/>
                <w:szCs w:val="16"/>
                <w:lang w:bidi="en-US"/>
              </w:rPr>
              <w:t xml:space="preserve"> Architect has enough hours but lacks in accepted setting or subject matter</w:t>
            </w:r>
          </w:p>
        </w:tc>
        <w:tc>
          <w:tcPr>
            <w:tcW w:w="2426" w:type="dxa"/>
            <w:vAlign w:val="center"/>
          </w:tcPr>
          <w:p w14:paraId="54B110CC" w14:textId="77777777" w:rsidR="006E50FF" w:rsidRPr="006E50FF" w:rsidRDefault="006E50FF" w:rsidP="006E50FF">
            <w:pPr>
              <w:keepNext/>
              <w:widowControl w:val="0"/>
              <w:autoSpaceDE w:val="0"/>
              <w:autoSpaceDN w:val="0"/>
              <w:ind w:left="110" w:right="94"/>
              <w:rPr>
                <w:lang w:bidi="en-US"/>
              </w:rPr>
            </w:pPr>
            <w:r w:rsidRPr="006E50FF">
              <w:rPr>
                <w:sz w:val="16"/>
                <w:szCs w:val="16"/>
                <w:lang w:bidi="en-US"/>
              </w:rPr>
              <w:t>Architect will be allowed 60 days to obtain needed hours. Architect will be audited the next year.</w:t>
            </w:r>
          </w:p>
        </w:tc>
      </w:tr>
      <w:tr w:rsidR="006E50FF" w:rsidRPr="006E50FF" w14:paraId="4EF50811" w14:textId="77777777" w:rsidTr="0088638B">
        <w:trPr>
          <w:trHeight w:val="2424"/>
        </w:trPr>
        <w:tc>
          <w:tcPr>
            <w:tcW w:w="2424" w:type="dxa"/>
          </w:tcPr>
          <w:p w14:paraId="131EF16B" w14:textId="77777777" w:rsidR="006E50FF" w:rsidRPr="006E50FF" w:rsidRDefault="006E50FF" w:rsidP="006E50FF">
            <w:pPr>
              <w:keepNext/>
              <w:widowControl w:val="0"/>
              <w:tabs>
                <w:tab w:val="left" w:pos="679"/>
              </w:tabs>
              <w:autoSpaceDE w:val="0"/>
              <w:autoSpaceDN w:val="0"/>
              <w:ind w:left="58" w:right="168"/>
              <w:rPr>
                <w:sz w:val="16"/>
                <w:szCs w:val="16"/>
                <w:lang w:bidi="en-US"/>
              </w:rPr>
            </w:pPr>
            <w:r w:rsidRPr="006E50FF">
              <w:rPr>
                <w:sz w:val="16"/>
                <w:szCs w:val="16"/>
                <w:lang w:bidi="en-US"/>
              </w:rPr>
              <w:t>2. Architect signs renewal, has obtained some, but not all, hours needed as of December 31.</w:t>
            </w:r>
          </w:p>
          <w:p w14:paraId="25205723" w14:textId="77777777" w:rsidR="006E50FF" w:rsidRPr="006E50FF" w:rsidRDefault="006E50FF" w:rsidP="006E50FF">
            <w:pPr>
              <w:tabs>
                <w:tab w:val="left" w:pos="679"/>
                <w:tab w:val="left" w:pos="720"/>
                <w:tab w:val="left" w:pos="979"/>
                <w:tab w:val="left" w:pos="1152"/>
              </w:tabs>
              <w:ind w:firstLine="49"/>
              <w:outlineLvl w:val="4"/>
              <w:rPr>
                <w:kern w:val="2"/>
                <w:sz w:val="16"/>
                <w:szCs w:val="16"/>
                <w:lang w:bidi="en-US"/>
              </w:rPr>
            </w:pPr>
          </w:p>
          <w:p w14:paraId="64BB9535" w14:textId="77777777" w:rsidR="006E50FF" w:rsidRPr="006E50FF" w:rsidRDefault="006E50FF" w:rsidP="006E50FF">
            <w:pPr>
              <w:tabs>
                <w:tab w:val="left" w:pos="679"/>
                <w:tab w:val="left" w:pos="720"/>
                <w:tab w:val="left" w:pos="979"/>
                <w:tab w:val="left" w:pos="1152"/>
              </w:tabs>
              <w:ind w:firstLine="49"/>
              <w:outlineLvl w:val="4"/>
              <w:rPr>
                <w:kern w:val="2"/>
                <w:sz w:val="16"/>
                <w:szCs w:val="16"/>
                <w:lang w:bidi="en-US"/>
              </w:rPr>
            </w:pPr>
          </w:p>
          <w:p w14:paraId="0B57F4A3" w14:textId="77777777" w:rsidR="006E50FF" w:rsidRPr="006E50FF" w:rsidRDefault="006E50FF" w:rsidP="006E50FF">
            <w:pPr>
              <w:tabs>
                <w:tab w:val="left" w:pos="679"/>
                <w:tab w:val="left" w:pos="720"/>
                <w:tab w:val="left" w:pos="979"/>
                <w:tab w:val="left" w:pos="1152"/>
              </w:tabs>
              <w:ind w:firstLine="49"/>
              <w:outlineLvl w:val="4"/>
              <w:rPr>
                <w:kern w:val="2"/>
                <w:sz w:val="6"/>
                <w:szCs w:val="6"/>
                <w:lang w:bidi="en-US"/>
              </w:rPr>
            </w:pPr>
          </w:p>
          <w:p w14:paraId="4850D7A6" w14:textId="77777777" w:rsidR="006E50FF" w:rsidRPr="006E50FF" w:rsidRDefault="006E50FF" w:rsidP="006E50FF">
            <w:pPr>
              <w:tabs>
                <w:tab w:val="left" w:pos="679"/>
                <w:tab w:val="left" w:pos="720"/>
                <w:tab w:val="left" w:pos="979"/>
                <w:tab w:val="left" w:pos="1152"/>
              </w:tabs>
              <w:ind w:firstLine="49"/>
              <w:outlineLvl w:val="4"/>
              <w:rPr>
                <w:kern w:val="2"/>
                <w:sz w:val="16"/>
                <w:szCs w:val="16"/>
                <w:lang w:bidi="en-US"/>
              </w:rPr>
            </w:pPr>
            <w:r w:rsidRPr="006E50FF">
              <w:rPr>
                <w:kern w:val="2"/>
                <w:sz w:val="16"/>
                <w:szCs w:val="16"/>
                <w:lang w:bidi="en-US"/>
              </w:rPr>
              <w:t>For a second offense within 5 years</w:t>
            </w:r>
          </w:p>
        </w:tc>
        <w:tc>
          <w:tcPr>
            <w:tcW w:w="2426" w:type="dxa"/>
          </w:tcPr>
          <w:p w14:paraId="606DCB40" w14:textId="77777777" w:rsidR="006E50FF" w:rsidRPr="006E50FF" w:rsidRDefault="006E50FF" w:rsidP="006E50FF">
            <w:pPr>
              <w:keepNext/>
              <w:widowControl w:val="0"/>
              <w:autoSpaceDE w:val="0"/>
              <w:autoSpaceDN w:val="0"/>
              <w:ind w:left="110" w:right="152"/>
              <w:rPr>
                <w:sz w:val="16"/>
                <w:szCs w:val="16"/>
                <w:lang w:bidi="en-US"/>
              </w:rPr>
            </w:pPr>
            <w:r w:rsidRPr="006E50FF">
              <w:rPr>
                <w:sz w:val="16"/>
                <w:szCs w:val="16"/>
                <w:lang w:bidi="en-US"/>
              </w:rPr>
              <w:t>Fine of $750, and architect must obtain required hours before renewing. Architect will be audited annually the next three years.</w:t>
            </w:r>
          </w:p>
          <w:p w14:paraId="6F1B4F2F" w14:textId="77777777" w:rsidR="006E50FF" w:rsidRPr="006E50FF" w:rsidRDefault="006E50FF" w:rsidP="006E50FF">
            <w:pPr>
              <w:keepNext/>
              <w:widowControl w:val="0"/>
              <w:autoSpaceDE w:val="0"/>
              <w:autoSpaceDN w:val="0"/>
              <w:ind w:left="110" w:right="103"/>
              <w:rPr>
                <w:sz w:val="10"/>
                <w:szCs w:val="10"/>
                <w:lang w:bidi="en-US"/>
              </w:rPr>
            </w:pPr>
          </w:p>
          <w:p w14:paraId="05B99E5C" w14:textId="77777777" w:rsidR="006E50FF" w:rsidRPr="006E50FF" w:rsidRDefault="006E50FF" w:rsidP="006E50FF">
            <w:pPr>
              <w:keepNext/>
              <w:widowControl w:val="0"/>
              <w:autoSpaceDE w:val="0"/>
              <w:autoSpaceDN w:val="0"/>
              <w:ind w:left="110" w:right="103"/>
              <w:rPr>
                <w:sz w:val="10"/>
                <w:szCs w:val="10"/>
                <w:lang w:bidi="en-US"/>
              </w:rPr>
            </w:pPr>
          </w:p>
          <w:p w14:paraId="3CFCF2A2" w14:textId="77777777" w:rsidR="006E50FF" w:rsidRPr="006E50FF" w:rsidRDefault="006E50FF" w:rsidP="006E50FF">
            <w:pPr>
              <w:keepNext/>
              <w:widowControl w:val="0"/>
              <w:autoSpaceDE w:val="0"/>
              <w:autoSpaceDN w:val="0"/>
              <w:ind w:left="110" w:right="103"/>
              <w:rPr>
                <w:sz w:val="16"/>
                <w:szCs w:val="16"/>
                <w:lang w:bidi="en-US"/>
              </w:rPr>
            </w:pPr>
            <w:r w:rsidRPr="006E50FF">
              <w:rPr>
                <w:sz w:val="16"/>
                <w:szCs w:val="16"/>
                <w:lang w:bidi="en-US"/>
              </w:rPr>
              <w:t>Fine of $1,500, architect’s license suspended for six months, and architect must obtain required hours before renewing. Architect will be audited annually the next three years.</w:t>
            </w:r>
          </w:p>
        </w:tc>
      </w:tr>
      <w:tr w:rsidR="006E50FF" w:rsidRPr="006E50FF" w14:paraId="79C4C1F5" w14:textId="77777777" w:rsidTr="0088638B">
        <w:tc>
          <w:tcPr>
            <w:tcW w:w="2424" w:type="dxa"/>
            <w:vAlign w:val="center"/>
          </w:tcPr>
          <w:p w14:paraId="29435E80" w14:textId="77777777" w:rsidR="006E50FF" w:rsidRPr="006E50FF" w:rsidRDefault="006E50FF" w:rsidP="006E50FF">
            <w:pPr>
              <w:tabs>
                <w:tab w:val="left" w:pos="720"/>
                <w:tab w:val="left" w:pos="979"/>
                <w:tab w:val="left" w:pos="1152"/>
              </w:tabs>
              <w:outlineLvl w:val="4"/>
              <w:rPr>
                <w:kern w:val="2"/>
                <w:lang w:bidi="en-US"/>
              </w:rPr>
            </w:pPr>
            <w:r w:rsidRPr="006E50FF">
              <w:rPr>
                <w:kern w:val="2"/>
                <w:sz w:val="16"/>
                <w:szCs w:val="16"/>
                <w:lang w:bidi="en-US"/>
              </w:rPr>
              <w:t>3. Architect signs renewal; architect has not obtained any continuing education hours and fails to do so within sixty (60) days.</w:t>
            </w:r>
          </w:p>
        </w:tc>
        <w:tc>
          <w:tcPr>
            <w:tcW w:w="2426" w:type="dxa"/>
            <w:vAlign w:val="center"/>
          </w:tcPr>
          <w:p w14:paraId="188D24AD" w14:textId="77777777" w:rsidR="006E50FF" w:rsidRPr="006E50FF" w:rsidRDefault="006E50FF" w:rsidP="006E50FF">
            <w:pPr>
              <w:tabs>
                <w:tab w:val="left" w:pos="720"/>
                <w:tab w:val="left" w:pos="979"/>
                <w:tab w:val="left" w:pos="1152"/>
              </w:tabs>
              <w:outlineLvl w:val="4"/>
              <w:rPr>
                <w:kern w:val="2"/>
                <w:lang w:bidi="en-US"/>
              </w:rPr>
            </w:pPr>
            <w:r w:rsidRPr="006E50FF">
              <w:rPr>
                <w:kern w:val="2"/>
                <w:sz w:val="16"/>
                <w:szCs w:val="16"/>
                <w:lang w:bidi="en-US"/>
              </w:rPr>
              <w:t>Fine up to $5,000, and architect’s license suspended until architect obtains necessary hours. Architect will be audited annually the next five years.</w:t>
            </w:r>
          </w:p>
        </w:tc>
      </w:tr>
    </w:tbl>
    <w:p w14:paraId="0C51CE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lastRenderedPageBreak/>
        <w:t>J.</w:t>
      </w:r>
      <w:r w:rsidRPr="006E50FF">
        <w:rPr>
          <w:kern w:val="2"/>
          <w:lang w:bidi="en-US"/>
        </w:rPr>
        <w:tab/>
        <w:t>Reinstatement</w:t>
      </w:r>
    </w:p>
    <w:p w14:paraId="3963B125" w14:textId="77777777" w:rsidR="006E50FF" w:rsidRPr="006E50FF" w:rsidRDefault="006E50FF" w:rsidP="006E50FF">
      <w:pPr>
        <w:tabs>
          <w:tab w:val="left" w:pos="720"/>
          <w:tab w:val="left" w:pos="979"/>
          <w:tab w:val="left" w:pos="1152"/>
        </w:tabs>
        <w:ind w:firstLine="360"/>
        <w:jc w:val="both"/>
        <w:outlineLvl w:val="4"/>
        <w:rPr>
          <w:strike/>
          <w:kern w:val="2"/>
          <w:lang w:bidi="en-US"/>
        </w:rPr>
      </w:pPr>
      <w:r w:rsidRPr="006E50FF">
        <w:rPr>
          <w:kern w:val="2"/>
          <w:lang w:bidi="en-US"/>
        </w:rPr>
        <w:t>1. - 2.</w:t>
      </w:r>
      <w:r w:rsidRPr="006E50FF">
        <w:rPr>
          <w:kern w:val="2"/>
          <w:lang w:bidi="en-US"/>
        </w:rPr>
        <w:tab/>
        <w:t>…</w:t>
      </w:r>
    </w:p>
    <w:p w14:paraId="408F9E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60B208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29:565 (April 2003), amended LR 33:2419 (November 2007), LR 38:1012 (April 2012), LR 40:1693 (September 2014), LR 45:752 (June 2019), amended LR 52:1502 (September 2026).</w:t>
      </w:r>
    </w:p>
    <w:p w14:paraId="29016AD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§1317.</w:t>
      </w:r>
      <w:r w:rsidRPr="006E50FF">
        <w:rPr>
          <w:b/>
          <w:kern w:val="2"/>
          <w:lang w:bidi="en-US"/>
        </w:rPr>
        <w:tab/>
        <w:t>Interpretation of R.S. 37:155(A)(3)</w:t>
      </w:r>
    </w:p>
    <w:p w14:paraId="366BB0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Registered architects of other states will be deemed to be associated with a registered architect of this state on a specific project within the meaning of R.S.</w:t>
      </w:r>
      <w:r w:rsidRPr="006E50FF">
        <w:rPr>
          <w:spacing w:val="31"/>
          <w:kern w:val="2"/>
          <w:lang w:bidi="en-US"/>
        </w:rPr>
        <w:t xml:space="preserve"> </w:t>
      </w:r>
      <w:r w:rsidRPr="006E50FF">
        <w:rPr>
          <w:kern w:val="2"/>
          <w:lang w:bidi="en-US"/>
        </w:rPr>
        <w:t>37:155(A)(3) only</w:t>
      </w:r>
      <w:r w:rsidRPr="006E50FF">
        <w:rPr>
          <w:spacing w:val="-2"/>
          <w:kern w:val="2"/>
          <w:lang w:bidi="en-US"/>
        </w:rPr>
        <w:t xml:space="preserve"> </w:t>
      </w:r>
      <w:r w:rsidRPr="006E50FF">
        <w:rPr>
          <w:kern w:val="2"/>
          <w:lang w:bidi="en-US"/>
        </w:rPr>
        <w:t>when:</w:t>
      </w:r>
    </w:p>
    <w:p w14:paraId="5C5D8538"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 - 2.</w:t>
      </w:r>
      <w:r w:rsidRPr="006E50FF">
        <w:rPr>
          <w:kern w:val="2"/>
          <w:lang w:bidi="en-US"/>
        </w:rPr>
        <w:tab/>
        <w:t>…</w:t>
      </w:r>
    </w:p>
    <w:p w14:paraId="0ACC93D5"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the in-state architect independently performs necessary calculations, and maintains such calculations on</w:t>
      </w:r>
      <w:r w:rsidRPr="006E50FF">
        <w:rPr>
          <w:spacing w:val="-1"/>
          <w:kern w:val="2"/>
          <w:lang w:bidi="en-US"/>
        </w:rPr>
        <w:t xml:space="preserve"> </w:t>
      </w:r>
      <w:r w:rsidRPr="006E50FF">
        <w:rPr>
          <w:kern w:val="2"/>
          <w:lang w:bidi="en-US"/>
        </w:rPr>
        <w:t>file for work under his/her responsible control;</w:t>
      </w:r>
    </w:p>
    <w:p w14:paraId="655007BA"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4.</w:t>
      </w:r>
      <w:r w:rsidRPr="006E50FF">
        <w:rPr>
          <w:kern w:val="2"/>
          <w:lang w:bidi="en-US"/>
        </w:rPr>
        <w:tab/>
        <w:t>…</w:t>
      </w:r>
    </w:p>
    <w:p w14:paraId="4A4550FF"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kern w:val="2"/>
          <w:lang w:bidi="en-US"/>
        </w:rPr>
        <w:t>5.</w:t>
      </w:r>
      <w:r w:rsidRPr="006E50FF">
        <w:rPr>
          <w:kern w:val="2"/>
          <w:lang w:bidi="en-US"/>
        </w:rPr>
        <w:tab/>
        <w:t>the in-state architect maintains control over the use of the design documents just as if they were his/her original documents.</w:t>
      </w:r>
    </w:p>
    <w:p w14:paraId="60412C1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3F4545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52:1504 (September 2026).</w:t>
      </w:r>
    </w:p>
    <w:p w14:paraId="5F993B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494BD6A" w14:textId="77777777" w:rsidR="006E50FF" w:rsidRPr="006E50FF" w:rsidRDefault="006E50FF" w:rsidP="006E50FF">
      <w:pPr>
        <w:keepNext/>
        <w:ind w:left="2160"/>
        <w:jc w:val="both"/>
      </w:pPr>
      <w:r w:rsidRPr="006E50FF">
        <w:t>Tyson Ducote</w:t>
      </w:r>
    </w:p>
    <w:p w14:paraId="29334E7F" w14:textId="77777777" w:rsidR="006E50FF" w:rsidRPr="006E50FF" w:rsidRDefault="006E50FF" w:rsidP="006E50FF">
      <w:pPr>
        <w:keepNext/>
        <w:ind w:left="2160"/>
        <w:jc w:val="both"/>
      </w:pPr>
      <w:r w:rsidRPr="006E50FF">
        <w:t>Executive Director</w:t>
      </w:r>
    </w:p>
    <w:bookmarkEnd w:id="61"/>
    <w:p w14:paraId="30572073" w14:textId="77777777" w:rsidR="006E50FF" w:rsidRPr="006E50FF" w:rsidRDefault="006E50FF" w:rsidP="006E50FF">
      <w:pPr>
        <w:rPr>
          <w:rFonts w:eastAsia="Calibri"/>
          <w:noProof/>
          <w:sz w:val="16"/>
        </w:rPr>
      </w:pPr>
      <w:r w:rsidRPr="006E50FF">
        <w:rPr>
          <w:rFonts w:eastAsia="Calibri"/>
          <w:noProof/>
          <w:sz w:val="16"/>
        </w:rPr>
        <w:t>2609#017</w:t>
      </w:r>
    </w:p>
    <w:p w14:paraId="1984AC1A" w14:textId="77777777" w:rsidR="006E50FF" w:rsidRPr="006E50FF" w:rsidRDefault="006E50FF" w:rsidP="006E50FF"/>
    <w:p w14:paraId="11CB307F" w14:textId="77777777" w:rsidR="006E50FF" w:rsidRPr="006E50FF" w:rsidRDefault="006E50FF" w:rsidP="006E50FF">
      <w:pPr>
        <w:keepNext/>
        <w:tabs>
          <w:tab w:val="left" w:pos="-1440"/>
        </w:tabs>
        <w:spacing w:after="120"/>
        <w:jc w:val="center"/>
        <w:rPr>
          <w:b/>
          <w:noProof/>
        </w:rPr>
      </w:pPr>
      <w:bookmarkStart w:id="65" w:name="_Hlk229738287"/>
      <w:r w:rsidRPr="006E50FF">
        <w:rPr>
          <w:b/>
          <w:noProof/>
        </w:rPr>
        <w:t>RULE</w:t>
      </w:r>
    </w:p>
    <w:p w14:paraId="3B1043D1" w14:textId="77777777" w:rsidR="006E50FF" w:rsidRPr="006E50FF" w:rsidRDefault="006E50FF" w:rsidP="006E50FF">
      <w:pPr>
        <w:keepNext/>
        <w:jc w:val="center"/>
        <w:rPr>
          <w:b/>
          <w:noProof/>
        </w:rPr>
      </w:pPr>
      <w:r w:rsidRPr="006E50FF">
        <w:rPr>
          <w:b/>
          <w:noProof/>
        </w:rPr>
        <w:t>Office of the Governor</w:t>
      </w:r>
    </w:p>
    <w:p w14:paraId="7A066DEE" w14:textId="77777777" w:rsidR="006E50FF" w:rsidRPr="006E50FF" w:rsidRDefault="006E50FF" w:rsidP="006E50FF">
      <w:pPr>
        <w:keepNext/>
        <w:jc w:val="center"/>
        <w:rPr>
          <w:b/>
          <w:noProof/>
        </w:rPr>
      </w:pPr>
      <w:r w:rsidRPr="006E50FF">
        <w:rPr>
          <w:b/>
          <w:noProof/>
        </w:rPr>
        <w:t>Board of River Port Pilot Commissioners and Examiners for the Calcasieu River Waterway</w:t>
      </w:r>
    </w:p>
    <w:p w14:paraId="63B44ED3" w14:textId="77777777" w:rsidR="006E50FF" w:rsidRPr="006E50FF" w:rsidRDefault="006E50FF" w:rsidP="006E50FF">
      <w:pPr>
        <w:keepNext/>
        <w:spacing w:before="240" w:after="240"/>
        <w:jc w:val="center"/>
        <w:rPr>
          <w:bCs/>
          <w:noProof/>
        </w:rPr>
      </w:pPr>
      <w:r w:rsidRPr="006E50FF">
        <w:rPr>
          <w:noProof/>
        </w:rPr>
        <w:t>Calcasieu River Waterway River Port Pilots</w:t>
      </w:r>
      <w:r w:rsidRPr="006E50FF">
        <w:rPr>
          <w:noProof/>
        </w:rPr>
        <w:br/>
      </w:r>
      <w:r w:rsidRPr="006E50FF">
        <w:rPr>
          <w:bCs/>
          <w:noProof/>
        </w:rPr>
        <w:t>(LAC 46:LXX.9101, 9105, 9107 and 9111)</w:t>
      </w:r>
    </w:p>
    <w:p w14:paraId="1740EF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R.S. 34:1072 and the Administrative Procedure Act, R.S. 49:950, et seq., the </w:t>
      </w:r>
      <w:bookmarkStart w:id="66" w:name="_Hlk229741692"/>
      <w:r w:rsidRPr="006E50FF">
        <w:rPr>
          <w:kern w:val="2"/>
        </w:rPr>
        <w:t xml:space="preserve">Board (“board”) of River Port Pilot Commissioners and Examiners for the Calcasieu River Waterway </w:t>
      </w:r>
      <w:bookmarkEnd w:id="66"/>
      <w:r w:rsidRPr="006E50FF">
        <w:rPr>
          <w:kern w:val="2"/>
        </w:rPr>
        <w:t xml:space="preserve">has amended LAC 46:LXX.9101, 9105, 9107 and 9111. </w:t>
      </w:r>
      <w:bookmarkStart w:id="67" w:name="_Hlk229741767"/>
      <w:r w:rsidRPr="006E50FF">
        <w:rPr>
          <w:kern w:val="2"/>
        </w:rPr>
        <w:t>These amendments are administrative in nature, as they merely designate the Louisiana Pilotage Fee Commission, rather than the Louisiana Public Service Commission, as the regulatory body for pilotage in the state of Louisiana; update the address for the Lake Charles Harbor and Terminal District, which is the location for all board meetings; include the suite designation in the address for the Apprentice Pilot Review Committee, which was previously omitted; and remove an unnecessary prepositional phrase from a sentence (the “proposed amendments”).</w:t>
      </w:r>
      <w:bookmarkEnd w:id="67"/>
      <w:r w:rsidRPr="006E50FF">
        <w:rPr>
          <w:kern w:val="2"/>
        </w:rPr>
        <w:t xml:space="preserve"> This Rule is hereby adopted on the date of promulgation.</w:t>
      </w:r>
    </w:p>
    <w:p w14:paraId="3123D10F" w14:textId="77777777" w:rsidR="006E50FF" w:rsidRPr="006E50FF" w:rsidRDefault="006E50FF" w:rsidP="006E50FF">
      <w:pPr>
        <w:keepNext/>
        <w:jc w:val="center"/>
        <w:rPr>
          <w:b/>
          <w:kern w:val="28"/>
        </w:rPr>
      </w:pPr>
      <w:r w:rsidRPr="006E50FF">
        <w:rPr>
          <w:b/>
          <w:kern w:val="28"/>
        </w:rPr>
        <w:t>Title 46</w:t>
      </w:r>
    </w:p>
    <w:p w14:paraId="46180C22" w14:textId="77777777" w:rsidR="006E50FF" w:rsidRPr="006E50FF" w:rsidRDefault="006E50FF" w:rsidP="006E50FF">
      <w:pPr>
        <w:keepNext/>
        <w:jc w:val="center"/>
        <w:rPr>
          <w:b/>
          <w:kern w:val="28"/>
        </w:rPr>
      </w:pPr>
      <w:r w:rsidRPr="006E50FF">
        <w:rPr>
          <w:b/>
          <w:kern w:val="28"/>
        </w:rPr>
        <w:t>PROFESSIONAL AND OCCUPATIONAL STANDARDS</w:t>
      </w:r>
    </w:p>
    <w:p w14:paraId="23964C78" w14:textId="77777777" w:rsidR="006E50FF" w:rsidRPr="006E50FF" w:rsidRDefault="006E50FF" w:rsidP="006E50FF">
      <w:pPr>
        <w:keepNext/>
        <w:jc w:val="center"/>
        <w:rPr>
          <w:b/>
          <w:noProof/>
        </w:rPr>
      </w:pPr>
      <w:r w:rsidRPr="006E50FF">
        <w:rPr>
          <w:b/>
          <w:noProof/>
        </w:rPr>
        <w:t>Part LXX.  River Pilots</w:t>
      </w:r>
    </w:p>
    <w:p w14:paraId="58006272" w14:textId="77777777" w:rsidR="006E50FF" w:rsidRPr="006E50FF" w:rsidRDefault="006E50FF" w:rsidP="006E50FF">
      <w:pPr>
        <w:keepNext/>
        <w:jc w:val="center"/>
        <w:rPr>
          <w:rFonts w:ascii="Calibri" w:hAnsi="Calibri"/>
          <w:b/>
          <w:noProof/>
          <w:sz w:val="22"/>
          <w:szCs w:val="22"/>
        </w:rPr>
      </w:pPr>
      <w:r w:rsidRPr="006E50FF">
        <w:rPr>
          <w:b/>
          <w:noProof/>
        </w:rPr>
        <w:t>Subpart 4.  Board of River Port Pilot Commissioners and Examiners for the Calcasieu River Waterway</w:t>
      </w:r>
    </w:p>
    <w:p w14:paraId="21CD9AD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91.</w:t>
      </w:r>
      <w:r w:rsidRPr="006E50FF">
        <w:rPr>
          <w:b/>
          <w:kern w:val="2"/>
        </w:rPr>
        <w:tab/>
      </w:r>
      <w:bookmarkStart w:id="68" w:name="_Hlk229741561"/>
      <w:r w:rsidRPr="006E50FF">
        <w:rPr>
          <w:b/>
          <w:kern w:val="2"/>
        </w:rPr>
        <w:t>Calcasieu River Waterway River Port Pilots</w:t>
      </w:r>
      <w:bookmarkEnd w:id="65"/>
      <w:bookmarkEnd w:id="68"/>
    </w:p>
    <w:p w14:paraId="67BAD5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9" w:name="_Toc77688690"/>
      <w:r w:rsidRPr="006E50FF">
        <w:rPr>
          <w:b/>
          <w:kern w:val="2"/>
        </w:rPr>
        <w:t>§9101.</w:t>
      </w:r>
      <w:r w:rsidRPr="006E50FF">
        <w:rPr>
          <w:b/>
          <w:kern w:val="2"/>
        </w:rPr>
        <w:tab/>
        <w:t>Definitions</w:t>
      </w:r>
      <w:bookmarkEnd w:id="69"/>
    </w:p>
    <w:p w14:paraId="05AC82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60C51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Louisiana Pilotage Fee Commission—</w:t>
      </w:r>
      <w:r w:rsidRPr="006E50FF">
        <w:rPr>
          <w:kern w:val="2"/>
        </w:rPr>
        <w:t>the body created by R.S. 34:1121 for the purpose of establishing pilotage fees.</w:t>
      </w:r>
    </w:p>
    <w:p w14:paraId="61A037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A7D2D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0F3BA3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28:1476 (June 2002), amended LR 52:1504 (September 2026).</w:t>
      </w:r>
    </w:p>
    <w:p w14:paraId="7E0B3BA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§9105.</w:t>
      </w:r>
      <w:r w:rsidRPr="006E50FF">
        <w:rPr>
          <w:b/>
          <w:kern w:val="2"/>
        </w:rPr>
        <w:tab/>
        <w:t>Rules, Records, Meetings, Association</w:t>
      </w:r>
    </w:p>
    <w:p w14:paraId="0FFCE0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7348A5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board shall hold a regular annual meeting on the fourth Monday of January of each year at 10 a.m. for the purpose of electing officers and conducting any other business as may be appropriate. The board may hold such other meetings as are deemed appropriate and best to conduct the business of the board. The president alone or any two members of the board may call any meeting of the board. The president alone or any two members of the board may cancel any meeting of the board if the board has no business to conduct. All meetings of the board will be held at the board meeting room of The Lake Charles Harbor and Terminal District, 1611 Sallier Street, Lake Charles, Louisiana, or such other place as may be designated in the call of the meeting.</w:t>
      </w:r>
    </w:p>
    <w:p w14:paraId="44F9BD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t>
      </w:r>
    </w:p>
    <w:p w14:paraId="3BEEA6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4D6C26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28:1478 (June 2002), amended LR 30:1695 (August 2004), LR 52:1504 (September 2026).</w:t>
      </w:r>
    </w:p>
    <w:p w14:paraId="490C4E7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§9107.</w:t>
      </w:r>
      <w:r w:rsidRPr="006E50FF">
        <w:rPr>
          <w:b/>
          <w:kern w:val="2"/>
        </w:rPr>
        <w:tab/>
        <w:t>Minimum Requirements, Applicants, Examination, Appointments</w:t>
      </w:r>
    </w:p>
    <w:p w14:paraId="782AFD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451C2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Candidates seeking to participate in a pilot apprentice training program shall hold a U.S. Coast Guard issued license authorizing service as master, steam or motor vessels of at least 1600 gross tons upon oceans or near coastal and be reasonably expected to be able to eventually comply with federal regulatory requirements specified at 46 CFR Subpart G; Professional Requirements for Pilot Licenses which are considered by the board to be minimum requirements for commissioning pilots under the board's jurisdiction. These requirements include time-in-service, route familiarization, examination, physical requirements, tonnage service </w:t>
      </w:r>
      <w:r w:rsidRPr="006E50FF">
        <w:rPr>
          <w:kern w:val="2"/>
        </w:rPr>
        <w:br w:type="page"/>
      </w:r>
      <w:r w:rsidRPr="006E50FF">
        <w:rPr>
          <w:kern w:val="2"/>
        </w:rPr>
        <w:lastRenderedPageBreak/>
        <w:t>requirements and capability to acquire and maintain knowledge of waters to be navigated. Prospective candidates of good character who meet the aforementioned requirements may submit applications evidencing these requirements to the Apprentice Pilot Review Committee, 4902 Ihles Road, Suite A, Lake Charles, LA 70605. A copy of the application shall also be submitted to the Board of Commissioners and Examiners, c/o Port of Lake Charles, P.O. Box 3753, Lake Charles, LA 70602. Applications should be accompanied by a personal résumé, photograph, birth certificate, three letters of recommendation, health profile conducted by a recognized health professional evidencing probable ability to comply with 46 CFR 10.205(d) and a U.S. Coast Guard Information Release Form signed and notarized, in any format, to authorize personnel involved in the selection process to investigate and/or obtain applicant's records from the U.S. Coast Guard or from any other person or entity deemed appropriate, including but not limited to licenses, casualty involvement, or any disciplinary information. Applications will be kept on file until an opening for an apprentice pilot is anticipated, or a maximum of two years, unless updated. When the association anticipates openings for apprentice pilots, the Apprentice Pilot Review Committee will review all current applications and contact best-qualified selected applicants to appear for interviews. The Apprentice Pilot Review Committee, subsequent to reviewing applications and interviewing applicants, will present their findings and recommendations to association members for their vote on apprentice candidate acceptance. The board shall provide oversight and final approval over the pilot candidate application and selection process and shall approve and make recommendations to the governor for subsequently awarding pilot commissions.</w:t>
      </w:r>
    </w:p>
    <w:p w14:paraId="6F8CDE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H.4.</w:t>
      </w:r>
      <w:r w:rsidRPr="006E50FF">
        <w:rPr>
          <w:kern w:val="2"/>
        </w:rPr>
        <w:tab/>
        <w:t>…</w:t>
      </w:r>
    </w:p>
    <w:p w14:paraId="0A5040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43D0D0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28:1478 (June 2002), amended LR 32:1444 (August 2006), LR 52:1504 (September 2026).</w:t>
      </w:r>
    </w:p>
    <w:p w14:paraId="3CEB0E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§9111.</w:t>
      </w:r>
      <w:r w:rsidRPr="006E50FF">
        <w:rPr>
          <w:b/>
          <w:kern w:val="2"/>
        </w:rPr>
        <w:tab/>
        <w:t>Pilotage Certification</w:t>
      </w:r>
    </w:p>
    <w:p w14:paraId="20A682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EF729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Commencing January 1, 2006, every commissioned pilot in order to maintain a valid pilot's commission must attend 40 hours of continuing professional education classes and programs every five years. Each commissioned pilot must attend a continuing ship simulator-training program every five years. Classes, programs, and simulator-training received prior to January 1, 2006 shall not be counted toward this requirement.</w:t>
      </w:r>
    </w:p>
    <w:p w14:paraId="5B0BB5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w:t>
      </w:r>
      <w:r w:rsidRPr="006E50FF">
        <w:rPr>
          <w:kern w:val="2"/>
        </w:rPr>
        <w:tab/>
        <w:t>…</w:t>
      </w:r>
    </w:p>
    <w:p w14:paraId="6B449E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42736F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28:1479 (June 2002), amended LR 32:1444 (August 2006), LR 52:1505 (September 2026).</w:t>
      </w:r>
    </w:p>
    <w:p w14:paraId="6191B8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E70B9E3" w14:textId="77777777" w:rsidR="006E50FF" w:rsidRPr="006E50FF" w:rsidRDefault="006E50FF" w:rsidP="006E50FF">
      <w:pPr>
        <w:keepNext/>
        <w:ind w:left="2160"/>
        <w:jc w:val="both"/>
      </w:pPr>
      <w:r w:rsidRPr="006E50FF">
        <w:t>Captain Charles Gilchrist</w:t>
      </w:r>
    </w:p>
    <w:p w14:paraId="3598061E" w14:textId="77777777" w:rsidR="006E50FF" w:rsidRPr="006E50FF" w:rsidRDefault="006E50FF" w:rsidP="006E50FF">
      <w:pPr>
        <w:keepNext/>
        <w:ind w:left="2160"/>
        <w:jc w:val="both"/>
      </w:pPr>
      <w:r w:rsidRPr="006E50FF">
        <w:t>Chairman</w:t>
      </w:r>
    </w:p>
    <w:p w14:paraId="242F7FC5" w14:textId="77777777" w:rsidR="006E50FF" w:rsidRPr="006E50FF" w:rsidRDefault="006E50FF" w:rsidP="006E50FF">
      <w:pPr>
        <w:rPr>
          <w:noProof/>
          <w:sz w:val="16"/>
        </w:rPr>
      </w:pPr>
      <w:r w:rsidRPr="006E50FF">
        <w:rPr>
          <w:noProof/>
          <w:sz w:val="16"/>
        </w:rPr>
        <w:t>2609#011</w:t>
      </w:r>
    </w:p>
    <w:p w14:paraId="4D457E5C" w14:textId="77777777" w:rsidR="006E50FF" w:rsidRPr="006E50FF" w:rsidRDefault="006E50FF" w:rsidP="006E50FF"/>
    <w:p w14:paraId="7E0D686F" w14:textId="77777777" w:rsidR="006E50FF" w:rsidRPr="006E50FF" w:rsidRDefault="006E50FF" w:rsidP="006E50FF"/>
    <w:p w14:paraId="636C626F" w14:textId="77777777" w:rsidR="006E50FF" w:rsidRPr="006E50FF" w:rsidRDefault="006E50FF" w:rsidP="006E50FF">
      <w:pPr>
        <w:keepNext/>
        <w:tabs>
          <w:tab w:val="left" w:pos="-1440"/>
        </w:tabs>
        <w:spacing w:after="120"/>
        <w:jc w:val="center"/>
        <w:rPr>
          <w:rFonts w:eastAsia="Calibri"/>
          <w:noProof/>
        </w:rPr>
      </w:pPr>
      <w:r w:rsidRPr="006E50FF">
        <w:rPr>
          <w:rFonts w:eastAsia="Calibri"/>
          <w:b/>
          <w:noProof/>
        </w:rPr>
        <w:t>RULE</w:t>
      </w:r>
    </w:p>
    <w:p w14:paraId="50091CC2" w14:textId="77777777" w:rsidR="006E50FF" w:rsidRPr="006E50FF" w:rsidRDefault="006E50FF" w:rsidP="006E50FF">
      <w:pPr>
        <w:keepNext/>
        <w:jc w:val="center"/>
        <w:rPr>
          <w:rFonts w:eastAsia="Calibri"/>
          <w:b/>
          <w:noProof/>
        </w:rPr>
      </w:pPr>
      <w:r w:rsidRPr="006E50FF">
        <w:rPr>
          <w:rFonts w:eastAsia="Calibri"/>
          <w:b/>
          <w:noProof/>
        </w:rPr>
        <w:t>Office of the Governor</w:t>
      </w:r>
    </w:p>
    <w:p w14:paraId="08A10F8D" w14:textId="77777777" w:rsidR="006E50FF" w:rsidRPr="006E50FF" w:rsidRDefault="006E50FF" w:rsidP="006E50FF">
      <w:pPr>
        <w:keepNext/>
        <w:jc w:val="center"/>
        <w:rPr>
          <w:rFonts w:eastAsia="Calibri"/>
          <w:b/>
          <w:noProof/>
        </w:rPr>
      </w:pPr>
      <w:r w:rsidRPr="006E50FF">
        <w:rPr>
          <w:rFonts w:eastAsia="Calibri"/>
          <w:b/>
          <w:noProof/>
        </w:rPr>
        <w:t>Uniform Construction Code Commission</w:t>
      </w:r>
    </w:p>
    <w:p w14:paraId="25DE5C3B" w14:textId="77777777" w:rsidR="006E50FF" w:rsidRPr="006E50FF" w:rsidRDefault="006E50FF" w:rsidP="006E50FF">
      <w:pPr>
        <w:keepNext/>
        <w:spacing w:before="240" w:after="240"/>
        <w:jc w:val="center"/>
        <w:rPr>
          <w:rFonts w:eastAsia="Calibri"/>
          <w:noProof/>
        </w:rPr>
      </w:pPr>
      <w:r w:rsidRPr="006E50FF">
        <w:rPr>
          <w:rFonts w:eastAsia="Calibri"/>
          <w:noProof/>
        </w:rPr>
        <w:t>Wind Mitigation Surveyor Qualifications</w:t>
      </w:r>
      <w:r w:rsidRPr="006E50FF">
        <w:rPr>
          <w:rFonts w:eastAsia="Calibri"/>
          <w:noProof/>
        </w:rPr>
        <w:br/>
        <w:t>(LAC 55:VI.705)</w:t>
      </w:r>
    </w:p>
    <w:p w14:paraId="5E850C4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In accordance with the Louisiana Administrative Procedure Act, R.S. 49:950 et seq., and pursuant to the authority of R.S. 37:3727-3750, the commission amends LAC 55:VI.705, Third-Party Providers, regarding the qualification requirements to become a registered wind mitigation surveyor in the state of Louisiana. This amendment to LAC 55:VI.705 clarifies the qualification requirements for the wind mitigation surveyor specialty classification and broadens the range of individuals eligible to obtain this classification. </w:t>
      </w:r>
    </w:p>
    <w:p w14:paraId="3134557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The amendment to Subsection E of Section 705 within Title 55 of the </w:t>
      </w:r>
      <w:r w:rsidRPr="006E50FF">
        <w:rPr>
          <w:rFonts w:eastAsia="Calibri"/>
          <w:i/>
          <w:iCs/>
          <w:kern w:val="2"/>
        </w:rPr>
        <w:t>Louisiana Administrative Code</w:t>
      </w:r>
      <w:r w:rsidRPr="006E50FF">
        <w:rPr>
          <w:rFonts w:eastAsia="Calibri"/>
          <w:kern w:val="2"/>
        </w:rPr>
        <w:t xml:space="preserve"> modernizes and expands the qualifications for wind mitigation surveyors, ensuring a broader pool of qualified professionals who can assess homeowners' storm-resistant upgrades. By lowering unnecessary barriers and recognizing equivalent credentials and experience, we enable more surveyors to perform these inspections. This, in turn, increases homeowner access to accurate, timely assessments and potential insurance premium discounts, incentivizing voluntary improvements that strengthen resilience against hurricanes. Ultimately, a more inclusive qualification system benefits the public by reducing financial burdens, enhancing storm preparedness, and promoting community safety across Louisiana.</w:t>
      </w:r>
      <w:r w:rsidRPr="006E50FF">
        <w:rPr>
          <w:kern w:val="2"/>
        </w:rPr>
        <w:t xml:space="preserve"> This Rule is hereby adopted on the day of promulgation.</w:t>
      </w:r>
    </w:p>
    <w:p w14:paraId="3FBF51A8" w14:textId="77777777" w:rsidR="006E50FF" w:rsidRPr="006E50FF" w:rsidRDefault="006E50FF" w:rsidP="006E50FF">
      <w:pPr>
        <w:keepNext/>
        <w:jc w:val="center"/>
        <w:rPr>
          <w:b/>
          <w:kern w:val="28"/>
        </w:rPr>
      </w:pPr>
      <w:r w:rsidRPr="006E50FF">
        <w:rPr>
          <w:b/>
          <w:kern w:val="28"/>
        </w:rPr>
        <w:t>T</w:t>
      </w:r>
      <w:r w:rsidRPr="006E50FF">
        <w:rPr>
          <w:b/>
          <w:spacing w:val="-1"/>
          <w:kern w:val="28"/>
        </w:rPr>
        <w:t>i</w:t>
      </w:r>
      <w:r w:rsidRPr="006E50FF">
        <w:rPr>
          <w:b/>
          <w:kern w:val="28"/>
        </w:rPr>
        <w:t>t</w:t>
      </w:r>
      <w:r w:rsidRPr="006E50FF">
        <w:rPr>
          <w:b/>
          <w:spacing w:val="-1"/>
          <w:kern w:val="28"/>
        </w:rPr>
        <w:t>l</w:t>
      </w:r>
      <w:r w:rsidRPr="006E50FF">
        <w:rPr>
          <w:b/>
          <w:kern w:val="28"/>
        </w:rPr>
        <w:t xml:space="preserve">e </w:t>
      </w:r>
      <w:r w:rsidRPr="006E50FF">
        <w:rPr>
          <w:b/>
          <w:spacing w:val="1"/>
          <w:kern w:val="28"/>
        </w:rPr>
        <w:t>55</w:t>
      </w:r>
    </w:p>
    <w:p w14:paraId="29AC5FF1" w14:textId="77777777" w:rsidR="006E50FF" w:rsidRPr="006E50FF" w:rsidRDefault="006E50FF" w:rsidP="006E50FF">
      <w:pPr>
        <w:keepNext/>
        <w:jc w:val="center"/>
        <w:rPr>
          <w:b/>
          <w:kern w:val="28"/>
        </w:rPr>
      </w:pPr>
      <w:r w:rsidRPr="006E50FF">
        <w:rPr>
          <w:b/>
          <w:kern w:val="28"/>
        </w:rPr>
        <w:t>PUBLIC SAFETY</w:t>
      </w:r>
    </w:p>
    <w:p w14:paraId="54E96615" w14:textId="77777777" w:rsidR="006E50FF" w:rsidRPr="006E50FF" w:rsidRDefault="006E50FF" w:rsidP="006E50FF">
      <w:pPr>
        <w:keepNext/>
        <w:jc w:val="center"/>
        <w:rPr>
          <w:b/>
          <w:noProof/>
        </w:rPr>
      </w:pPr>
      <w:r w:rsidRPr="006E50FF">
        <w:rPr>
          <w:b/>
          <w:noProof/>
        </w:rPr>
        <w:t>P</w:t>
      </w:r>
      <w:r w:rsidRPr="006E50FF">
        <w:rPr>
          <w:b/>
          <w:noProof/>
          <w:spacing w:val="1"/>
        </w:rPr>
        <w:t>a</w:t>
      </w:r>
      <w:r w:rsidRPr="006E50FF">
        <w:rPr>
          <w:b/>
          <w:noProof/>
        </w:rPr>
        <w:t>rt</w:t>
      </w:r>
      <w:r w:rsidRPr="006E50FF">
        <w:rPr>
          <w:b/>
          <w:noProof/>
          <w:spacing w:val="-1"/>
        </w:rPr>
        <w:t xml:space="preserve"> V</w:t>
      </w:r>
      <w:r w:rsidRPr="006E50FF">
        <w:rPr>
          <w:b/>
          <w:noProof/>
        </w:rPr>
        <w:t>I.  Un</w:t>
      </w:r>
      <w:r w:rsidRPr="006E50FF">
        <w:rPr>
          <w:b/>
          <w:noProof/>
          <w:spacing w:val="-1"/>
        </w:rPr>
        <w:t>if</w:t>
      </w:r>
      <w:r w:rsidRPr="006E50FF">
        <w:rPr>
          <w:b/>
          <w:noProof/>
          <w:spacing w:val="1"/>
        </w:rPr>
        <w:t>o</w:t>
      </w:r>
      <w:r w:rsidRPr="006E50FF">
        <w:rPr>
          <w:b/>
          <w:noProof/>
          <w:spacing w:val="-1"/>
        </w:rPr>
        <w:t>r</w:t>
      </w:r>
      <w:r w:rsidRPr="006E50FF">
        <w:rPr>
          <w:b/>
          <w:noProof/>
        </w:rPr>
        <w:t xml:space="preserve">m </w:t>
      </w:r>
      <w:r w:rsidRPr="006E50FF">
        <w:rPr>
          <w:b/>
          <w:noProof/>
          <w:spacing w:val="-1"/>
        </w:rPr>
        <w:t>C</w:t>
      </w:r>
      <w:r w:rsidRPr="006E50FF">
        <w:rPr>
          <w:b/>
          <w:noProof/>
          <w:spacing w:val="1"/>
        </w:rPr>
        <w:t>o</w:t>
      </w:r>
      <w:r w:rsidRPr="006E50FF">
        <w:rPr>
          <w:b/>
          <w:noProof/>
        </w:rPr>
        <w:t>n</w:t>
      </w:r>
      <w:r w:rsidRPr="006E50FF">
        <w:rPr>
          <w:b/>
          <w:noProof/>
          <w:spacing w:val="-1"/>
        </w:rPr>
        <w:t>s</w:t>
      </w:r>
      <w:r w:rsidRPr="006E50FF">
        <w:rPr>
          <w:b/>
          <w:noProof/>
        </w:rPr>
        <w:t>tru</w:t>
      </w:r>
      <w:r w:rsidRPr="006E50FF">
        <w:rPr>
          <w:b/>
          <w:noProof/>
          <w:spacing w:val="-1"/>
        </w:rPr>
        <w:t>c</w:t>
      </w:r>
      <w:r w:rsidRPr="006E50FF">
        <w:rPr>
          <w:b/>
          <w:noProof/>
        </w:rPr>
        <w:t>t</w:t>
      </w:r>
      <w:r w:rsidRPr="006E50FF">
        <w:rPr>
          <w:b/>
          <w:noProof/>
          <w:spacing w:val="-1"/>
        </w:rPr>
        <w:t>io</w:t>
      </w:r>
      <w:r w:rsidRPr="006E50FF">
        <w:rPr>
          <w:b/>
          <w:noProof/>
        </w:rPr>
        <w:t>n</w:t>
      </w:r>
      <w:r w:rsidRPr="006E50FF">
        <w:rPr>
          <w:b/>
          <w:noProof/>
          <w:spacing w:val="1"/>
        </w:rPr>
        <w:t xml:space="preserve"> </w:t>
      </w:r>
      <w:r w:rsidRPr="006E50FF">
        <w:rPr>
          <w:b/>
          <w:noProof/>
          <w:spacing w:val="-1"/>
        </w:rPr>
        <w:t>C</w:t>
      </w:r>
      <w:r w:rsidRPr="006E50FF">
        <w:rPr>
          <w:b/>
          <w:noProof/>
          <w:spacing w:val="1"/>
        </w:rPr>
        <w:t>o</w:t>
      </w:r>
      <w:r w:rsidRPr="006E50FF">
        <w:rPr>
          <w:b/>
          <w:noProof/>
        </w:rPr>
        <w:t>de Enforcement</w:t>
      </w:r>
    </w:p>
    <w:p w14:paraId="18FE230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spacing w:val="1"/>
          <w:kern w:val="2"/>
        </w:rPr>
        <w:t>C</w:t>
      </w:r>
      <w:r w:rsidRPr="006E50FF">
        <w:rPr>
          <w:b/>
          <w:spacing w:val="-1"/>
          <w:kern w:val="2"/>
        </w:rPr>
        <w:t>h</w:t>
      </w:r>
      <w:r w:rsidRPr="006E50FF">
        <w:rPr>
          <w:b/>
          <w:spacing w:val="1"/>
          <w:kern w:val="2"/>
        </w:rPr>
        <w:t>a</w:t>
      </w:r>
      <w:r w:rsidRPr="006E50FF">
        <w:rPr>
          <w:b/>
          <w:kern w:val="2"/>
        </w:rPr>
        <w:t>pt</w:t>
      </w:r>
      <w:r w:rsidRPr="006E50FF">
        <w:rPr>
          <w:b/>
          <w:spacing w:val="-1"/>
          <w:kern w:val="2"/>
        </w:rPr>
        <w:t>e</w:t>
      </w:r>
      <w:r w:rsidRPr="006E50FF">
        <w:rPr>
          <w:b/>
          <w:kern w:val="2"/>
        </w:rPr>
        <w:t>r</w:t>
      </w:r>
      <w:r w:rsidRPr="006E50FF">
        <w:rPr>
          <w:b/>
          <w:spacing w:val="-5"/>
          <w:kern w:val="2"/>
        </w:rPr>
        <w:t xml:space="preserve"> </w:t>
      </w:r>
      <w:r w:rsidRPr="006E50FF">
        <w:rPr>
          <w:b/>
          <w:spacing w:val="1"/>
          <w:kern w:val="2"/>
        </w:rPr>
        <w:t>7</w:t>
      </w:r>
      <w:r w:rsidRPr="006E50FF">
        <w:rPr>
          <w:b/>
          <w:kern w:val="2"/>
        </w:rPr>
        <w:t>.</w:t>
      </w:r>
      <w:r w:rsidRPr="006E50FF">
        <w:rPr>
          <w:b/>
          <w:kern w:val="2"/>
        </w:rPr>
        <w:tab/>
        <w:t xml:space="preserve">Certificates of Registration </w:t>
      </w:r>
    </w:p>
    <w:p w14:paraId="689361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§705.</w:t>
      </w:r>
      <w:r w:rsidRPr="006E50FF">
        <w:rPr>
          <w:b/>
          <w:kern w:val="2"/>
        </w:rPr>
        <w:tab/>
        <w:t xml:space="preserve">Third-Party Providers </w:t>
      </w:r>
    </w:p>
    <w:p w14:paraId="78FDD8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D.3.</w:t>
      </w:r>
      <w:r w:rsidRPr="006E50FF">
        <w:rPr>
          <w:kern w:val="2"/>
        </w:rPr>
        <w:tab/>
        <w:t>…</w:t>
      </w:r>
    </w:p>
    <w:p w14:paraId="3D6B79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rFonts w:ascii="Aptos" w:hAnsi="Aptos" w:cs="Aptos"/>
          <w:kern w:val="2"/>
        </w:rPr>
        <w:tab/>
      </w:r>
      <w:r w:rsidRPr="006E50FF">
        <w:rPr>
          <w:kern w:val="2"/>
        </w:rPr>
        <w:t>A wind mitigation surveyor shall be a specialty classification that can be applied for as a Building Code Enforcement Officer or Third-Party Provider. To obtain the wind mitigation surveyor specialty classification, the applicant must meet one of the following qualification requirements:</w:t>
      </w:r>
    </w:p>
    <w:p w14:paraId="5F1ADF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must hold an active license as a home inspector with the Louisiana State Board of Home Inspectors (LSBHI) and the licensee must remain in good standing with LSBHI; or</w:t>
      </w:r>
    </w:p>
    <w:p w14:paraId="250DD2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must hold an active Residential Building Inspector certification, an active Certified Building Official certification, or an active Master Code Professional certification, with the International Code Council (ICC) and the certified person must remain in good standing with ICC; or </w:t>
      </w:r>
    </w:p>
    <w:p w14:paraId="1E4405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must hold an active license as an architect with the Louisiana State Board of Architectural Examiners (LSBAE) and the licensee must remain in good standing with LSBAE; or</w:t>
      </w:r>
    </w:p>
    <w:p w14:paraId="3291DA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must hold an active license as an engineer with the Louisiana Professional Engineering and Land Surveying Board (LAPELS) and the licensee must remain in good standing with LAPELS.</w:t>
      </w:r>
    </w:p>
    <w:p w14:paraId="206902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779831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37:3727-3750.</w:t>
      </w:r>
    </w:p>
    <w:p w14:paraId="24A3DA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State Uniform Construction Code Council, LR 33:292 (February 2007), amended LR 33:2462 (November 2007), amended by the Department of Public Safety and Corrections, Office of Management and Finance, Uniform Construction Code Council, LR 35:491 (March 2009), amended by the Department of Public Safety and Corrections, State Uniform Construction Code Council, LR 35:2820 (December 2009), repromulgated LR 36:328 (February 2010), amended by the Office of the Governor, Uniform Construction Code Commission LR 52:1505 (September 2026).</w:t>
      </w:r>
    </w:p>
    <w:p w14:paraId="3D0EA9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67BB7C5" w14:textId="77777777" w:rsidR="006E50FF" w:rsidRPr="006E50FF" w:rsidRDefault="006E50FF" w:rsidP="006E50FF">
      <w:pPr>
        <w:keepNext/>
        <w:ind w:left="2160"/>
        <w:jc w:val="both"/>
      </w:pPr>
      <w:bookmarkStart w:id="70" w:name="_Hlk218749664"/>
      <w:r w:rsidRPr="006E50FF">
        <w:t>Brad Hassert</w:t>
      </w:r>
    </w:p>
    <w:p w14:paraId="0345FDC7" w14:textId="77777777" w:rsidR="006E50FF" w:rsidRPr="006E50FF" w:rsidRDefault="006E50FF" w:rsidP="006E50FF">
      <w:pPr>
        <w:keepNext/>
        <w:ind w:left="2160"/>
        <w:jc w:val="both"/>
      </w:pPr>
      <w:r w:rsidRPr="006E50FF">
        <w:t>Executive Director</w:t>
      </w:r>
      <w:bookmarkEnd w:id="70"/>
    </w:p>
    <w:p w14:paraId="2F255C7D" w14:textId="77777777" w:rsidR="006E50FF" w:rsidRPr="006E50FF" w:rsidRDefault="006E50FF" w:rsidP="006E50FF">
      <w:pPr>
        <w:keepNext/>
        <w:jc w:val="both"/>
        <w:rPr>
          <w:sz w:val="16"/>
          <w:szCs w:val="16"/>
        </w:rPr>
      </w:pPr>
      <w:r w:rsidRPr="006E50FF">
        <w:rPr>
          <w:sz w:val="16"/>
          <w:szCs w:val="16"/>
        </w:rPr>
        <w:t>2609#007</w:t>
      </w:r>
    </w:p>
    <w:p w14:paraId="4759ECCC" w14:textId="77777777" w:rsidR="006E50FF" w:rsidRPr="006E50FF" w:rsidRDefault="006E50FF" w:rsidP="006E50FF"/>
    <w:p w14:paraId="5FDE203B"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RULE</w:t>
      </w:r>
    </w:p>
    <w:p w14:paraId="67875445" w14:textId="77777777" w:rsidR="006E50FF" w:rsidRPr="006E50FF" w:rsidRDefault="006E50FF" w:rsidP="006E50FF">
      <w:pPr>
        <w:keepNext/>
        <w:jc w:val="center"/>
        <w:rPr>
          <w:rFonts w:eastAsia="Calibri"/>
          <w:b/>
          <w:noProof/>
        </w:rPr>
      </w:pPr>
      <w:r w:rsidRPr="006E50FF">
        <w:rPr>
          <w:rFonts w:eastAsia="Calibri"/>
          <w:b/>
          <w:noProof/>
        </w:rPr>
        <w:t>Department of Health</w:t>
      </w:r>
    </w:p>
    <w:p w14:paraId="4DB8B6EE" w14:textId="77777777" w:rsidR="006E50FF" w:rsidRPr="006E50FF" w:rsidRDefault="006E50FF" w:rsidP="006E50FF">
      <w:pPr>
        <w:keepNext/>
        <w:jc w:val="center"/>
        <w:rPr>
          <w:rFonts w:eastAsia="Calibri"/>
          <w:b/>
          <w:noProof/>
        </w:rPr>
      </w:pPr>
      <w:r w:rsidRPr="006E50FF">
        <w:rPr>
          <w:rFonts w:eastAsia="Calibri"/>
          <w:b/>
          <w:noProof/>
        </w:rPr>
        <w:t>Bureau of Health Services Financing</w:t>
      </w:r>
    </w:p>
    <w:p w14:paraId="424E9676" w14:textId="77777777" w:rsidR="006E50FF" w:rsidRPr="006E50FF" w:rsidRDefault="006E50FF" w:rsidP="006E50FF">
      <w:pPr>
        <w:keepNext/>
        <w:spacing w:before="240" w:after="240"/>
        <w:jc w:val="center"/>
        <w:rPr>
          <w:rFonts w:eastAsia="Calibri" w:cs="Courier New"/>
          <w:noProof/>
        </w:rPr>
      </w:pPr>
      <w:r w:rsidRPr="006E50FF">
        <w:rPr>
          <w:rFonts w:eastAsia="Calibri"/>
          <w:noProof/>
        </w:rPr>
        <w:t>Inpatient Hospital Services—Small Rural Hospitals</w:t>
      </w:r>
      <w:r w:rsidRPr="006E50FF">
        <w:rPr>
          <w:rFonts w:eastAsia="Calibri"/>
          <w:noProof/>
        </w:rPr>
        <w:br/>
        <w:t xml:space="preserve">Reimbursement Methodology </w:t>
      </w:r>
      <w:r w:rsidRPr="006E50FF">
        <w:rPr>
          <w:rFonts w:eastAsia="Calibri" w:cs="Courier New"/>
          <w:noProof/>
        </w:rPr>
        <w:t>(LAC 50:V.1125)</w:t>
      </w:r>
    </w:p>
    <w:p w14:paraId="5BEF0A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has amended LAC 50:V.1125 in the Medical Assistance Program as authorized by R.S. 36:254 and pursuant to Title XIX of the Social Security Act. This Rule is promulgated in accordance with the provisions of the Administrative Procedure Act, R.S. 49:950 et seq.</w:t>
      </w:r>
    </w:p>
    <w:p w14:paraId="7C627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Rule text below has been drafted utilizing plain language principles to ensure clarity and accessibility for all users. It has also been reviewed and tested for compliance with web accessibility standards. This Rule is hereby adopted on the day of promulgation. </w:t>
      </w:r>
    </w:p>
    <w:p w14:paraId="68E00F11" w14:textId="77777777" w:rsidR="006E50FF" w:rsidRPr="006E50FF" w:rsidRDefault="006E50FF" w:rsidP="006E50FF">
      <w:pPr>
        <w:keepNext/>
        <w:jc w:val="center"/>
        <w:rPr>
          <w:b/>
          <w:kern w:val="28"/>
        </w:rPr>
      </w:pPr>
      <w:r w:rsidRPr="006E50FF">
        <w:rPr>
          <w:b/>
          <w:kern w:val="28"/>
        </w:rPr>
        <w:t>Title 50</w:t>
      </w:r>
    </w:p>
    <w:p w14:paraId="76AEDE68" w14:textId="77777777" w:rsidR="006E50FF" w:rsidRPr="006E50FF" w:rsidRDefault="006E50FF" w:rsidP="006E50FF">
      <w:pPr>
        <w:keepNext/>
        <w:jc w:val="center"/>
        <w:rPr>
          <w:b/>
          <w:kern w:val="28"/>
        </w:rPr>
      </w:pPr>
      <w:r w:rsidRPr="006E50FF">
        <w:rPr>
          <w:b/>
          <w:kern w:val="28"/>
        </w:rPr>
        <w:t>PUBLIC HEALTH—MEDICAL ASSISTANCE</w:t>
      </w:r>
    </w:p>
    <w:p w14:paraId="2D9736D1" w14:textId="77777777" w:rsidR="006E50FF" w:rsidRPr="006E50FF" w:rsidRDefault="006E50FF" w:rsidP="006E50FF">
      <w:pPr>
        <w:keepNext/>
        <w:jc w:val="center"/>
        <w:rPr>
          <w:b/>
          <w:noProof/>
        </w:rPr>
      </w:pPr>
      <w:r w:rsidRPr="006E50FF">
        <w:rPr>
          <w:b/>
          <w:noProof/>
        </w:rPr>
        <w:t>Part V.  Hospital Services</w:t>
      </w:r>
    </w:p>
    <w:p w14:paraId="1D1EAD4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Rural, Non-State Hospitals</w:t>
      </w:r>
    </w:p>
    <w:p w14:paraId="3CEAE70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B.</w:t>
      </w:r>
      <w:r w:rsidRPr="006E50FF">
        <w:rPr>
          <w:b/>
          <w:kern w:val="2"/>
        </w:rPr>
        <w:tab/>
        <w:t>Reimbursement Methodology</w:t>
      </w:r>
    </w:p>
    <w:p w14:paraId="1AAD7D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§1125.</w:t>
      </w:r>
      <w:r w:rsidRPr="006E50FF">
        <w:rPr>
          <w:b/>
          <w:kern w:val="2"/>
        </w:rPr>
        <w:tab/>
        <w:t>Small Rural Hospitals</w:t>
      </w:r>
    </w:p>
    <w:p w14:paraId="0CAD3F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71" w:name="_Hlk229557204"/>
      <w:r w:rsidRPr="006E50FF">
        <w:rPr>
          <w:kern w:val="2"/>
        </w:rPr>
        <w:t>A. - E.2.b</w:t>
      </w:r>
      <w:r w:rsidRPr="006E50FF">
        <w:rPr>
          <w:kern w:val="2"/>
        </w:rPr>
        <w:tab/>
        <w:t>...</w:t>
      </w:r>
    </w:p>
    <w:p w14:paraId="6D6533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Public Non-State Small Rural Hospitals. Effective for dates of service on or after September 20, 2026, quarterly supplemental payments will be issued to qualifying small rural hospitals. These payments apply to inpatient hospital services rendered during the quarter. Maximum aggregate payments to all qualifying hospitals in this group shall not exceed the available upper payment limit for the state fiscal year.</w:t>
      </w:r>
    </w:p>
    <w:p w14:paraId="5E755F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Qualifying Criteria. In order to qualify, as of September 30, 2025, the small rural hospital must:</w:t>
      </w:r>
    </w:p>
    <w:p w14:paraId="57CAC1D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 publicly (non-state) owned and operated;</w:t>
      </w:r>
    </w:p>
    <w:p w14:paraId="187B477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located in LDH administrative region 6;</w:t>
      </w:r>
    </w:p>
    <w:p w14:paraId="4C70C14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have at least 30 licensed inpatient acute beds and at least 16 inpatient distinct part psychiatric unit beds; and</w:t>
      </w:r>
    </w:p>
    <w:p w14:paraId="1CB4552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not have critical access hospital designation by Medicare per 42 C.F.R. Part 485 Subpart F.</w:t>
      </w:r>
    </w:p>
    <w:p w14:paraId="4D32A8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Effective for dates of service on or after September 20, 2026, each qualifying hospital shall receive quarterly supplemental payments. These payments apply to the inpatient services rendered during the quarter. Quarterly </w:t>
      </w:r>
      <w:r w:rsidRPr="006E50FF">
        <w:rPr>
          <w:kern w:val="2"/>
        </w:rPr>
        <w:t>payment distribution shall be limited to one fourth of the lesser of:</w:t>
      </w:r>
    </w:p>
    <w:p w14:paraId="2B7C19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difference between a qualifying hospital's inpatient Medicaid billed charges and the Medicaid payments it receives for covered inpatient services furnished to Medicaid beneficiaries. Medicaid billed charges and payments will be based on a 12 consecutive month period for claims data selected by the department; or</w:t>
      </w:r>
    </w:p>
    <w:p w14:paraId="52FB997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for hospitals participating in the Medicaid Disproportionate Share Hospital (DSH) Program, the difference between the hospital's DSH limit and the DSH payments it receives for the applicable payment period.</w:t>
      </w:r>
    </w:p>
    <w:bookmarkEnd w:id="71"/>
    <w:p w14:paraId="193AB0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7B8D971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Hospitals, Bureau of Health Services Financing, LR 35:955 (May 2009), amended LR 38:1240 (May 2012), LR 40:541 (March 2014), amended by the Department of Health, Bureau of Health Services Financing, LR 52:1506 (September 2026). </w:t>
      </w:r>
    </w:p>
    <w:p w14:paraId="01EB02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2FCC20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505B2D9" w14:textId="77777777" w:rsidR="006E50FF" w:rsidRPr="006E50FF" w:rsidRDefault="006E50FF" w:rsidP="006E50FF">
      <w:pPr>
        <w:keepNext/>
        <w:ind w:left="2160"/>
        <w:jc w:val="both"/>
      </w:pPr>
      <w:r w:rsidRPr="006E50FF">
        <w:t>Bruce D. Greenstein</w:t>
      </w:r>
    </w:p>
    <w:p w14:paraId="06AAFBDD" w14:textId="77777777" w:rsidR="006E50FF" w:rsidRPr="006E50FF" w:rsidRDefault="006E50FF" w:rsidP="006E50FF">
      <w:pPr>
        <w:keepNext/>
        <w:ind w:left="2160"/>
        <w:jc w:val="both"/>
      </w:pPr>
      <w:r w:rsidRPr="006E50FF">
        <w:t>Secretary</w:t>
      </w:r>
    </w:p>
    <w:p w14:paraId="688CF645" w14:textId="77777777" w:rsidR="006E50FF" w:rsidRPr="006E50FF" w:rsidRDefault="006E50FF" w:rsidP="006E50FF">
      <w:pPr>
        <w:rPr>
          <w:noProof/>
          <w:sz w:val="16"/>
        </w:rPr>
      </w:pPr>
      <w:r w:rsidRPr="006E50FF">
        <w:rPr>
          <w:noProof/>
          <w:sz w:val="16"/>
        </w:rPr>
        <w:t>2609#053</w:t>
      </w:r>
    </w:p>
    <w:p w14:paraId="02D09C9F" w14:textId="77777777" w:rsidR="006E50FF" w:rsidRPr="006E50FF" w:rsidRDefault="006E50FF" w:rsidP="006E50FF"/>
    <w:p w14:paraId="1815344A" w14:textId="77777777" w:rsidR="006E50FF" w:rsidRPr="006E50FF" w:rsidRDefault="006E50FF" w:rsidP="006E50FF">
      <w:pPr>
        <w:keepNext/>
        <w:tabs>
          <w:tab w:val="left" w:pos="-1440"/>
        </w:tabs>
        <w:spacing w:after="120"/>
        <w:jc w:val="center"/>
        <w:rPr>
          <w:b/>
          <w:noProof/>
        </w:rPr>
      </w:pPr>
      <w:r w:rsidRPr="006E50FF">
        <w:rPr>
          <w:b/>
          <w:noProof/>
        </w:rPr>
        <w:t>RULE</w:t>
      </w:r>
    </w:p>
    <w:p w14:paraId="0083BB07" w14:textId="77777777" w:rsidR="006E50FF" w:rsidRPr="006E50FF" w:rsidRDefault="006E50FF" w:rsidP="006E50FF">
      <w:pPr>
        <w:keepNext/>
        <w:jc w:val="center"/>
        <w:rPr>
          <w:b/>
          <w:noProof/>
        </w:rPr>
      </w:pPr>
      <w:r w:rsidRPr="006E50FF">
        <w:rPr>
          <w:b/>
          <w:noProof/>
        </w:rPr>
        <w:t>Department of Insurance</w:t>
      </w:r>
    </w:p>
    <w:p w14:paraId="58AAB23D" w14:textId="77777777" w:rsidR="006E50FF" w:rsidRPr="006E50FF" w:rsidRDefault="006E50FF" w:rsidP="006E50FF">
      <w:pPr>
        <w:keepNext/>
        <w:jc w:val="center"/>
        <w:rPr>
          <w:b/>
          <w:noProof/>
        </w:rPr>
      </w:pPr>
      <w:r w:rsidRPr="006E50FF">
        <w:rPr>
          <w:b/>
          <w:noProof/>
        </w:rPr>
        <w:t>Office of the Commissioner</w:t>
      </w:r>
    </w:p>
    <w:p w14:paraId="2784BEEE" w14:textId="77777777" w:rsidR="006E50FF" w:rsidRPr="006E50FF" w:rsidRDefault="006E50FF" w:rsidP="006E50FF">
      <w:pPr>
        <w:keepNext/>
        <w:spacing w:before="240" w:after="240"/>
        <w:jc w:val="center"/>
        <w:rPr>
          <w:noProof/>
        </w:rPr>
      </w:pPr>
      <w:r w:rsidRPr="006E50FF">
        <w:rPr>
          <w:noProof/>
        </w:rPr>
        <w:t>Regulation 136—Fortify Homes Premium Discounts</w:t>
      </w:r>
      <w:r w:rsidRPr="006E50FF">
        <w:rPr>
          <w:noProof/>
        </w:rPr>
        <w:br/>
        <w:t>(LAC 37:XIII.Chapter 209)</w:t>
      </w:r>
    </w:p>
    <w:p w14:paraId="2A9D7D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72" w:name="_Hlk21514300"/>
      <w:r w:rsidRPr="006E50FF">
        <w:rPr>
          <w:kern w:val="2"/>
        </w:rPr>
        <w:t>The Department of Insurance, pursuant to the authority of the Louisiana Insurance Code, R.S. 22:1 et seq., and in accordance with the Administrative Procedure Act, R.S. 49:950 et seq., hereby promulgates Regulation 136—Fortify Homes Premium Discounts.</w:t>
      </w:r>
    </w:p>
    <w:p w14:paraId="76E6D3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Fortify Homes Premium Discount, enacted through the passage of Act 1 of the 2023 Regular Session, Act 12 of the 2023 Regular Session, and Act 533 of the 2024 Regular Session of the Louisiana Legislature, requires insurers to provide a premium discount or insurance rate reduction for a FORTIFIED home or commercial property in accordance with the standards created by the Insurance Institute for Business and Home Safety. This Rule is hereby adopted on the day of promulgation. </w:t>
      </w:r>
    </w:p>
    <w:bookmarkEnd w:id="72"/>
    <w:p w14:paraId="1051AAEC" w14:textId="77777777" w:rsidR="006E50FF" w:rsidRPr="006E50FF" w:rsidRDefault="006E50FF" w:rsidP="006E50FF">
      <w:pPr>
        <w:keepNext/>
        <w:jc w:val="center"/>
        <w:rPr>
          <w:b/>
          <w:kern w:val="28"/>
        </w:rPr>
      </w:pPr>
      <w:r w:rsidRPr="006E50FF">
        <w:rPr>
          <w:b/>
          <w:kern w:val="28"/>
        </w:rPr>
        <w:t>Title 37</w:t>
      </w:r>
    </w:p>
    <w:p w14:paraId="2816D4B6" w14:textId="77777777" w:rsidR="006E50FF" w:rsidRPr="006E50FF" w:rsidRDefault="006E50FF" w:rsidP="006E50FF">
      <w:pPr>
        <w:keepNext/>
        <w:jc w:val="center"/>
        <w:rPr>
          <w:b/>
          <w:kern w:val="28"/>
        </w:rPr>
      </w:pPr>
      <w:r w:rsidRPr="006E50FF">
        <w:rPr>
          <w:b/>
          <w:kern w:val="28"/>
        </w:rPr>
        <w:t>INSURANCE</w:t>
      </w:r>
    </w:p>
    <w:p w14:paraId="0EEB0DB5" w14:textId="77777777" w:rsidR="006E50FF" w:rsidRPr="006E50FF" w:rsidRDefault="006E50FF" w:rsidP="006E50FF">
      <w:pPr>
        <w:keepNext/>
        <w:jc w:val="center"/>
        <w:rPr>
          <w:b/>
          <w:noProof/>
        </w:rPr>
      </w:pPr>
      <w:r w:rsidRPr="006E50FF">
        <w:rPr>
          <w:b/>
          <w:noProof/>
        </w:rPr>
        <w:t>Part XIII.  Regulations</w:t>
      </w:r>
    </w:p>
    <w:p w14:paraId="6A79861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kern w:val="2"/>
        </w:rPr>
        <w:t>Chapter 209.</w:t>
      </w:r>
      <w:r w:rsidRPr="006E50FF">
        <w:rPr>
          <w:b/>
          <w:kern w:val="2"/>
        </w:rPr>
        <w:tab/>
        <w:t>Regulation Number 136—Fortify Homes Premium Discounts</w:t>
      </w:r>
    </w:p>
    <w:p w14:paraId="5319CF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 w:name="_Toc41643424"/>
      <w:bookmarkStart w:id="74" w:name="_Toc41643432"/>
      <w:r w:rsidRPr="006E50FF">
        <w:rPr>
          <w:b/>
          <w:kern w:val="2"/>
        </w:rPr>
        <w:t>§20901.</w:t>
      </w:r>
      <w:r w:rsidRPr="006E50FF">
        <w:rPr>
          <w:b/>
          <w:kern w:val="2"/>
        </w:rPr>
        <w:tab/>
        <w:t>Purpose</w:t>
      </w:r>
      <w:bookmarkEnd w:id="73"/>
    </w:p>
    <w:p w14:paraId="20424B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purpose of Regulation 136 is to establish mandatory property insurance discounts with respect to homes that meet or exceed the FORTIFIED requirements set forth in R.S. 22:1483, et seq.</w:t>
      </w:r>
    </w:p>
    <w:p w14:paraId="2A4A602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5" w:name="_Hlk73018471"/>
      <w:r w:rsidRPr="006E50FF">
        <w:rPr>
          <w:kern w:val="2"/>
          <w:sz w:val="18"/>
        </w:rPr>
        <w:t>AUTHORITY NOTE:</w:t>
      </w:r>
      <w:r w:rsidRPr="006E50FF">
        <w:rPr>
          <w:kern w:val="2"/>
          <w:sz w:val="18"/>
        </w:rPr>
        <w:tab/>
        <w:t>Promulgated in accordance with R.S. 22:1, 22:11, 22:1483, et seq., and the Administrative Procedure Act, R.S. 49:950 et seq.</w:t>
      </w:r>
    </w:p>
    <w:bookmarkEnd w:id="75"/>
    <w:p w14:paraId="02568B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Insurance, Office of the Commissioner, LR 52:1506 (September 2026).</w:t>
      </w:r>
    </w:p>
    <w:p w14:paraId="4D36AD4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§20903.</w:t>
      </w:r>
      <w:bookmarkEnd w:id="74"/>
      <w:r w:rsidRPr="006E50FF">
        <w:rPr>
          <w:b/>
          <w:kern w:val="2"/>
        </w:rPr>
        <w:tab/>
        <w:t>Applicability and Scope</w:t>
      </w:r>
    </w:p>
    <w:p w14:paraId="45A31D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Regulation 136 shall apply to all admitted insurers authorized to write property and casualty insurance in Louisiana.</w:t>
      </w:r>
    </w:p>
    <w:p w14:paraId="1DA996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bookmarkStart w:id="76" w:name="_Hlk184797703"/>
      <w:r w:rsidRPr="006E50FF">
        <w:rPr>
          <w:kern w:val="2"/>
          <w:sz w:val="18"/>
          <w:szCs w:val="18"/>
        </w:rPr>
        <w:t>AUTHORITY NOTE:</w:t>
      </w:r>
      <w:r w:rsidRPr="006E50FF">
        <w:rPr>
          <w:kern w:val="2"/>
          <w:sz w:val="18"/>
          <w:szCs w:val="18"/>
        </w:rPr>
        <w:tab/>
        <w:t xml:space="preserve">Promulgated in accordance with </w:t>
      </w:r>
      <w:r w:rsidRPr="006E50FF">
        <w:rPr>
          <w:kern w:val="2"/>
          <w:sz w:val="18"/>
        </w:rPr>
        <w:t>R.S. 22:1, 22:11, 22:1483, et seq., and the Administrative Procedure Act, R.S. 49:950 et seq</w:t>
      </w:r>
      <w:r w:rsidRPr="006E50FF">
        <w:rPr>
          <w:kern w:val="2"/>
          <w:sz w:val="18"/>
          <w:szCs w:val="18"/>
        </w:rPr>
        <w:t>.</w:t>
      </w:r>
    </w:p>
    <w:p w14:paraId="0E019A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6E8D52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§20905.</w:t>
      </w:r>
      <w:r w:rsidRPr="006E50FF">
        <w:rPr>
          <w:b/>
          <w:kern w:val="2"/>
        </w:rPr>
        <w:tab/>
        <w:t>Definitions</w:t>
      </w:r>
    </w:p>
    <w:p w14:paraId="3EB37B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Strictly for the purposes of Regulation 136, the following terms are defined as follows: </w:t>
      </w:r>
    </w:p>
    <w:p w14:paraId="06A083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
          <w:iCs/>
          <w:kern w:val="2"/>
        </w:rPr>
        <w:t>Commissioner—</w:t>
      </w:r>
      <w:r w:rsidRPr="006E50FF">
        <w:rPr>
          <w:kern w:val="2"/>
        </w:rPr>
        <w:t>the Louisiana Commissioner of Insurance.</w:t>
      </w:r>
    </w:p>
    <w:p w14:paraId="56D9B3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r>
      <w:r w:rsidRPr="006E50FF">
        <w:rPr>
          <w:i/>
          <w:iCs/>
          <w:kern w:val="2"/>
        </w:rPr>
        <w:t>FORTIFIED</w:t>
      </w:r>
      <w:r w:rsidRPr="006E50FF">
        <w:rPr>
          <w:kern w:val="2"/>
        </w:rPr>
        <w:t>—a program of IBHS.</w:t>
      </w:r>
    </w:p>
    <w:p w14:paraId="78CFE9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r>
      <w:r w:rsidRPr="006E50FF">
        <w:rPr>
          <w:i/>
          <w:iCs/>
          <w:kern w:val="2"/>
        </w:rPr>
        <w:t>Insurance Institute for Business and Home Safety (IBHS)</w:t>
      </w:r>
      <w:r w:rsidRPr="006E50FF">
        <w:rPr>
          <w:kern w:val="2"/>
        </w:rPr>
        <w:t>—a non-profit research and communications organization of the property and casualty insurance industry that defines the FORTIFIED roofing construction standard for homes, information for which can be found at www.fortifiedhome.org.</w:t>
      </w:r>
    </w:p>
    <w:p w14:paraId="5B4F7F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13EC51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Insurance, Office of the Commissioner, LR 52:1507 (September 2026). </w:t>
      </w:r>
    </w:p>
    <w:bookmarkEnd w:id="76"/>
    <w:p w14:paraId="6BF561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§20907.</w:t>
      </w:r>
      <w:r w:rsidRPr="006E50FF">
        <w:rPr>
          <w:b/>
          <w:kern w:val="2"/>
        </w:rPr>
        <w:tab/>
        <w:t>Premium Discounts Required</w:t>
      </w:r>
    </w:p>
    <w:p w14:paraId="3FA3E1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Insurers must provide a premium discount or insurance rate reduction for residential property constructed or improved in accordance with the provisions articulated in R.S. 22:1483, et seq. to mitigate losses occasioned by a hurricane, tornado, or other catastrophic windstorm event and has received a FORTIFIED designation in accordance with IBHS standards.</w:t>
      </w:r>
    </w:p>
    <w:p w14:paraId="0D0934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351EC85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rPr>
      </w:pPr>
      <w:r w:rsidRPr="006E50FF">
        <w:rPr>
          <w:kern w:val="2"/>
          <w:sz w:val="18"/>
        </w:rPr>
        <w:t>HISTORICAL NOTE:</w:t>
      </w:r>
      <w:r w:rsidRPr="006E50FF">
        <w:rPr>
          <w:kern w:val="2"/>
          <w:sz w:val="18"/>
        </w:rPr>
        <w:tab/>
        <w:t>Promulgated by the Department of Insurance, Office of the Commissioner, LR 52:1507 (September 2026).</w:t>
      </w:r>
    </w:p>
    <w:p w14:paraId="78F78C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§20909.</w:t>
      </w:r>
      <w:r w:rsidRPr="006E50FF">
        <w:rPr>
          <w:b/>
          <w:kern w:val="2"/>
        </w:rPr>
        <w:tab/>
        <w:t>Amount of Discount</w:t>
      </w:r>
    </w:p>
    <w:p w14:paraId="4BE89D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All insurers authorized to write property and casualty insurance in Louisiana must provide a premium discount or insurance rate reduction in accordance with the rates published on the Department of Insurance’s website, at https://www.ldi.la.gov/ for all eligible properties as contemplated in §20907 herein. Insurers may offer a discount or rate reduction greater than thirty percent in accordance with §20915 below. </w:t>
      </w:r>
    </w:p>
    <w:p w14:paraId="35E67E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7" w:name="_Hlk184799420"/>
      <w:bookmarkStart w:id="78" w:name="_Hlk184735736"/>
      <w:r w:rsidRPr="006E50FF">
        <w:rPr>
          <w:kern w:val="2"/>
          <w:sz w:val="18"/>
        </w:rPr>
        <w:t>AUTHORITY NOTE:</w:t>
      </w:r>
      <w:r w:rsidRPr="006E50FF">
        <w:rPr>
          <w:kern w:val="2"/>
          <w:sz w:val="18"/>
        </w:rPr>
        <w:tab/>
        <w:t>Promulgated in accordance with R.S. 22:1, 22:11, 22:1483, et seq., and the Administrative Procedure Act, R.S. 49:950 et seq.</w:t>
      </w:r>
    </w:p>
    <w:p w14:paraId="669CD3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297CD7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br w:type="column"/>
      </w:r>
      <w:r w:rsidRPr="006E50FF">
        <w:rPr>
          <w:b/>
          <w:kern w:val="2"/>
        </w:rPr>
        <w:t>§20911.</w:t>
      </w:r>
      <w:r w:rsidRPr="006E50FF">
        <w:rPr>
          <w:b/>
          <w:kern w:val="2"/>
        </w:rPr>
        <w:tab/>
        <w:t>Discount Filing Requirements</w:t>
      </w:r>
    </w:p>
    <w:p w14:paraId="3561D7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insurers authorized to write property and casualty insurance in Louisiana must obtain approval from the Commissioner for all premium discounts offered in accordance with this Regulation.</w:t>
      </w:r>
      <w:bookmarkEnd w:id="77"/>
      <w:bookmarkEnd w:id="78"/>
    </w:p>
    <w:p w14:paraId="059BE8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493662B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4675BE0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§20913.</w:t>
      </w:r>
      <w:r w:rsidRPr="006E50FF">
        <w:rPr>
          <w:b/>
          <w:kern w:val="2"/>
        </w:rPr>
        <w:tab/>
        <w:t>Request to Offer Lower Premium Discounts</w:t>
      </w:r>
    </w:p>
    <w:p w14:paraId="2E06F6B2" w14:textId="77777777" w:rsidR="006E50FF" w:rsidRPr="006E50FF" w:rsidRDefault="006E50FF" w:rsidP="006E50FF">
      <w:pPr>
        <w:tabs>
          <w:tab w:val="left" w:pos="720"/>
          <w:tab w:val="left" w:pos="979"/>
          <w:tab w:val="left" w:pos="1152"/>
        </w:tabs>
        <w:ind w:firstLine="360"/>
        <w:jc w:val="both"/>
        <w:outlineLvl w:val="4"/>
        <w:rPr>
          <w:kern w:val="2"/>
        </w:rPr>
      </w:pPr>
      <w:bookmarkStart w:id="79" w:name="_Hlk184799632"/>
      <w:bookmarkStart w:id="80" w:name="_Hlk184799647"/>
      <w:r w:rsidRPr="006E50FF">
        <w:rPr>
          <w:kern w:val="2"/>
        </w:rPr>
        <w:t>A.</w:t>
      </w:r>
      <w:r w:rsidRPr="006E50FF">
        <w:rPr>
          <w:kern w:val="2"/>
        </w:rPr>
        <w:tab/>
        <w:t>If an insurer wishes to offer premium discounts or rate reductions below the rates published on the Department of Insurance’s website and made mandatory in §20909 herein, the insurer must file a request with the commissioner, seeking permission to deviate from the mandatory discount range. The request must include detailed actuarial justification for the proposed deficient premium discount</w:t>
      </w:r>
      <w:bookmarkEnd w:id="79"/>
      <w:bookmarkEnd w:id="80"/>
      <w:r w:rsidRPr="006E50FF">
        <w:rPr>
          <w:kern w:val="2"/>
        </w:rPr>
        <w:t xml:space="preserve"> or insurance rate reduction.</w:t>
      </w:r>
    </w:p>
    <w:p w14:paraId="5C32C5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81" w:name="_Hlk184797878"/>
      <w:bookmarkStart w:id="82" w:name="_Hlk184797966"/>
      <w:bookmarkStart w:id="83" w:name="_Hlk182826306"/>
      <w:r w:rsidRPr="006E50FF">
        <w:rPr>
          <w:kern w:val="2"/>
          <w:sz w:val="18"/>
        </w:rPr>
        <w:t>AUTHORITY NOTE:</w:t>
      </w:r>
      <w:r w:rsidRPr="006E50FF">
        <w:rPr>
          <w:kern w:val="2"/>
          <w:sz w:val="18"/>
        </w:rPr>
        <w:tab/>
        <w:t>Promulgated in accordance with R.S. 22:1, 22:11, 22:1483, et seq., and the Administrative Procedure Act, R.S. 49:950 et seq.</w:t>
      </w:r>
    </w:p>
    <w:p w14:paraId="22C930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bookmarkEnd w:id="81"/>
    <w:bookmarkEnd w:id="82"/>
    <w:bookmarkEnd w:id="83"/>
    <w:p w14:paraId="1B5020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§20915.</w:t>
      </w:r>
      <w:r w:rsidRPr="006E50FF">
        <w:rPr>
          <w:b/>
          <w:kern w:val="2"/>
        </w:rPr>
        <w:tab/>
        <w:t>Additional Premium Discounts Permitted</w:t>
      </w:r>
    </w:p>
    <w:p w14:paraId="6C0125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 the extent an insurer wishes to adopt discounts or reduce rates in excess of the rates published on the Department of Insurance’s website, the insurer may do so provided the discount or rate reduction is actuarially justified.</w:t>
      </w:r>
    </w:p>
    <w:p w14:paraId="0312C9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02C983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07C3C87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szCs w:val="18"/>
        </w:rPr>
      </w:pPr>
      <w:r w:rsidRPr="006E50FF">
        <w:rPr>
          <w:b/>
          <w:bCs/>
          <w:kern w:val="2"/>
        </w:rPr>
        <w:t>§20917.</w:t>
      </w:r>
      <w:bookmarkStart w:id="84" w:name="_Hlk184800289"/>
      <w:r w:rsidRPr="006E50FF">
        <w:rPr>
          <w:b/>
          <w:bCs/>
          <w:kern w:val="2"/>
        </w:rPr>
        <w:tab/>
      </w:r>
      <w:r w:rsidRPr="006E50FF">
        <w:rPr>
          <w:b/>
          <w:kern w:val="2"/>
        </w:rPr>
        <w:t>Severability</w:t>
      </w:r>
    </w:p>
    <w:p w14:paraId="7CEE3B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 xml:space="preserve">The provisions </w:t>
      </w:r>
      <w:bookmarkEnd w:id="84"/>
      <w:r w:rsidRPr="006E50FF">
        <w:rPr>
          <w:kern w:val="2"/>
        </w:rPr>
        <w:t>of this Subpart are severable. If any provision or item of this Subpart, or application thereof, is held invalid, such invalidity shall not affect other provisions, items, or applications of this Subpart which are to be given effect without the invalid provision, item, or application of the Subpart.</w:t>
      </w:r>
    </w:p>
    <w:p w14:paraId="5A7B80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4EF0D5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082FEE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§20919.</w:t>
      </w:r>
      <w:r w:rsidRPr="006E50FF">
        <w:rPr>
          <w:b/>
          <w:kern w:val="2"/>
        </w:rPr>
        <w:tab/>
        <w:t>Effective Date</w:t>
      </w:r>
    </w:p>
    <w:p w14:paraId="31E630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regulation shall become effective upon final publication in the </w:t>
      </w:r>
      <w:r w:rsidRPr="006E50FF">
        <w:rPr>
          <w:i/>
          <w:iCs/>
          <w:kern w:val="2"/>
        </w:rPr>
        <w:t>Louisiana Register</w:t>
      </w:r>
      <w:r w:rsidRPr="006E50FF">
        <w:rPr>
          <w:kern w:val="2"/>
        </w:rPr>
        <w:t>.</w:t>
      </w:r>
    </w:p>
    <w:p w14:paraId="66D81F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0C3442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4BD4F3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37E5AD9" w14:textId="77777777" w:rsidR="006E50FF" w:rsidRPr="006E50FF" w:rsidRDefault="006E50FF" w:rsidP="006E50FF">
      <w:pPr>
        <w:keepNext/>
        <w:ind w:left="2160"/>
        <w:jc w:val="both"/>
      </w:pPr>
      <w:r w:rsidRPr="006E50FF">
        <w:t>Timothy J. Temple</w:t>
      </w:r>
    </w:p>
    <w:p w14:paraId="61701816" w14:textId="77777777" w:rsidR="006E50FF" w:rsidRPr="006E50FF" w:rsidRDefault="006E50FF" w:rsidP="006E50FF">
      <w:pPr>
        <w:keepNext/>
        <w:ind w:left="2160"/>
        <w:jc w:val="both"/>
      </w:pPr>
      <w:r w:rsidRPr="006E50FF">
        <w:t>Commissioner</w:t>
      </w:r>
    </w:p>
    <w:p w14:paraId="2458FB5B" w14:textId="77777777" w:rsidR="006E50FF" w:rsidRPr="006E50FF" w:rsidRDefault="006E50FF" w:rsidP="006E50FF">
      <w:pPr>
        <w:rPr>
          <w:noProof/>
          <w:sz w:val="16"/>
        </w:rPr>
      </w:pPr>
      <w:r w:rsidRPr="006E50FF">
        <w:rPr>
          <w:noProof/>
          <w:sz w:val="16"/>
        </w:rPr>
        <w:t>2609#002</w:t>
      </w:r>
    </w:p>
    <w:p w14:paraId="04AF931A" w14:textId="77777777" w:rsidR="006E50FF" w:rsidRPr="006E50FF" w:rsidRDefault="006E50FF" w:rsidP="006E50FF"/>
    <w:p w14:paraId="5EAAF308" w14:textId="77777777" w:rsidR="006E50FF" w:rsidRPr="006E50FF" w:rsidRDefault="006E50FF" w:rsidP="006E50FF">
      <w:pPr>
        <w:keepNext/>
        <w:tabs>
          <w:tab w:val="left" w:pos="-1440"/>
        </w:tabs>
        <w:spacing w:after="120"/>
        <w:jc w:val="center"/>
        <w:rPr>
          <w:b/>
          <w:noProof/>
        </w:rPr>
      </w:pPr>
      <w:r w:rsidRPr="006E50FF">
        <w:rPr>
          <w:b/>
          <w:noProof/>
        </w:rPr>
        <w:lastRenderedPageBreak/>
        <w:t>RULE</w:t>
      </w:r>
    </w:p>
    <w:p w14:paraId="5F3A68A6" w14:textId="77777777" w:rsidR="006E50FF" w:rsidRPr="006E50FF" w:rsidRDefault="006E50FF" w:rsidP="006E50FF">
      <w:pPr>
        <w:keepNext/>
        <w:jc w:val="center"/>
        <w:rPr>
          <w:b/>
          <w:noProof/>
        </w:rPr>
      </w:pPr>
      <w:r w:rsidRPr="006E50FF">
        <w:rPr>
          <w:b/>
          <w:noProof/>
        </w:rPr>
        <w:t>Department of Insurance</w:t>
      </w:r>
    </w:p>
    <w:p w14:paraId="5ECD93FA" w14:textId="77777777" w:rsidR="006E50FF" w:rsidRPr="006E50FF" w:rsidRDefault="006E50FF" w:rsidP="006E50FF">
      <w:pPr>
        <w:keepNext/>
        <w:jc w:val="center"/>
        <w:rPr>
          <w:b/>
          <w:noProof/>
        </w:rPr>
      </w:pPr>
      <w:r w:rsidRPr="006E50FF">
        <w:rPr>
          <w:b/>
          <w:noProof/>
        </w:rPr>
        <w:t>Office of the Commissioner</w:t>
      </w:r>
    </w:p>
    <w:p w14:paraId="0FB2B856" w14:textId="77777777" w:rsidR="006E50FF" w:rsidRPr="006E50FF" w:rsidRDefault="006E50FF" w:rsidP="006E50FF">
      <w:pPr>
        <w:keepNext/>
        <w:spacing w:before="240" w:after="240"/>
        <w:jc w:val="center"/>
        <w:rPr>
          <w:noProof/>
        </w:rPr>
      </w:pPr>
      <w:r w:rsidRPr="006E50FF">
        <w:rPr>
          <w:noProof/>
        </w:rPr>
        <w:t>Regulation 139—Captive Insurance Companies</w:t>
      </w:r>
      <w:r w:rsidRPr="006E50FF">
        <w:rPr>
          <w:noProof/>
        </w:rPr>
        <w:br/>
        <w:t>(LAC 37:XIII.Chapter 215)</w:t>
      </w:r>
    </w:p>
    <w:p w14:paraId="56567E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Insurance, pursuant to the authority of the Louisiana Insurance Code, R.S. 22:1 et seq., and in accordance with the Administrative Procedure Act, R.S. 49:950 et seq., hereby promulgates Regulation 139—C</w:t>
      </w:r>
      <w:r w:rsidRPr="006E50FF">
        <w:rPr>
          <w:noProof/>
          <w:kern w:val="2"/>
        </w:rPr>
        <w:t xml:space="preserve">aptive </w:t>
      </w:r>
      <w:r w:rsidRPr="006E50FF">
        <w:rPr>
          <w:kern w:val="2"/>
        </w:rPr>
        <w:t xml:space="preserve">Insurance Companies. </w:t>
      </w:r>
    </w:p>
    <w:p w14:paraId="4F4F3E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8"/>
        </w:rPr>
      </w:pPr>
      <w:r w:rsidRPr="006E50FF">
        <w:rPr>
          <w:kern w:val="2"/>
        </w:rPr>
        <w:t xml:space="preserve">The Department of Insurance is promulgating Regulation 139 to comply with Act No. 313 of the 2025 Regular Session of the Louisiana Legislature, which enacted R.S. 22:550.1 through 550.32, known as the Creating Holistic Options in Coverage for Enterprise and Self-Insurance (CHOICES) Law. Act 313 establishes a comprehensive statutory framework for the formation, licensing, regulation, and taxation of domestic captive insurance companies and risk retention groups and grants the Department of Insurance regulatory authority over such entities. This Rule is hereby adopted on the day of promulgation. </w:t>
      </w:r>
    </w:p>
    <w:p w14:paraId="2E20ABBA" w14:textId="77777777" w:rsidR="006E50FF" w:rsidRPr="006E50FF" w:rsidRDefault="006E50FF" w:rsidP="006E50FF">
      <w:pPr>
        <w:keepNext/>
        <w:jc w:val="center"/>
        <w:rPr>
          <w:b/>
          <w:kern w:val="28"/>
        </w:rPr>
      </w:pPr>
      <w:r w:rsidRPr="006E50FF">
        <w:rPr>
          <w:b/>
          <w:kern w:val="28"/>
        </w:rPr>
        <w:t>Title 37</w:t>
      </w:r>
    </w:p>
    <w:p w14:paraId="3668D0FE" w14:textId="77777777" w:rsidR="006E50FF" w:rsidRPr="006E50FF" w:rsidRDefault="006E50FF" w:rsidP="006E50FF">
      <w:pPr>
        <w:keepNext/>
        <w:jc w:val="center"/>
        <w:rPr>
          <w:b/>
          <w:kern w:val="28"/>
        </w:rPr>
      </w:pPr>
      <w:r w:rsidRPr="006E50FF">
        <w:rPr>
          <w:b/>
          <w:kern w:val="28"/>
        </w:rPr>
        <w:t>INSURANCE</w:t>
      </w:r>
    </w:p>
    <w:p w14:paraId="6E26729E" w14:textId="77777777" w:rsidR="006E50FF" w:rsidRPr="006E50FF" w:rsidRDefault="006E50FF" w:rsidP="006E50FF">
      <w:pPr>
        <w:keepNext/>
        <w:jc w:val="center"/>
        <w:rPr>
          <w:b/>
          <w:noProof/>
        </w:rPr>
      </w:pPr>
      <w:r w:rsidRPr="006E50FF">
        <w:rPr>
          <w:b/>
          <w:noProof/>
        </w:rPr>
        <w:t>Part XIII.  Regulations</w:t>
      </w:r>
    </w:p>
    <w:p w14:paraId="5408092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kern w:val="2"/>
        </w:rPr>
        <w:t>Chapter 215.</w:t>
      </w:r>
      <w:r w:rsidRPr="006E50FF">
        <w:rPr>
          <w:b/>
          <w:kern w:val="2"/>
        </w:rPr>
        <w:tab/>
        <w:t>Regulation Number 139—</w:t>
      </w:r>
      <w:r w:rsidRPr="006E50FF">
        <w:rPr>
          <w:b/>
          <w:bCs/>
          <w:noProof/>
          <w:kern w:val="2"/>
        </w:rPr>
        <w:t xml:space="preserve">Captive </w:t>
      </w:r>
      <w:r w:rsidRPr="006E50FF">
        <w:rPr>
          <w:b/>
          <w:bCs/>
          <w:kern w:val="2"/>
        </w:rPr>
        <w:t>Insurance Companies</w:t>
      </w:r>
    </w:p>
    <w:p w14:paraId="535379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§21501.</w:t>
      </w:r>
      <w:r w:rsidRPr="006E50FF">
        <w:rPr>
          <w:b/>
          <w:kern w:val="2"/>
        </w:rPr>
        <w:tab/>
        <w:t>Purpose</w:t>
      </w:r>
    </w:p>
    <w:p w14:paraId="4471B1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purpose of Regulation 139 is to exercise the authority and carry out the duties and responsibilities of the commissioner for implementation and regulation of the Creating Holistic Options in Coverage for Enterprise and Self-Insurance (CHOICES) Law. Regulation 139 sets forth rules and procedural requirements for the effective administration and regulation of captive insurance companies and risk retention groups domiciled in Louisiana, as deemed necessary by the commissioner.</w:t>
      </w:r>
    </w:p>
    <w:p w14:paraId="58B85E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3404CB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3704245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§21503.</w:t>
      </w:r>
      <w:r w:rsidRPr="006E50FF">
        <w:rPr>
          <w:b/>
          <w:kern w:val="2"/>
        </w:rPr>
        <w:tab/>
        <w:t>Applicability and Scope</w:t>
      </w:r>
    </w:p>
    <w:p w14:paraId="34F41E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Regulation 139 shall apply to all persons that apply for licensure or operate as a captive insurance company or risk retention group domiciled in the state of Louisiana pursuant to the Creating Holistic Options in Coverage for Enterprise and Self-Insurance (CHOICES) Law.</w:t>
      </w:r>
    </w:p>
    <w:p w14:paraId="143AC5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DABA7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2D37EE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§21505.</w:t>
      </w:r>
      <w:r w:rsidRPr="006E50FF">
        <w:rPr>
          <w:b/>
          <w:kern w:val="2"/>
        </w:rPr>
        <w:tab/>
        <w:t>Pre-Application Meeting</w:t>
      </w:r>
    </w:p>
    <w:p w14:paraId="55CDA5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Before submitting the Captive Application for Admission, the applicant shall coordinate a meeting with the department. The purpose of the meeting is for the department to understand the applicant’s organization, insurance needs, business plan, and ownership structure, and to explain the application process and regulatory requirements. Meetings </w:t>
      </w:r>
      <w:r w:rsidRPr="006E50FF">
        <w:rPr>
          <w:kern w:val="2"/>
        </w:rPr>
        <w:t>are scheduled through the Office of Licensing and may be held in person or virtually.</w:t>
      </w:r>
    </w:p>
    <w:p w14:paraId="4D5D2E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0AC972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6D2DAC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§21507.</w:t>
      </w:r>
      <w:r w:rsidRPr="006E50FF">
        <w:rPr>
          <w:b/>
          <w:kern w:val="2"/>
        </w:rPr>
        <w:tab/>
        <w:t>Definitions</w:t>
      </w:r>
    </w:p>
    <w:p w14:paraId="0C32D1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Strictly for the purposes of Regulation 139, the following terms are defined as follows: </w:t>
      </w:r>
    </w:p>
    <w:p w14:paraId="149EDA3C"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Affiliated Reinsurance Company—</w:t>
      </w:r>
      <w:r w:rsidRPr="006E50FF">
        <w:rPr>
          <w:kern w:val="2"/>
        </w:rPr>
        <w:t>a company licensed by the commissioner to reinsure risks ceded by one or more ceding insurers that are affiliated companies.</w:t>
      </w:r>
    </w:p>
    <w:p w14:paraId="2D26DD8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Association Captive Insurance Company—</w:t>
      </w:r>
      <w:r w:rsidRPr="006E50FF">
        <w:rPr>
          <w:kern w:val="2"/>
        </w:rPr>
        <w:t>any company that insures only the risks of the member organizations of the association, affiliated companies of the member organizations, and the risks of the association itself.</w:t>
      </w:r>
    </w:p>
    <w:p w14:paraId="470C700F"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Captive Insurance Company</w:t>
      </w:r>
      <w:bookmarkStart w:id="85" w:name="_Hlk184734555"/>
      <w:r w:rsidRPr="006E50FF">
        <w:rPr>
          <w:i/>
          <w:iCs/>
          <w:kern w:val="2"/>
          <w:shd w:val="clear" w:color="auto" w:fill="FFFFFF"/>
        </w:rPr>
        <w:t>—</w:t>
      </w:r>
      <w:bookmarkEnd w:id="85"/>
      <w:r w:rsidRPr="006E50FF">
        <w:rPr>
          <w:kern w:val="2"/>
          <w:shd w:val="clear" w:color="auto" w:fill="FFFFFF"/>
        </w:rPr>
        <w:t xml:space="preserve">any pure captive insurance company, association captive insurance company, risk retention group, or affiliated reinsurance company formed or licensed pursuant to </w:t>
      </w:r>
      <w:r w:rsidRPr="006E50FF">
        <w:rPr>
          <w:kern w:val="2"/>
        </w:rPr>
        <w:t>R.S. 22:550.1 through 550.32, known as the Creating Holistic Options in Coverage for Enterprise and Self-Insurance (CHOICES) Law.</w:t>
      </w:r>
    </w:p>
    <w:p w14:paraId="4333D34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Commissioner—</w:t>
      </w:r>
      <w:r w:rsidRPr="006E50FF">
        <w:rPr>
          <w:kern w:val="2"/>
        </w:rPr>
        <w:t>the Louisiana Commissioner of Insurance.</w:t>
      </w:r>
    </w:p>
    <w:p w14:paraId="363C3C5B"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Custodial Agreement—</w:t>
      </w:r>
      <w:r w:rsidRPr="006E50FF">
        <w:rPr>
          <w:kern w:val="2"/>
        </w:rPr>
        <w:t>a written agreement, in form and substance acceptable to the commissioner, between a captive insurance company or risk retention group and a qualified financial institution under which the institution holds and safeguards assets on its behalf, in compliance with Title 22 and the CHOICES Law.</w:t>
      </w:r>
    </w:p>
    <w:p w14:paraId="3FE43D6F"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Department—</w:t>
      </w:r>
      <w:r w:rsidRPr="006E50FF">
        <w:rPr>
          <w:kern w:val="2"/>
        </w:rPr>
        <w:t>the Louisiana Department of Insurance.</w:t>
      </w:r>
    </w:p>
    <w:p w14:paraId="3215A504"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Dormant Captive Insurance Company—</w:t>
      </w:r>
      <w:r w:rsidRPr="006E50FF">
        <w:rPr>
          <w:kern w:val="2"/>
        </w:rPr>
        <w:t>a captive insurance company that has ceased transacting the business of insurance, including the issuance of insurance policies, and has no remaining liabilities associated with insurance business transactions or insurance policies issued prior to the filing of its application for a certificate of dormancy.</w:t>
      </w:r>
    </w:p>
    <w:p w14:paraId="03684E3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Material Change—</w:t>
      </w:r>
      <w:r w:rsidRPr="006E50FF">
        <w:rPr>
          <w:kern w:val="2"/>
        </w:rPr>
        <w:t>any development, transaction, or event that significantly affects, or has the potential to significantly affect, the captive insurance company’s operations, governance, financial condition, risk profile, or business plan. Material changes include, but are not limited to, amendments to the business plan; significant revisions to coverage, limits, or underwriting practices; changes in ownership or control; substantial alterations to reinsurance arrangements; capital contributions or reductions; and any event that may adversely impact the company’s ability to meet its obligations or comply with applicable laws or regulatory requirements.</w:t>
      </w:r>
    </w:p>
    <w:p w14:paraId="538C691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Principal Place of Business</w:t>
      </w:r>
      <w:r w:rsidRPr="006E50FF">
        <w:rPr>
          <w:bCs/>
          <w:i/>
          <w:iCs/>
          <w:kern w:val="2"/>
        </w:rPr>
        <w:t>—</w:t>
      </w:r>
      <w:r w:rsidRPr="006E50FF">
        <w:rPr>
          <w:kern w:val="2"/>
        </w:rPr>
        <w:t>the primary physical office located in this state where the captive insurance company or risk retention group conducts the core administrative and managerial functions of the insurer, including the direction, control, and coordination of its business activities, and where the insurer maintains its books and records in accordance with applicable law. A mailing address, registered office, or address used solely for service of process shall not by itself constitute a principal place of business.</w:t>
      </w:r>
    </w:p>
    <w:p w14:paraId="4CA7A504"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Pure Captive Insurance Company—</w:t>
      </w:r>
      <w:r w:rsidRPr="006E50FF">
        <w:rPr>
          <w:kern w:val="2"/>
        </w:rPr>
        <w:t>any company that insures risk of its parent and affiliated companies or controlled unafilliated businesses.</w:t>
      </w:r>
    </w:p>
    <w:p w14:paraId="56725D3F" w14:textId="77777777" w:rsidR="006E50FF" w:rsidRPr="006E50FF" w:rsidRDefault="006E50FF" w:rsidP="006E50FF">
      <w:pPr>
        <w:tabs>
          <w:tab w:val="left" w:pos="720"/>
          <w:tab w:val="left" w:pos="979"/>
          <w:tab w:val="left" w:pos="1152"/>
        </w:tabs>
        <w:ind w:firstLine="360"/>
        <w:jc w:val="both"/>
        <w:outlineLvl w:val="4"/>
        <w:rPr>
          <w:kern w:val="2"/>
          <w:shd w:val="clear" w:color="auto" w:fill="FFFFFF"/>
        </w:rPr>
      </w:pPr>
      <w:r w:rsidRPr="006E50FF">
        <w:rPr>
          <w:i/>
          <w:iCs/>
          <w:kern w:val="2"/>
          <w:shd w:val="clear" w:color="auto" w:fill="FFFFFF"/>
        </w:rPr>
        <w:lastRenderedPageBreak/>
        <w:t>Reciprocal Insurer</w:t>
      </w:r>
      <w:r w:rsidRPr="006E50FF">
        <w:rPr>
          <w:kern w:val="2"/>
          <w:shd w:val="clear" w:color="auto" w:fill="FFFFFF"/>
        </w:rPr>
        <w:t xml:space="preserve">—an unincorporated group of subscribers that agree to insure one another through indemnity contracts managed by an attorney-in-fact. </w:t>
      </w:r>
    </w:p>
    <w:p w14:paraId="7C702F12"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Risk Retention Group</w:t>
      </w:r>
      <w:r w:rsidRPr="006E50FF">
        <w:rPr>
          <w:i/>
          <w:iCs/>
          <w:kern w:val="2"/>
          <w:shd w:val="clear" w:color="auto" w:fill="FFFFFF"/>
        </w:rPr>
        <w:t>—</w:t>
      </w:r>
      <w:r w:rsidRPr="006E50FF">
        <w:rPr>
          <w:kern w:val="2"/>
          <w:shd w:val="clear" w:color="auto" w:fill="FFFFFF"/>
        </w:rPr>
        <w:t xml:space="preserve">a captive insurance company organized under the laws of this state </w:t>
      </w:r>
      <w:r w:rsidRPr="006E50FF">
        <w:rPr>
          <w:kern w:val="2"/>
        </w:rPr>
        <w:t>pursuant</w:t>
      </w:r>
      <w:r w:rsidRPr="006E50FF">
        <w:rPr>
          <w:kern w:val="2"/>
          <w:shd w:val="clear" w:color="auto" w:fill="FFFFFF"/>
        </w:rPr>
        <w:t xml:space="preserve"> to the Liability Risk Retention Act of 1986, 15 U.S.C. 3901 et seq., as amended, as a stock corporation, a mutual corporation, a reciprocal, or other limited liability entity.</w:t>
      </w:r>
    </w:p>
    <w:p w14:paraId="76CAC9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5C8F561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01E628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§21509.</w:t>
      </w:r>
      <w:r w:rsidRPr="006E50FF">
        <w:rPr>
          <w:b/>
          <w:kern w:val="2"/>
        </w:rPr>
        <w:tab/>
        <w:t xml:space="preserve">General Requirements </w:t>
      </w:r>
    </w:p>
    <w:p w14:paraId="75A09A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With the approval of the commissioner, a captive insurance company or risk retention group may be incorporated by fewer than five natural persons as a stock or nonstock corporation, or formed as a limited liability company, partnership, limited partnership, statutory trust, or other legal entity, in accordance with Louisiana law.</w:t>
      </w:r>
    </w:p>
    <w:p w14:paraId="2D66EF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captive insurance company or risk retention group</w:t>
      </w:r>
      <w:r w:rsidRPr="006E50FF">
        <w:rPr>
          <w:bCs/>
          <w:kern w:val="2"/>
        </w:rPr>
        <w:t xml:space="preserve"> </w:t>
      </w:r>
      <w:r w:rsidRPr="006E50FF">
        <w:rPr>
          <w:kern w:val="2"/>
        </w:rPr>
        <w:t>shall file articles of incorporation, articles of organization, a partnership agreement, a trust instrument, or other organizational documents as applicable, with the commissioner for approval prior to filing such documents. The organizational documents shall include provisions addressing the purpose, governance, and operational structure of the company, consistent with the requirements of the CHOICES Law.</w:t>
      </w:r>
    </w:p>
    <w:p w14:paraId="60F14C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Risk retention groups chartered and licensed in this state shall maintain corporate governance standards substantially similar to those adopted by the National Association of Insurance Commissioners. The board of directors of each such risk retention group shall comply with the corporate governance standards applicable to domestic risk retention groups under the NAIC Model Risk Retention Act.</w:t>
      </w:r>
    </w:p>
    <w:p w14:paraId="240B51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board of directors of a risk retention group chartered and licensed in this state, or of a captive insurance company, may consist of fewer than five members with the approval of the commissioner.</w:t>
      </w:r>
    </w:p>
    <w:p w14:paraId="6135C01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E.</w:t>
      </w:r>
      <w:r w:rsidRPr="006E50FF">
        <w:rPr>
          <w:bCs/>
          <w:kern w:val="2"/>
        </w:rPr>
        <w:tab/>
      </w:r>
      <w:r w:rsidRPr="006E50FF">
        <w:rPr>
          <w:kern w:val="2"/>
        </w:rPr>
        <w:t>A captive insurance company or risk retention group chartered and licensed in this state may transact business in this state regardless of whether an insurance company is directly or indirectly a member or owner, provided that the insurance company is at least one or two degrees removed from the captive insurance company or risk retention group.</w:t>
      </w:r>
    </w:p>
    <w:p w14:paraId="66178B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commissioner may waive any requirements imposed in Regulation 139 for risk retention groups, unless such waiver would violate the accreditation requirements of the National Association of Insurance Commissioners.</w:t>
      </w:r>
    </w:p>
    <w:p w14:paraId="3049B0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 captive insurance company or risk retention group chartered and licensed in this state must file its policy forms with its application for review by the commissioner. The commissioner may disapprove any policy form or require its modification to ensure compliance with the product or lines of business being written and the requirements of the CHOICES Law.</w:t>
      </w:r>
    </w:p>
    <w:p w14:paraId="15FFFA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183D30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52:1509 (September 2026).</w:t>
      </w:r>
    </w:p>
    <w:p w14:paraId="7E810AB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§21511.</w:t>
      </w:r>
      <w:r w:rsidRPr="006E50FF">
        <w:rPr>
          <w:b/>
          <w:kern w:val="2"/>
        </w:rPr>
        <w:tab/>
        <w:t>Name Approval</w:t>
      </w:r>
    </w:p>
    <w:p w14:paraId="37847B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captive insurance company or risk retention group shall not adopt a name until the name has been reviewed and approved by the commissioner.</w:t>
      </w:r>
    </w:p>
    <w:p w14:paraId="70839F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name of the captive insurance company or risk retention group shall not be the same as, or deceptively similar to, the name of any other licensed insurer or company authorized to do business in Louisiana.</w:t>
      </w:r>
    </w:p>
    <w:p w14:paraId="0483C5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4E4B58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52:1509 (September 2026).</w:t>
      </w:r>
    </w:p>
    <w:p w14:paraId="3B9B7BC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§21513.</w:t>
      </w:r>
      <w:r w:rsidRPr="006E50FF">
        <w:rPr>
          <w:b/>
          <w:kern w:val="2"/>
        </w:rPr>
        <w:tab/>
        <w:t>Qualifications of Captive Managers, Certified Public Accountants, and Actuaries</w:t>
      </w:r>
    </w:p>
    <w:p w14:paraId="56E96F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person or entity acting as a captive manager for a captive insurance company or risk retention group licensed in Louisiana shall be experienced, competent, and knowledgeable in captive insurance operations and shall be authorized by the commissioner prior to providing management services. Application for such authorization must be on a form prescribed by the commissioner.</w:t>
      </w:r>
    </w:p>
    <w:p w14:paraId="54775B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Each captive insurance company or risk retention group shall engage a certified public accountant (CPA), in good standing with the American Institute of Certified Public Accountants and licensed to practice in at least one state, to prepare and certify the company’s audited financial statements. The CPA shall be authorized by the commissioner. Application for such authorization must be on a form prescribed by the commissioner.</w:t>
      </w:r>
    </w:p>
    <w:p w14:paraId="01F62C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Each captive insurance company or risk retention group shall retain a qualified actuary, authorized by the commissioner, to prepare the required actuarial opinions and reports. The actuary shall be a qualified actuary as defined in the NAIC Property and Casualty Annual Statement Instructions and shall possess a minimum of three years of experience in establishing or reviewing property and casualty loss and loss expense reserves. Application for such authorization must be on a form prescribed by the commissioner.</w:t>
      </w:r>
    </w:p>
    <w:p w14:paraId="5C1CE0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commissioner may deny or withdraw approval of any captive manager, CPA, or actuary who is determined to be unqualified, untrustworthy, or lacking the requisite experience, independence, or ethical standards required for the proper discharge of their duties.</w:t>
      </w:r>
    </w:p>
    <w:p w14:paraId="5AD518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Each captive insurance company or risk retention group shall provide written notice to the commissioner at least 30 days prior to any change in its approved certified public accountant (CPA), actuary, or captive manager. Written notice shall also be provided at least 30 days before the occurrence of any material change affecting the operations, governance, financial condition, or business plan of the captive insurance company or risk retention group. Such notice shall include the reason for the change and any other information the commissioner may require.</w:t>
      </w:r>
    </w:p>
    <w:p w14:paraId="3C1AD2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22:11, </w:t>
      </w:r>
      <w:bookmarkStart w:id="86" w:name="_Hlk204177304"/>
      <w:r w:rsidRPr="006E50FF">
        <w:rPr>
          <w:kern w:val="2"/>
          <w:sz w:val="18"/>
        </w:rPr>
        <w:t xml:space="preserve">22:550.1 et seq., </w:t>
      </w:r>
      <w:bookmarkEnd w:id="86"/>
      <w:r w:rsidRPr="006E50FF">
        <w:rPr>
          <w:kern w:val="2"/>
          <w:sz w:val="18"/>
        </w:rPr>
        <w:t>and the Administrative Procedure Act, R.S. 49:950 et seq.</w:t>
      </w:r>
    </w:p>
    <w:p w14:paraId="6C18C1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Insurance, Office of the Commissioner, LR 52:1509 (September 2026).</w:t>
      </w:r>
    </w:p>
    <w:p w14:paraId="0CC15B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§21515.</w:t>
      </w:r>
      <w:r w:rsidRPr="006E50FF">
        <w:rPr>
          <w:b/>
          <w:kern w:val="2"/>
        </w:rPr>
        <w:tab/>
        <w:t>Capital and Surplus Requirements</w:t>
      </w:r>
    </w:p>
    <w:p w14:paraId="70E2DC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Except as otherwise provided by the commissioner pursuant to Subsection B of this Section, the capital required to be maintained pursuant to this Section shall be in the form of cash, cash equivalents, bonds, marketable securities, surplus debentures, letters of credit, a trust approved by the commissioner and pledged to the commissioner, evidences of indebtedness which are direct general obligations of the government of the United States, or any other form of capital as approved by the commissioner.</w:t>
      </w:r>
    </w:p>
    <w:p w14:paraId="4A2AAE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r>
      <w:bookmarkStart w:id="87" w:name="OLE_LINK1"/>
      <w:r w:rsidRPr="006E50FF">
        <w:rPr>
          <w:kern w:val="2"/>
        </w:rPr>
        <w:t>The commissioner may prescribe other forms of capital or other requirements relating to capital and surplus based on the type, volume, and nature of the insurance business that is transacted by the captive insurance company or risk retention group chartered and licensed in this state.</w:t>
      </w:r>
      <w:bookmarkEnd w:id="87"/>
    </w:p>
    <w:p w14:paraId="6278EC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commissioner may prescribe other forms of capital such as surplus debentures or letters of credit based on the type, volume, and nature of the insurance business that is transacted by the captive insurance company or risk retention group chartered and licensed in this state.</w:t>
      </w:r>
    </w:p>
    <w:p w14:paraId="541B06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BE39B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55C4614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§21517.</w:t>
      </w:r>
      <w:r w:rsidRPr="006E50FF">
        <w:rPr>
          <w:b/>
          <w:kern w:val="2"/>
        </w:rPr>
        <w:tab/>
        <w:t>Required Deposit</w:t>
      </w:r>
    </w:p>
    <w:p w14:paraId="69D535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The commissioner may require captive insurance companies and risk retention groups chartered and licensed in this state to deposit with the commissioner a safekeeping or trust receipt from a bank located in the state and doing business within the state or from a savings and loan association chartered to do business in this state indicating that the captive insurance company or risk retention group has deposited money or bonds of the United States, the state of Louisiana, or a political subdivision in an amount determined by the commissioner to address any financial solvency concerns. All securities deposited pursuant to this Section shall be held in trust for the benefit and protection of, and as security for, the policyholders of the captive insurance company or risk retention group or to address financial solvency concerns of the captive insurance company or risk retention group. A custodial agreement must be in place and approved by the commissioner.</w:t>
      </w:r>
    </w:p>
    <w:p w14:paraId="336756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1E7F65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1859FC7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§21519.</w:t>
      </w:r>
      <w:r w:rsidRPr="006E50FF">
        <w:rPr>
          <w:b/>
          <w:kern w:val="2"/>
        </w:rPr>
        <w:tab/>
        <w:t>Exposure to Loss</w:t>
      </w:r>
    </w:p>
    <w:p w14:paraId="4F3832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The commissioner may allow a captive insurance company, except an association captive insurance company, or a risk retention group chartered and licensed in this state to expose itself to loss on a single risk in an amount up to thirty percent of the capital and surplus of the captive insurance company or risk retention group. A risk, or any portion thereof, which has been reinsured shall be deducted in determining the limitation of risk prescribed in the Section.</w:t>
      </w:r>
    </w:p>
    <w:p w14:paraId="39FB47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7802DE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212890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§21521.</w:t>
      </w:r>
      <w:r w:rsidRPr="006E50FF">
        <w:rPr>
          <w:b/>
          <w:kern w:val="2"/>
        </w:rPr>
        <w:tab/>
        <w:t>Annual Report of Financial Condition</w:t>
      </w:r>
    </w:p>
    <w:p w14:paraId="2C4B61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Every captive insurance company and risk retention group chartered and licensed in this state shall file each of the following with the department:</w:t>
      </w:r>
    </w:p>
    <w:p w14:paraId="62EA5F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bCs/>
          <w:kern w:val="2"/>
        </w:rPr>
        <w:tab/>
      </w:r>
      <w:r w:rsidRPr="006E50FF">
        <w:rPr>
          <w:kern w:val="2"/>
        </w:rPr>
        <w:t>Annually on or before March 1, a statement of its financial condition for the year ending December 31 immediately preceding, and any amendment to the plan of operation at last year-end, verified by the oath of at least two of its executive officers. The statement shall be in the form prescribed by the commissioner. Risk retention groups chartered and licensed in this state shall use the appropriate National Association of Insurance Commissioners Annual Statement Blank prepared in accordance with the Instructions Handbook adopted by the National Association of Insurance Commissioners, as applicable. Risk retention groups chartered and licensed in this state shall follow the accounting procedures and practices prescribed by the Accounting Practices and Procedures Manual adopted by the National Association of Insurance Commissioners, unless otherwise provided in law.</w:t>
      </w:r>
    </w:p>
    <w:p w14:paraId="54606B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Annually on or before June thirtieth, an audited statement of its financial condition prepared in accordance with generally accepted accounting principles in the United States for the year ending December 31 immediately preceding, including all of the following:</w:t>
      </w:r>
    </w:p>
    <w:p w14:paraId="12025DD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report of an independent certified public accountant;</w:t>
      </w:r>
    </w:p>
    <w:p w14:paraId="7FD5EEC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balance sheet;</w:t>
      </w:r>
    </w:p>
    <w:p w14:paraId="4D35DF3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income statement;</w:t>
      </w:r>
    </w:p>
    <w:p w14:paraId="26C157A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statement of cash flows;</w:t>
      </w:r>
    </w:p>
    <w:p w14:paraId="624CD2F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statement of changes in capital and surplus;</w:t>
      </w:r>
    </w:p>
    <w:p w14:paraId="384584F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sotes to financial statements;</w:t>
      </w:r>
    </w:p>
    <w:p w14:paraId="5E0B3659"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report of evaluation of internal controls;</w:t>
      </w:r>
    </w:p>
    <w:p w14:paraId="6F30D1C4"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accountant's letter; and</w:t>
      </w:r>
    </w:p>
    <w:p w14:paraId="3EEC3973"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actuarial analysis application.</w:t>
      </w:r>
    </w:p>
    <w:p w14:paraId="0764C4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 annual actuarial certification of loss reserves and loss expense reserves which includes an opinion of the adequacy of the loss reserves and loss expense reserves of the captive insurance company, in a format acceptable to the commissioner. The person that certifies the reserves shall be approved by the commissioner and shall be a qualified actuary as defined in the National Association of Insurance Commissioners Quarterly and Annual Statement Instructions—Property/Casualty.</w:t>
      </w:r>
    </w:p>
    <w:p w14:paraId="3FCC6B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0558A1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0CA04F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r w:rsidRPr="006E50FF">
        <w:rPr>
          <w:b/>
          <w:kern w:val="2"/>
        </w:rPr>
        <w:t>§21523.</w:t>
      </w:r>
      <w:r w:rsidRPr="006E50FF">
        <w:rPr>
          <w:b/>
          <w:kern w:val="2"/>
        </w:rPr>
        <w:tab/>
        <w:t>Rates</w:t>
      </w:r>
    </w:p>
    <w:p w14:paraId="7D1CA0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captive insurance company and risk retention group chartered and licensed in this state may be required by the commissioner to file rates for property and casualty lines of insurance in accordance with La. R.S. 22:1451 et seq. on an actuarially justified basis with the department. If the </w:t>
      </w:r>
      <w:r w:rsidRPr="006E50FF">
        <w:rPr>
          <w:kern w:val="2"/>
        </w:rPr>
        <w:br w:type="page"/>
      </w:r>
      <w:r w:rsidRPr="006E50FF">
        <w:rPr>
          <w:kern w:val="2"/>
        </w:rPr>
        <w:lastRenderedPageBreak/>
        <w:t>commissioner requires a captive insurance company or risk retention group chartered and licensed in this state to file its rates with the department, the commissioner may disapprove a filing if it raises financial solvency concerns.</w:t>
      </w:r>
    </w:p>
    <w:p w14:paraId="4E4D9D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129224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0B9C90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§21525.</w:t>
      </w:r>
      <w:r w:rsidRPr="006E50FF">
        <w:rPr>
          <w:b/>
          <w:kern w:val="2"/>
        </w:rPr>
        <w:tab/>
        <w:t>Redomestication</w:t>
      </w:r>
    </w:p>
    <w:p w14:paraId="1062EE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kern w:val="2"/>
        </w:rPr>
        <w:t>.</w:t>
      </w:r>
      <w:r w:rsidRPr="006E50FF">
        <w:rPr>
          <w:kern w:val="2"/>
        </w:rPr>
        <w:tab/>
        <w:t>A captive insurance company or risk retention group organized under the laws of another jurisdiction may become a domestic captive insurance company in Louisiana upon approval by the commissioner, subject to the requirements of this Section and R.S. 22:550.27.</w:t>
      </w:r>
    </w:p>
    <w:p w14:paraId="3E669C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 applicant for redomestication shall file with the commissioner:</w:t>
      </w:r>
    </w:p>
    <w:p w14:paraId="0186D9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plan of redomestication, including a statement of intent to transfer domicile to Louisiana and a summary of the reasons for the redomestication;</w:t>
      </w:r>
    </w:p>
    <w:p w14:paraId="2D60CD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regulatory authority in the jurisdiction of current domicile;</w:t>
      </w:r>
    </w:p>
    <w:p w14:paraId="75B2B5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certificate of good standing or equivalent documentation from the domiciliary jurisdiction; and</w:t>
      </w:r>
    </w:p>
    <w:p w14:paraId="63F984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organizational documents consistent with Louisiana law, including articles of incorporation or organization and bylaws, amended as necessary to comply with the requirements for captive insurers domiciled in Louisiana.</w:t>
      </w:r>
    </w:p>
    <w:p w14:paraId="76506A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commissioner shall approve the redomestication if satisfied that the applicant meets all licensing requirements under the CHOICES Law and that the redomestication is not contrary to the interests of policyholders or the public.</w:t>
      </w:r>
    </w:p>
    <w:p w14:paraId="06001A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redomesticated captive insurance company or risk retention group shall be deemed to have continued its corporate existence without interruption, and all rights, obligations, liabilities, and contracts of the company shall remain in full force and effect as if it had originally been incorporated or organized as a Louisiana captive insurance company or risk retention group.</w:t>
      </w:r>
    </w:p>
    <w:p w14:paraId="4CF570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7EEC5B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4C8B456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§21527.</w:t>
      </w:r>
      <w:r w:rsidRPr="006E50FF">
        <w:rPr>
          <w:b/>
          <w:kern w:val="2"/>
        </w:rPr>
        <w:tab/>
        <w:t>Dormant Captive Insurance Companies</w:t>
      </w:r>
    </w:p>
    <w:p w14:paraId="15F270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captive insurance company or risk retention group licensed in Louisiana may apply to the commissioner for a certificate of dormancy if it meets the following conditions:</w:t>
      </w:r>
    </w:p>
    <w:p w14:paraId="10D601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company has ceased transacting the business of insurance, including the issuance of any new policies, and</w:t>
      </w:r>
    </w:p>
    <w:p w14:paraId="7CF568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company has no remaining liabilities associated with insurance policies issued prior to dormancy or has made provisions satisfactory to the commissioner for all such liabilities.</w:t>
      </w:r>
    </w:p>
    <w:p w14:paraId="6DA7EB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 application for a certificate of dormancy shall be submitted in a form prescribed by the commissioner and shall include:</w:t>
      </w:r>
    </w:p>
    <w:p w14:paraId="5DFB40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written request signed by an authorized representative of the captive insurer;</w:t>
      </w:r>
    </w:p>
    <w:p w14:paraId="0AED9E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statement affirming that the company meets the criteria for dormancy set forth in Subsection A; and</w:t>
      </w:r>
    </w:p>
    <w:p w14:paraId="58D4DA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additional information the commissioner may require to determine the appropriateness of dormancy status.</w:t>
      </w:r>
    </w:p>
    <w:p w14:paraId="78CA48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While in dormant status, the captive insurance company is subject to the requirements of R.S. 22:550.31(C) and:</w:t>
      </w:r>
    </w:p>
    <w:p w14:paraId="0340B6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shall maintain its certificate of authority and legal existence in good standing;</w:t>
      </w:r>
    </w:p>
    <w:p w14:paraId="64AAF9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shall not engage in any insurance business other than that necessary to meet statutory obligations, such as runoff or settlement of existing liabilities, if applicable; and</w:t>
      </w:r>
    </w:p>
    <w:p w14:paraId="0E3C54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shall continue to submit annual statements and pay any applicable fees as required by the commissioner.</w:t>
      </w:r>
    </w:p>
    <w:p w14:paraId="3B93FE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dormant captive insurance company or risk retention group shall apply to the commissioner for approval to surrender its certificate of dormancy before resuming insurance operations or issuing any insurance policies. The request shall include a business plan and other documentation demonstrating the company’s readiness to resume operations in compliance with applicable laws and regulations.</w:t>
      </w:r>
    </w:p>
    <w:p w14:paraId="3794FA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commissioner may revoke a certificate of dormancy if the company fails to comply with the requirements of this Section or engages in insurance activity without prior approval.</w:t>
      </w:r>
    </w:p>
    <w:p w14:paraId="6966B5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440B7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61C0AF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§21529. Enforcement</w:t>
      </w:r>
    </w:p>
    <w:p w14:paraId="3821BB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commissioner may fine, refuse to issue, suspend, or revoke the certificate of authority of a captive insurance company or risk retention group in accordance with La. R.S. 22:18.</w:t>
      </w:r>
    </w:p>
    <w:p w14:paraId="013423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commissioner may issue a cease and desist order to any captive insurance company or risk retention group found to be in violation of any provision of Title 22 and may require such entity to take corrective action to remedy the violation.</w:t>
      </w:r>
    </w:p>
    <w:p w14:paraId="483593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4A59BA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6F5CFB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§21531.</w:t>
      </w:r>
      <w:r w:rsidRPr="006E50FF">
        <w:rPr>
          <w:b/>
          <w:kern w:val="2"/>
        </w:rPr>
        <w:tab/>
        <w:t>Severability</w:t>
      </w:r>
    </w:p>
    <w:p w14:paraId="5D27B6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The provisions of this Subpart are severable. If any provision or item of this Subpart, or application thereof, is held invalid, such invalidity shall not affect other provisions, items, or applications of this Subpart which are to be given effect without the invalid provision, item, or application of the Subpart.</w:t>
      </w:r>
    </w:p>
    <w:p w14:paraId="579CEE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3A6554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5C5AE1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§21533.</w:t>
      </w:r>
      <w:r w:rsidRPr="006E50FF">
        <w:rPr>
          <w:b/>
          <w:kern w:val="2"/>
        </w:rPr>
        <w:tab/>
        <w:t>Effective Date</w:t>
      </w:r>
    </w:p>
    <w:p w14:paraId="258D54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regulation shall become effective upon final publication in the </w:t>
      </w:r>
      <w:r w:rsidRPr="006E50FF">
        <w:rPr>
          <w:i/>
          <w:iCs/>
          <w:kern w:val="2"/>
        </w:rPr>
        <w:t>Louisiana Register</w:t>
      </w:r>
      <w:r w:rsidRPr="006E50FF">
        <w:rPr>
          <w:kern w:val="2"/>
        </w:rPr>
        <w:t>.</w:t>
      </w:r>
    </w:p>
    <w:p w14:paraId="39E5A8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3A6D49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Insurance, Office of the Commissioner, LR 52:1511 (September 2026).</w:t>
      </w:r>
    </w:p>
    <w:p w14:paraId="0DBBBF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6A7EC9A" w14:textId="77777777" w:rsidR="006E50FF" w:rsidRPr="006E50FF" w:rsidRDefault="006E50FF" w:rsidP="006E50FF">
      <w:pPr>
        <w:keepNext/>
        <w:ind w:left="2160"/>
        <w:jc w:val="both"/>
      </w:pPr>
      <w:r w:rsidRPr="006E50FF">
        <w:t>Timothy J. Temple</w:t>
      </w:r>
    </w:p>
    <w:p w14:paraId="232CD026" w14:textId="77777777" w:rsidR="006E50FF" w:rsidRPr="006E50FF" w:rsidRDefault="006E50FF" w:rsidP="006E50FF">
      <w:pPr>
        <w:keepNext/>
        <w:ind w:left="2160"/>
        <w:jc w:val="both"/>
      </w:pPr>
      <w:r w:rsidRPr="006E50FF">
        <w:t>Commissioner</w:t>
      </w:r>
    </w:p>
    <w:p w14:paraId="093A138E" w14:textId="77777777" w:rsidR="006E50FF" w:rsidRPr="006E50FF" w:rsidRDefault="006E50FF" w:rsidP="006E50FF">
      <w:pPr>
        <w:rPr>
          <w:noProof/>
          <w:sz w:val="16"/>
        </w:rPr>
      </w:pPr>
      <w:r w:rsidRPr="006E50FF">
        <w:rPr>
          <w:noProof/>
          <w:sz w:val="16"/>
        </w:rPr>
        <w:t>2609#006</w:t>
      </w:r>
    </w:p>
    <w:p w14:paraId="140CE895" w14:textId="77777777" w:rsidR="006E50FF" w:rsidRPr="006E50FF" w:rsidRDefault="006E50FF" w:rsidP="006E50FF"/>
    <w:p w14:paraId="4E43663C" w14:textId="77777777" w:rsidR="006E50FF" w:rsidRPr="006E50FF" w:rsidRDefault="006E50FF" w:rsidP="006E50FF">
      <w:pPr>
        <w:keepNext/>
        <w:tabs>
          <w:tab w:val="left" w:pos="-1440"/>
        </w:tabs>
        <w:spacing w:after="120"/>
        <w:jc w:val="center"/>
        <w:rPr>
          <w:b/>
          <w:noProof/>
        </w:rPr>
      </w:pPr>
      <w:r w:rsidRPr="006E50FF">
        <w:rPr>
          <w:b/>
          <w:noProof/>
        </w:rPr>
        <w:t>RULE</w:t>
      </w:r>
    </w:p>
    <w:p w14:paraId="0AB5D7ED" w14:textId="77777777" w:rsidR="006E50FF" w:rsidRPr="006E50FF" w:rsidRDefault="006E50FF" w:rsidP="006E50FF">
      <w:pPr>
        <w:keepNext/>
        <w:jc w:val="center"/>
        <w:rPr>
          <w:b/>
          <w:noProof/>
        </w:rPr>
      </w:pPr>
      <w:r w:rsidRPr="006E50FF">
        <w:rPr>
          <w:b/>
          <w:noProof/>
        </w:rPr>
        <w:t>Department of Revenue</w:t>
      </w:r>
    </w:p>
    <w:p w14:paraId="7D29678D" w14:textId="77777777" w:rsidR="006E50FF" w:rsidRPr="006E50FF" w:rsidRDefault="006E50FF" w:rsidP="006E50FF">
      <w:pPr>
        <w:keepNext/>
        <w:jc w:val="center"/>
        <w:rPr>
          <w:b/>
          <w:noProof/>
        </w:rPr>
      </w:pPr>
      <w:r w:rsidRPr="006E50FF">
        <w:rPr>
          <w:b/>
          <w:noProof/>
        </w:rPr>
        <w:t>Tax Policy and Planning Division</w:t>
      </w:r>
    </w:p>
    <w:p w14:paraId="38767EDD" w14:textId="77777777" w:rsidR="006E50FF" w:rsidRPr="006E50FF" w:rsidRDefault="006E50FF" w:rsidP="006E50FF">
      <w:pPr>
        <w:keepNext/>
        <w:spacing w:before="240" w:after="240"/>
        <w:jc w:val="center"/>
        <w:rPr>
          <w:noProof/>
        </w:rPr>
      </w:pPr>
      <w:r w:rsidRPr="006E50FF">
        <w:rPr>
          <w:noProof/>
        </w:rPr>
        <w:t xml:space="preserve">Annual Retirement Income Exemption for </w:t>
      </w:r>
      <w:r w:rsidRPr="006E50FF">
        <w:rPr>
          <w:noProof/>
        </w:rPr>
        <w:br/>
        <w:t>Individuals 65 or Older (LAC 61:I.1311)</w:t>
      </w:r>
    </w:p>
    <w:p w14:paraId="34EDBA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R.S. 47:44.1, 295, and 1511 and in accordance with the provisions of the Administrative Procedure Act, R.S. 49:950 et seq., the Department of Revenue, Tax Policy and Planning Division, amends LAC 61:I.1311 to reflect statutory changes which increase the amount of the exemption for annual retirement income for individuals aged 65 or older. </w:t>
      </w:r>
    </w:p>
    <w:p w14:paraId="1F2528F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color w:val="000000"/>
          <w:kern w:val="2"/>
        </w:rPr>
      </w:pPr>
      <w:r w:rsidRPr="006E50FF">
        <w:rPr>
          <w:kern w:val="2"/>
        </w:rPr>
        <w:t>The purpose of this Rule is to implement the provisions of Act 11 of the 2024 Third Extraordinary Session, which amended R.S. 47:44.1 to increase the annual retirement exemption for individuals 65 years of age or older from $6,000 to $12,000 per individual for taxable periods beginning on or after January 1, 2025. Act 11 further provides that the $12,000 exemption amount be adjusted annually for inflation. The adjusted amount applicable to each taxable year, beginning with tax year 2026, will be posted and available on the Department’s website at the beginning of each calendar year.</w:t>
      </w:r>
      <w:r w:rsidRPr="006E50FF">
        <w:rPr>
          <w:rFonts w:eastAsia="Aptos"/>
          <w:color w:val="000000"/>
          <w:kern w:val="2"/>
        </w:rPr>
        <w:t xml:space="preserve"> </w:t>
      </w:r>
    </w:p>
    <w:p w14:paraId="6FA240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3E9D294E" w14:textId="77777777" w:rsidR="006E50FF" w:rsidRPr="006E50FF" w:rsidRDefault="006E50FF" w:rsidP="006E50FF">
      <w:pPr>
        <w:keepNext/>
        <w:jc w:val="center"/>
        <w:rPr>
          <w:b/>
          <w:kern w:val="28"/>
        </w:rPr>
      </w:pPr>
      <w:r w:rsidRPr="006E50FF">
        <w:rPr>
          <w:b/>
          <w:kern w:val="28"/>
        </w:rPr>
        <w:t>Title 61</w:t>
      </w:r>
    </w:p>
    <w:p w14:paraId="2E466297" w14:textId="77777777" w:rsidR="006E50FF" w:rsidRPr="006E50FF" w:rsidRDefault="006E50FF" w:rsidP="006E50FF">
      <w:pPr>
        <w:keepNext/>
        <w:jc w:val="center"/>
        <w:rPr>
          <w:b/>
          <w:kern w:val="28"/>
        </w:rPr>
      </w:pPr>
      <w:r w:rsidRPr="006E50FF">
        <w:rPr>
          <w:b/>
          <w:kern w:val="28"/>
        </w:rPr>
        <w:t>REVENUE AND TAXATION</w:t>
      </w:r>
    </w:p>
    <w:p w14:paraId="5D40F8BF" w14:textId="77777777" w:rsidR="006E50FF" w:rsidRPr="006E50FF" w:rsidRDefault="006E50FF" w:rsidP="006E50FF">
      <w:pPr>
        <w:keepNext/>
        <w:jc w:val="center"/>
        <w:rPr>
          <w:b/>
          <w:noProof/>
        </w:rPr>
      </w:pPr>
      <w:r w:rsidRPr="006E50FF">
        <w:rPr>
          <w:b/>
          <w:noProof/>
        </w:rPr>
        <w:t>Part I.  Taxes Collected and Administered by the Secretary of Revenue</w:t>
      </w:r>
    </w:p>
    <w:p w14:paraId="2093929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13.</w:t>
      </w:r>
      <w:r w:rsidRPr="006E50FF">
        <w:rPr>
          <w:b/>
          <w:kern w:val="2"/>
        </w:rPr>
        <w:tab/>
        <w:t>Income: Individual</w:t>
      </w:r>
      <w:r w:rsidRPr="006E50FF">
        <w:rPr>
          <w:b/>
          <w:kern w:val="2"/>
        </w:rPr>
        <w:tab/>
      </w:r>
    </w:p>
    <w:p w14:paraId="586AED6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§1311.</w:t>
      </w:r>
      <w:r w:rsidRPr="006E50FF">
        <w:rPr>
          <w:b/>
          <w:kern w:val="2"/>
        </w:rPr>
        <w:tab/>
        <w:t>Annual Retirement Income Exemption for Individuals 65 or Older</w:t>
      </w:r>
    </w:p>
    <w:p w14:paraId="1922D7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For taxable periods beginning on or after January 1, 2025, R.S. 47:44.1 provides an exemption of up to $12,000, as adjusted annually for inflation in accordance with R.S. 47:44.1, for annual retirement income received by an individual who is 65 years of age or older. Only the individual who received the annual retirement income is entitled to the exemption.</w:t>
      </w:r>
    </w:p>
    <w:p w14:paraId="68B005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3CB59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B.4.b.</w:t>
      </w:r>
      <w:r w:rsidRPr="006E50FF">
        <w:rPr>
          <w:kern w:val="2"/>
        </w:rPr>
        <w:tab/>
        <w:t xml:space="preserve">… </w:t>
      </w:r>
    </w:p>
    <w:p w14:paraId="6B3CB4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Examples</w:t>
      </w:r>
    </w:p>
    <w:p w14:paraId="12D2D9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Mary and John are married and file a joint federal and Louisiana income tax return. Both are age 65 or older. Mary worked for X Corporation for many years and retired in 2020. In 2025, she received $30,000 in pension payments from the X Corporation’s retirement plan. John's only source </w:t>
      </w:r>
      <w:r w:rsidRPr="006E50FF">
        <w:rPr>
          <w:kern w:val="2"/>
        </w:rPr>
        <w:br w:type="column"/>
      </w:r>
      <w:r w:rsidRPr="006E50FF">
        <w:rPr>
          <w:kern w:val="2"/>
        </w:rPr>
        <w:t>of retirement income is federal Social Security, which is not included in the couple's tax table income because it is already exempt under Louisiana law. Because only Mary receives annual retirement income, Mary and John may only exempt $12,000 of Mary's retirement income from their 2025 income taxes under this exemption. Because John is not the plan participant, he has not received any annual retirement income for purposes of the exemption.</w:t>
      </w:r>
    </w:p>
    <w:p w14:paraId="3DF625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Scott and Ellen are married and file a joint federal and Louisiana income tax return. Both are age 65 or older. Because they each meet the age requirement, each spouse may exclude up to $12,324 (the inflation-adjusted amount for tax year 2026) of their own retirement income. Scott worked for ABC Corporation for many years and retired in 2025 at age 65. In 2026, he received $30,000 in pension payments from ABC’s retirement plan. Scott may exclude up to $12,324 of this pension income. Ellen receives two types of income: Social Security benefits and an annuity. Her Social Security benefits are fully exempt under Louisiana law and are not included in this calculation. She also receives $4,000 per year from an annuity. Because this is her only taxable retirement income, she may exclude the full $4,000. In total, Scott and Ellen may exclude $16,324 of retirement income on their 2026 Louisiana return. </w:t>
      </w:r>
    </w:p>
    <w:p w14:paraId="271712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Alan and Leslie are a married couple who do not live apart. Their filing status for federal and state income tax is married filing separate. Both are age 65 or older. Because they each meet the age requirement, each of them is entitled to exempt up to $12,324 (the inflation adjusted amount for tax year 2026) of the annual retirement income each receives on their married filing separate returns. Alan receives $10,000 of annual retirement income from an annuity. Leslie is not yet retired and receives a salary, but no annual retirement income. Alan's annuity income and Leslie's salary are community property. Because Louisiana is a community property state and the couple has chosen not to file a joint return, Leslie must report one half of Alan's annuity income, or $5,000, on her married filing separate federal and state income tax returns. Because Leslie is not named on the annuity, she has not received annual retirement income for purposes of the exemption and cannot claim any exemption amount on her return. Because Alan is only reporting $5,000 of his annuity income on his federal and state income tax returns, he is only entitled to an exemption of $5,000.</w:t>
      </w:r>
    </w:p>
    <w:p w14:paraId="3B1F78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Assume the same facts as in Example 3, except that Alan and Leslie have a separation of property agreement. As such, each spouse will report his or her own items of income and loss on his or her own married filing separate return. Alan will report the entire amount of his annuity income and will be entitled to exempt the full amount of $10,000 of annual retirement income he receives.</w:t>
      </w:r>
    </w:p>
    <w:p w14:paraId="415C7B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47:44.1, 295, 1511.</w:t>
      </w:r>
    </w:p>
    <w:p w14:paraId="140B8D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LR 32:259 (February 2006), amended by Department of Revenue, Tax Policy and Planning Division, LR 52:1512 (September 2026).</w:t>
      </w:r>
    </w:p>
    <w:p w14:paraId="1A4C46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B365940" w14:textId="77777777" w:rsidR="006E50FF" w:rsidRPr="006E50FF" w:rsidRDefault="006E50FF" w:rsidP="006E50FF">
      <w:pPr>
        <w:keepNext/>
        <w:ind w:left="2160"/>
        <w:jc w:val="both"/>
      </w:pPr>
      <w:r w:rsidRPr="006E50FF">
        <w:t>Jarrod J. Coniglio</w:t>
      </w:r>
    </w:p>
    <w:p w14:paraId="6F0AD90B" w14:textId="77777777" w:rsidR="006E50FF" w:rsidRPr="006E50FF" w:rsidRDefault="006E50FF" w:rsidP="006E50FF">
      <w:pPr>
        <w:keepNext/>
        <w:ind w:left="2160"/>
        <w:jc w:val="both"/>
      </w:pPr>
      <w:r w:rsidRPr="006E50FF">
        <w:t>Secretary</w:t>
      </w:r>
    </w:p>
    <w:p w14:paraId="0E357150" w14:textId="77777777" w:rsidR="006E50FF" w:rsidRPr="006E50FF" w:rsidRDefault="006E50FF" w:rsidP="006E50FF">
      <w:pPr>
        <w:rPr>
          <w:noProof/>
          <w:sz w:val="16"/>
        </w:rPr>
      </w:pPr>
      <w:r w:rsidRPr="006E50FF">
        <w:rPr>
          <w:noProof/>
          <w:sz w:val="16"/>
        </w:rPr>
        <w:t>2026#024</w:t>
      </w:r>
    </w:p>
    <w:p w14:paraId="3348B659" w14:textId="77777777" w:rsidR="006E50FF" w:rsidRPr="006E50FF" w:rsidRDefault="006E50FF" w:rsidP="006E50FF"/>
    <w:p w14:paraId="07883539" w14:textId="77777777" w:rsidR="006E50FF" w:rsidRPr="006E50FF" w:rsidRDefault="006E50FF" w:rsidP="006E50FF"/>
    <w:p w14:paraId="0F6E8ABA" w14:textId="77777777" w:rsidR="006E50FF" w:rsidRPr="006E50FF" w:rsidRDefault="006E50FF" w:rsidP="006E50FF">
      <w:pPr>
        <w:keepNext/>
        <w:tabs>
          <w:tab w:val="left" w:pos="-1440"/>
        </w:tabs>
        <w:spacing w:after="120"/>
        <w:jc w:val="center"/>
        <w:rPr>
          <w:b/>
          <w:noProof/>
        </w:rPr>
      </w:pPr>
      <w:r w:rsidRPr="006E50FF">
        <w:rPr>
          <w:b/>
          <w:noProof/>
        </w:rPr>
        <w:lastRenderedPageBreak/>
        <w:t>RULE</w:t>
      </w:r>
    </w:p>
    <w:p w14:paraId="1ECCABD5" w14:textId="77777777" w:rsidR="006E50FF" w:rsidRPr="006E50FF" w:rsidRDefault="006E50FF" w:rsidP="006E50FF">
      <w:pPr>
        <w:keepNext/>
        <w:jc w:val="center"/>
        <w:rPr>
          <w:b/>
          <w:noProof/>
        </w:rPr>
      </w:pPr>
      <w:r w:rsidRPr="006E50FF">
        <w:rPr>
          <w:b/>
          <w:noProof/>
        </w:rPr>
        <w:t>Department of Revenue</w:t>
      </w:r>
    </w:p>
    <w:p w14:paraId="2CE8CEF1" w14:textId="77777777" w:rsidR="006E50FF" w:rsidRPr="006E50FF" w:rsidRDefault="006E50FF" w:rsidP="006E50FF">
      <w:pPr>
        <w:keepNext/>
        <w:jc w:val="center"/>
        <w:rPr>
          <w:b/>
          <w:noProof/>
        </w:rPr>
      </w:pPr>
      <w:r w:rsidRPr="006E50FF">
        <w:rPr>
          <w:b/>
          <w:noProof/>
        </w:rPr>
        <w:t>Tax Policy and Planning Division</w:t>
      </w:r>
    </w:p>
    <w:p w14:paraId="7A57AEBE" w14:textId="77777777" w:rsidR="006E50FF" w:rsidRPr="006E50FF" w:rsidRDefault="006E50FF" w:rsidP="006E50FF">
      <w:pPr>
        <w:keepNext/>
        <w:spacing w:before="240" w:after="240"/>
        <w:jc w:val="center"/>
        <w:rPr>
          <w:noProof/>
        </w:rPr>
      </w:pPr>
      <w:r w:rsidRPr="006E50FF">
        <w:rPr>
          <w:noProof/>
        </w:rPr>
        <w:t>Corporation Returns (LAC 61:I.1148)</w:t>
      </w:r>
    </w:p>
    <w:p w14:paraId="10D79B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rPr>
        <w:t xml:space="preserve">Under the authority of </w:t>
      </w:r>
      <w:r w:rsidRPr="006E50FF">
        <w:rPr>
          <w:bCs/>
          <w:kern w:val="2"/>
          <w:szCs w:val="24"/>
        </w:rPr>
        <w:t xml:space="preserve">R.S. 47:287.441, 287.444, 287.601, 287.612, 287.614, 287.623, 287.651, 287.732, 287.785 </w:t>
      </w:r>
      <w:r w:rsidRPr="006E50FF">
        <w:rPr>
          <w:bCs/>
          <w:kern w:val="2"/>
        </w:rPr>
        <w:t xml:space="preserve">and 1511 and </w:t>
      </w:r>
      <w:r w:rsidRPr="006E50FF">
        <w:rPr>
          <w:kern w:val="2"/>
        </w:rPr>
        <w:t>in accordance with the provisions of the Administrative Procedure Act, R.S. 49:950 et seq., the Department of Revenue, Tax Policy and Planning Division, has amended LAC 61:I.1148 relative to the requirements of filing a final return upon liquidation or dissolution of a corporation.</w:t>
      </w:r>
      <w:r w:rsidRPr="006E50FF">
        <w:rPr>
          <w:kern w:val="2"/>
          <w:szCs w:val="24"/>
        </w:rPr>
        <w:t xml:space="preserve"> </w:t>
      </w:r>
    </w:p>
    <w:p w14:paraId="3A847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purpose of this Rule is to simplify the process of closing a corporation’s account with the department by eliminating documentation requirements associated with filing a final corporation income tax return upon the liquidation or dissolution of a corporation. Additionally, the Rule updates any reference to the due date for the filing of a corporation income tax return.</w:t>
      </w:r>
    </w:p>
    <w:p w14:paraId="06DD1B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6B748D4F" w14:textId="77777777" w:rsidR="006E50FF" w:rsidRPr="006E50FF" w:rsidRDefault="006E50FF" w:rsidP="006E50FF">
      <w:pPr>
        <w:keepNext/>
        <w:jc w:val="center"/>
        <w:rPr>
          <w:b/>
          <w:kern w:val="28"/>
        </w:rPr>
      </w:pPr>
      <w:r w:rsidRPr="006E50FF">
        <w:rPr>
          <w:b/>
          <w:kern w:val="28"/>
        </w:rPr>
        <w:t>Title 61</w:t>
      </w:r>
    </w:p>
    <w:p w14:paraId="715DF60C" w14:textId="77777777" w:rsidR="006E50FF" w:rsidRPr="006E50FF" w:rsidRDefault="006E50FF" w:rsidP="006E50FF">
      <w:pPr>
        <w:keepNext/>
        <w:jc w:val="center"/>
        <w:rPr>
          <w:b/>
          <w:kern w:val="28"/>
        </w:rPr>
      </w:pPr>
      <w:r w:rsidRPr="006E50FF">
        <w:rPr>
          <w:b/>
          <w:kern w:val="28"/>
        </w:rPr>
        <w:t>REVENUE AND TAXATION</w:t>
      </w:r>
    </w:p>
    <w:p w14:paraId="3CB52F5C" w14:textId="77777777" w:rsidR="006E50FF" w:rsidRPr="006E50FF" w:rsidRDefault="006E50FF" w:rsidP="006E50FF">
      <w:pPr>
        <w:keepNext/>
        <w:jc w:val="center"/>
        <w:rPr>
          <w:b/>
          <w:noProof/>
        </w:rPr>
      </w:pPr>
      <w:r w:rsidRPr="006E50FF">
        <w:rPr>
          <w:b/>
          <w:noProof/>
        </w:rPr>
        <w:t>Part I.  Taxes Collected and Administered by the Secretary of Revenue</w:t>
      </w:r>
    </w:p>
    <w:p w14:paraId="0DE69FC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Income: Corporation Income Tax</w:t>
      </w:r>
    </w:p>
    <w:p w14:paraId="638CA0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§1148.</w:t>
      </w:r>
      <w:r w:rsidRPr="006E50FF">
        <w:rPr>
          <w:b/>
          <w:kern w:val="2"/>
        </w:rPr>
        <w:tab/>
        <w:t>Corporation Returns</w:t>
      </w:r>
    </w:p>
    <w:p w14:paraId="250207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9DE2614" w14:textId="77777777" w:rsidR="006E50FF" w:rsidRPr="006E50FF" w:rsidRDefault="006E50FF" w:rsidP="006E50FF">
      <w:pPr>
        <w:tabs>
          <w:tab w:val="left" w:pos="144"/>
          <w:tab w:val="left" w:pos="187"/>
          <w:tab w:val="left" w:pos="540"/>
          <w:tab w:val="left" w:pos="1080"/>
        </w:tabs>
        <w:ind w:firstLine="187"/>
        <w:jc w:val="both"/>
        <w:outlineLvl w:val="3"/>
        <w:rPr>
          <w:kern w:val="2"/>
        </w:rPr>
      </w:pPr>
      <w:r w:rsidRPr="006E50FF">
        <w:rPr>
          <w:kern w:val="2"/>
        </w:rPr>
        <w:t>B. - B.7.</w:t>
      </w:r>
      <w:r w:rsidRPr="006E50FF">
        <w:rPr>
          <w:kern w:val="2"/>
        </w:rPr>
        <w:tab/>
        <w:t>Repealed.</w:t>
      </w:r>
    </w:p>
    <w:p w14:paraId="3A67ADB3"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C. - D.1.</w:t>
      </w:r>
      <w:r w:rsidRPr="006E50FF">
        <w:rPr>
          <w:kern w:val="2"/>
        </w:rPr>
        <w:tab/>
        <w:t>…</w:t>
      </w:r>
    </w:p>
    <w:p w14:paraId="367F7D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Except as otherwise provided herein, when a change in ownership results in a change to the accounting period, the filing of two short period returns is required. The due date of the first short period return is the fifteenth day of the fifth month following the last day of the calendar month in which the change in ownership occurred. The due date of the last short period return is the due date of the new accounting period year-end return.</w:t>
      </w:r>
    </w:p>
    <w:p w14:paraId="53EF16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When a one-day return is required under federal law, that one-day is a separate accounting period for Louisiana reporting purposes. A separate return is required for that one day. This will usually result in the filing of three short period returns. The due date of the first short period return is the fifteenth day of the fifth month following the last day of the calendar month in which the change in ownership occurred. The due date of the one-day return is the fifteenth day of the fifth month following the last day of the calendar month in which the one-day falls. The due date of the last short period return is the due date of the new accounting period year-end return.</w:t>
      </w:r>
    </w:p>
    <w:p w14:paraId="163D28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t>
      </w:r>
    </w:p>
    <w:p w14:paraId="4359A1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w:t>
      </w:r>
      <w:bookmarkStart w:id="88" w:name="_Hlk224205094"/>
      <w:r w:rsidRPr="006E50FF">
        <w:rPr>
          <w:kern w:val="2"/>
          <w:sz w:val="18"/>
        </w:rPr>
        <w:t>R.S. 47:287.441, R.S. 47:287.444, R.S.47:287.601, R.S. 47:287.612, R.S. 47:287.614, R.S. 47:287.623, R.S. 47:287.651, R.S. 47:287.732, R.S. 47:287.785 and R.S. 47:1511</w:t>
      </w:r>
      <w:bookmarkEnd w:id="88"/>
      <w:r w:rsidRPr="006E50FF">
        <w:rPr>
          <w:kern w:val="2"/>
          <w:sz w:val="18"/>
        </w:rPr>
        <w:t>.</w:t>
      </w:r>
    </w:p>
    <w:p w14:paraId="608A7C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column"/>
      </w:r>
      <w:r w:rsidRPr="006E50FF">
        <w:rPr>
          <w:kern w:val="2"/>
          <w:sz w:val="18"/>
        </w:rPr>
        <w:t>HISTORICAL NOTE:</w:t>
      </w:r>
      <w:r w:rsidRPr="006E50FF">
        <w:rPr>
          <w:kern w:val="2"/>
          <w:sz w:val="18"/>
        </w:rPr>
        <w:tab/>
        <w:t>Promulgated by the Department of Revenue and Taxation, Income Tax Section, LR 14:108 (February 1988), repromulgated by the Department of Revenue, Policy Services Division, LR 30:485 (March 2004), amended LR 30:2860 (December 2004), amended by the Department of Revenue, Tax Policy and Planning Division, LR 52:1513 (September 2026).</w:t>
      </w:r>
    </w:p>
    <w:p w14:paraId="3BE157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EE5A8DA" w14:textId="77777777" w:rsidR="006E50FF" w:rsidRPr="006E50FF" w:rsidRDefault="006E50FF" w:rsidP="006E50FF">
      <w:pPr>
        <w:keepNext/>
        <w:ind w:left="2160"/>
        <w:jc w:val="both"/>
      </w:pPr>
      <w:r w:rsidRPr="006E50FF">
        <w:t>Jarrod J. Coniglio</w:t>
      </w:r>
    </w:p>
    <w:p w14:paraId="5B8BA29D" w14:textId="77777777" w:rsidR="006E50FF" w:rsidRPr="006E50FF" w:rsidRDefault="006E50FF" w:rsidP="006E50FF">
      <w:pPr>
        <w:keepNext/>
        <w:ind w:left="2160"/>
        <w:jc w:val="both"/>
      </w:pPr>
      <w:r w:rsidRPr="006E50FF">
        <w:t>Secretary</w:t>
      </w:r>
    </w:p>
    <w:p w14:paraId="16EA3EB3" w14:textId="77777777" w:rsidR="006E50FF" w:rsidRPr="006E50FF" w:rsidRDefault="006E50FF" w:rsidP="006E50FF">
      <w:pPr>
        <w:rPr>
          <w:noProof/>
          <w:sz w:val="16"/>
        </w:rPr>
      </w:pPr>
      <w:r w:rsidRPr="006E50FF">
        <w:rPr>
          <w:noProof/>
          <w:sz w:val="16"/>
        </w:rPr>
        <w:t>2609#020</w:t>
      </w:r>
    </w:p>
    <w:p w14:paraId="33740E74" w14:textId="77777777" w:rsidR="006E50FF" w:rsidRPr="006E50FF" w:rsidRDefault="006E50FF" w:rsidP="006E50FF"/>
    <w:p w14:paraId="065B3F2D" w14:textId="77777777" w:rsidR="006E50FF" w:rsidRPr="006E50FF" w:rsidRDefault="006E50FF" w:rsidP="006E50FF">
      <w:pPr>
        <w:keepNext/>
        <w:tabs>
          <w:tab w:val="left" w:pos="-1440"/>
        </w:tabs>
        <w:spacing w:after="120"/>
        <w:jc w:val="center"/>
        <w:rPr>
          <w:b/>
          <w:noProof/>
        </w:rPr>
      </w:pPr>
      <w:r w:rsidRPr="006E50FF">
        <w:rPr>
          <w:b/>
          <w:noProof/>
        </w:rPr>
        <w:t>RULE</w:t>
      </w:r>
    </w:p>
    <w:p w14:paraId="75935C50" w14:textId="77777777" w:rsidR="006E50FF" w:rsidRPr="006E50FF" w:rsidRDefault="006E50FF" w:rsidP="006E50FF">
      <w:pPr>
        <w:keepNext/>
        <w:jc w:val="center"/>
        <w:rPr>
          <w:b/>
          <w:noProof/>
        </w:rPr>
      </w:pPr>
      <w:r w:rsidRPr="006E50FF">
        <w:rPr>
          <w:b/>
          <w:noProof/>
        </w:rPr>
        <w:t>Department of Revenue</w:t>
      </w:r>
    </w:p>
    <w:p w14:paraId="31496765" w14:textId="77777777" w:rsidR="006E50FF" w:rsidRPr="006E50FF" w:rsidRDefault="006E50FF" w:rsidP="006E50FF">
      <w:pPr>
        <w:keepNext/>
        <w:jc w:val="center"/>
        <w:rPr>
          <w:b/>
          <w:noProof/>
        </w:rPr>
      </w:pPr>
      <w:r w:rsidRPr="006E50FF">
        <w:rPr>
          <w:b/>
          <w:noProof/>
        </w:rPr>
        <w:t>Tax Policy and Planning Division</w:t>
      </w:r>
    </w:p>
    <w:p w14:paraId="68104AC1" w14:textId="77777777" w:rsidR="006E50FF" w:rsidRPr="006E50FF" w:rsidRDefault="006E50FF" w:rsidP="006E50FF">
      <w:pPr>
        <w:keepNext/>
        <w:spacing w:before="240" w:after="240"/>
        <w:jc w:val="center"/>
        <w:rPr>
          <w:bCs/>
          <w:noProof/>
        </w:rPr>
      </w:pPr>
      <w:r w:rsidRPr="006E50FF">
        <w:rPr>
          <w:noProof/>
        </w:rPr>
        <w:t>Income: Corporation Income Tax</w:t>
      </w:r>
      <w:r w:rsidRPr="006E50FF">
        <w:rPr>
          <w:noProof/>
        </w:rPr>
        <w:br/>
      </w:r>
      <w:r w:rsidRPr="006E50FF">
        <w:rPr>
          <w:bCs/>
          <w:noProof/>
        </w:rPr>
        <w:t>(LAC 61:I.1135 and 1136)</w:t>
      </w:r>
    </w:p>
    <w:p w14:paraId="5410CF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R.S. 47:1511 and 287.95 and in accordance with the provisions of the Administrative Procedure Act, R.S. 49:950 et seq., the Department of Revenue, Tax Policy and Planning Division amends LAC 61:I.1135 and 1136 relative to the sourcing and exclusion of certain sales for purposes of calculating Louisiana income. </w:t>
      </w:r>
    </w:p>
    <w:p w14:paraId="23FE68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Rule implements Act 430 of the 2023 Regular Session. Act 430 removes certain sales from the types of sales treated as apportionable income and eliminates the requirement to exclude unassignable sales from both the numerator and the denominator of the sales factor.</w:t>
      </w:r>
    </w:p>
    <w:p w14:paraId="720133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331D7F09" w14:textId="77777777" w:rsidR="006E50FF" w:rsidRPr="006E50FF" w:rsidRDefault="006E50FF" w:rsidP="006E50FF">
      <w:pPr>
        <w:keepNext/>
        <w:jc w:val="center"/>
        <w:rPr>
          <w:b/>
          <w:kern w:val="28"/>
        </w:rPr>
      </w:pPr>
      <w:r w:rsidRPr="006E50FF">
        <w:rPr>
          <w:b/>
          <w:kern w:val="28"/>
        </w:rPr>
        <w:t>Title 61</w:t>
      </w:r>
    </w:p>
    <w:p w14:paraId="0D9F51EA" w14:textId="77777777" w:rsidR="006E50FF" w:rsidRPr="006E50FF" w:rsidRDefault="006E50FF" w:rsidP="006E50FF">
      <w:pPr>
        <w:keepNext/>
        <w:jc w:val="center"/>
        <w:rPr>
          <w:b/>
          <w:kern w:val="28"/>
        </w:rPr>
      </w:pPr>
      <w:r w:rsidRPr="006E50FF">
        <w:rPr>
          <w:b/>
          <w:kern w:val="28"/>
        </w:rPr>
        <w:t>REVENUE AND TAXATION</w:t>
      </w:r>
    </w:p>
    <w:p w14:paraId="34164916" w14:textId="77777777" w:rsidR="006E50FF" w:rsidRPr="006E50FF" w:rsidRDefault="006E50FF" w:rsidP="006E50FF">
      <w:pPr>
        <w:keepNext/>
        <w:jc w:val="center"/>
        <w:rPr>
          <w:b/>
          <w:noProof/>
        </w:rPr>
      </w:pPr>
      <w:r w:rsidRPr="006E50FF">
        <w:rPr>
          <w:b/>
          <w:noProof/>
        </w:rPr>
        <w:t>Part I.  Taxes Collected and Administered by the Secretary of Revenue</w:t>
      </w:r>
    </w:p>
    <w:p w14:paraId="55FEAAF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Income: Corporation Income Tax</w:t>
      </w:r>
    </w:p>
    <w:p w14:paraId="25F23E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§1135.</w:t>
      </w:r>
      <w:r w:rsidRPr="006E50FF">
        <w:rPr>
          <w:b/>
          <w:kern w:val="2"/>
        </w:rPr>
        <w:tab/>
        <w:t>Sourcing of Sales Other Than Sales of Tangible Personal Property</w:t>
      </w:r>
    </w:p>
    <w:p w14:paraId="595FC2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49C49A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determining whether and to what extent the market for a sale other than the sale of tangible personal property is in Louisiana, and</w:t>
      </w:r>
      <w:r w:rsidRPr="006E50FF">
        <w:rPr>
          <w:kern w:val="2"/>
        </w:rPr>
        <w:tab/>
      </w:r>
    </w:p>
    <w:p w14:paraId="165B28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reasonably approximating the state or states of assignment where the state or states cannot be determined.</w:t>
      </w:r>
    </w:p>
    <w:p w14:paraId="42270E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- 4.</w:t>
      </w:r>
      <w:r w:rsidRPr="006E50FF">
        <w:rPr>
          <w:kern w:val="2"/>
        </w:rPr>
        <w:tab/>
        <w:t>Repealed.</w:t>
      </w:r>
    </w:p>
    <w:p w14:paraId="6F5147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F.3.</w:t>
      </w:r>
      <w:r w:rsidRPr="006E50FF">
        <w:rPr>
          <w:kern w:val="2"/>
        </w:rPr>
        <w:tab/>
        <w:t>…</w:t>
      </w:r>
    </w:p>
    <w:p w14:paraId="1C2B45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Rule with Respect to Sales Factor</w:t>
      </w:r>
    </w:p>
    <w:p w14:paraId="431EB8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sales factor only includes those amounts defined as sales under applicable statutes and regulations.</w:t>
      </w:r>
    </w:p>
    <w:p w14:paraId="0C8A8F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Repealed.</w:t>
      </w:r>
    </w:p>
    <w:p w14:paraId="3AAB10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H.2.b.i.(d).</w:t>
      </w:r>
      <w:r w:rsidRPr="006E50FF">
        <w:rPr>
          <w:kern w:val="2"/>
        </w:rPr>
        <w:tab/>
        <w:t>…</w:t>
      </w:r>
    </w:p>
    <w:p w14:paraId="4FB7C62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Rule of Reasonable Approximation. In an instance in which the state or states where a service is actually received cannot be determined, but the taxpayer has sufficient information regarding the place of sale from which it can reasonably approximate the state or states where the service is received, the taxpayer shall reasonably approximate such state or states. </w:t>
      </w:r>
    </w:p>
    <w:p w14:paraId="583A87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5868AF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 - 5.b.</w:t>
      </w:r>
      <w:r w:rsidRPr="006E50FF">
        <w:rPr>
          <w:kern w:val="2"/>
        </w:rPr>
        <w:tab/>
        <w:t>…</w:t>
      </w:r>
    </w:p>
    <w:p w14:paraId="430FF6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Sale of Immovable Property. In the case of the sale of immovable property, the receipts are sourced to Louisiana if and to the extent that the immovable property is located in Louisiana.</w:t>
      </w:r>
    </w:p>
    <w:p w14:paraId="567C5D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Repealed.</w:t>
      </w:r>
    </w:p>
    <w:p w14:paraId="7C26A1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Lease or License of Intangible Property. In the case of the lease or license of intangible property, the receipts are sourced to Louisiana if and to the extent that the intangible property is used in Louisiana.</w:t>
      </w:r>
    </w:p>
    <w:p w14:paraId="71199D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 - L.3.a.</w:t>
      </w:r>
      <w:r w:rsidRPr="006E50FF">
        <w:rPr>
          <w:kern w:val="2"/>
        </w:rPr>
        <w:tab/>
        <w:t>…</w:t>
      </w:r>
    </w:p>
    <w:p w14:paraId="7ECD258D"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4. - 4.a.</w:t>
      </w:r>
      <w:r w:rsidRPr="006E50FF">
        <w:rPr>
          <w:kern w:val="2"/>
        </w:rPr>
        <w:tab/>
        <w:t>Repealed.</w:t>
      </w:r>
    </w:p>
    <w:p w14:paraId="1F268D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 Promulgated in accordance with R.S. 47:1511 and R.S. 47: 287.95</w:t>
      </w:r>
    </w:p>
    <w:p w14:paraId="251FB9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LR 44:2218 (December 2018), amended by the Department of Revenue, Tax Policy and Planning Division, LR 52:1513 (September 2026).</w:t>
      </w:r>
    </w:p>
    <w:p w14:paraId="4D0D0B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§1136.</w:t>
      </w:r>
      <w:r w:rsidRPr="006E50FF">
        <w:rPr>
          <w:b/>
          <w:kern w:val="2"/>
        </w:rPr>
        <w:tab/>
        <w:t xml:space="preserve">Sourcing of Certain Sales of Tangible Personal Property </w:t>
      </w:r>
    </w:p>
    <w:p w14:paraId="088DDD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45758A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C.2.</w:t>
      </w:r>
      <w:r w:rsidRPr="006E50FF">
        <w:rPr>
          <w:kern w:val="2"/>
        </w:rPr>
        <w:tab/>
        <w:t>Repealed.</w:t>
      </w:r>
    </w:p>
    <w:p w14:paraId="4958B8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6BBA1E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Repealed.</w:t>
      </w:r>
    </w:p>
    <w:p w14:paraId="5E320C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F.3.</w:t>
      </w:r>
      <w:r w:rsidRPr="006E50FF">
        <w:rPr>
          <w:kern w:val="2"/>
        </w:rPr>
        <w:tab/>
        <w:t>…</w:t>
      </w:r>
    </w:p>
    <w:p w14:paraId="4107A4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47:1511 and R.S. 47:287.95.</w:t>
      </w:r>
    </w:p>
    <w:p w14:paraId="5D2F65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LR 44:2221 (December 2018), amended by the Department of Revenue, Tax Policy and Planning Division, LR 52:1514 (September 2026).</w:t>
      </w:r>
    </w:p>
    <w:p w14:paraId="7E442A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820DE48" w14:textId="77777777" w:rsidR="006E50FF" w:rsidRPr="006E50FF" w:rsidRDefault="006E50FF" w:rsidP="006E50FF">
      <w:pPr>
        <w:keepNext/>
        <w:ind w:left="2160"/>
        <w:jc w:val="both"/>
      </w:pPr>
      <w:r w:rsidRPr="006E50FF">
        <w:t>Jarrod J. Coniglio</w:t>
      </w:r>
    </w:p>
    <w:p w14:paraId="3FFC243B" w14:textId="77777777" w:rsidR="006E50FF" w:rsidRPr="006E50FF" w:rsidRDefault="006E50FF" w:rsidP="006E50FF">
      <w:pPr>
        <w:keepNext/>
        <w:ind w:left="2160"/>
        <w:jc w:val="both"/>
      </w:pPr>
      <w:r w:rsidRPr="006E50FF">
        <w:t>Secretary</w:t>
      </w:r>
    </w:p>
    <w:p w14:paraId="4706CE7D" w14:textId="77777777" w:rsidR="006E50FF" w:rsidRPr="006E50FF" w:rsidRDefault="006E50FF" w:rsidP="006E50FF">
      <w:pPr>
        <w:rPr>
          <w:noProof/>
          <w:sz w:val="16"/>
        </w:rPr>
      </w:pPr>
      <w:r w:rsidRPr="006E50FF">
        <w:rPr>
          <w:noProof/>
          <w:sz w:val="16"/>
        </w:rPr>
        <w:t>2609#021</w:t>
      </w:r>
    </w:p>
    <w:p w14:paraId="6B2C7031" w14:textId="77777777" w:rsidR="006E50FF" w:rsidRPr="006E50FF" w:rsidRDefault="006E50FF" w:rsidP="006E50FF"/>
    <w:p w14:paraId="22D8FF63" w14:textId="77777777" w:rsidR="006E50FF" w:rsidRPr="006E50FF" w:rsidRDefault="006E50FF" w:rsidP="006E50FF">
      <w:pPr>
        <w:keepNext/>
        <w:tabs>
          <w:tab w:val="left" w:pos="-1440"/>
        </w:tabs>
        <w:spacing w:after="120"/>
        <w:jc w:val="center"/>
        <w:rPr>
          <w:b/>
          <w:noProof/>
        </w:rPr>
      </w:pPr>
      <w:r w:rsidRPr="006E50FF">
        <w:rPr>
          <w:b/>
          <w:noProof/>
        </w:rPr>
        <w:t>RULE</w:t>
      </w:r>
    </w:p>
    <w:p w14:paraId="79CA4EE8" w14:textId="77777777" w:rsidR="006E50FF" w:rsidRPr="006E50FF" w:rsidRDefault="006E50FF" w:rsidP="006E50FF">
      <w:pPr>
        <w:keepNext/>
        <w:jc w:val="center"/>
        <w:rPr>
          <w:b/>
          <w:noProof/>
        </w:rPr>
      </w:pPr>
      <w:r w:rsidRPr="006E50FF">
        <w:rPr>
          <w:b/>
          <w:noProof/>
        </w:rPr>
        <w:t>Department of Revenue</w:t>
      </w:r>
    </w:p>
    <w:p w14:paraId="6142013B" w14:textId="77777777" w:rsidR="006E50FF" w:rsidRPr="006E50FF" w:rsidRDefault="006E50FF" w:rsidP="006E50FF">
      <w:pPr>
        <w:keepNext/>
        <w:jc w:val="center"/>
        <w:rPr>
          <w:b/>
          <w:noProof/>
        </w:rPr>
      </w:pPr>
      <w:r w:rsidRPr="006E50FF">
        <w:rPr>
          <w:b/>
          <w:noProof/>
        </w:rPr>
        <w:t>Tax Policy and Planning Division</w:t>
      </w:r>
    </w:p>
    <w:p w14:paraId="3C362474" w14:textId="77777777" w:rsidR="006E50FF" w:rsidRPr="006E50FF" w:rsidRDefault="006E50FF" w:rsidP="006E50FF">
      <w:pPr>
        <w:keepNext/>
        <w:spacing w:before="240" w:after="240"/>
        <w:jc w:val="center"/>
        <w:rPr>
          <w:bCs/>
          <w:noProof/>
        </w:rPr>
      </w:pPr>
      <w:r w:rsidRPr="006E50FF">
        <w:rPr>
          <w:noProof/>
        </w:rPr>
        <w:t>Income Tax Withholding on Gaming Winnings</w:t>
      </w:r>
      <w:r w:rsidRPr="006E50FF">
        <w:rPr>
          <w:noProof/>
        </w:rPr>
        <w:br/>
      </w:r>
      <w:r w:rsidRPr="006E50FF">
        <w:rPr>
          <w:bCs/>
          <w:noProof/>
        </w:rPr>
        <w:t>(LAC 61:I.1525)</w:t>
      </w:r>
    </w:p>
    <w:p w14:paraId="04213E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R.S. 47:1511 and 164(F) and in accordance with the provisions of the Administrative Procedure Act, R.S. 49:950 et seq., the Department of Revenue, Tax Policy and Planning Division, amends LAC 61:I.1525 relative to the Income Tax Withholding on Gaming Winnings. </w:t>
      </w:r>
    </w:p>
    <w:p w14:paraId="0A73DF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purpose of this Rule is to repeal provisions that duplicate statutory requirements for income tax withholding on gaming winnings. Act 133 of the 2024 Regular Legislative Session enacted R.S. 47:164(D)(3), (E), and (F), which codify these requirements. Accordingly, the Department repeals the duplicative provisions in LAC 61:I.1525.</w:t>
      </w:r>
    </w:p>
    <w:p w14:paraId="1A50EE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2DED2512" w14:textId="77777777" w:rsidR="006E50FF" w:rsidRPr="006E50FF" w:rsidRDefault="006E50FF" w:rsidP="006E50FF">
      <w:pPr>
        <w:keepNext/>
        <w:jc w:val="center"/>
        <w:rPr>
          <w:b/>
          <w:kern w:val="28"/>
        </w:rPr>
      </w:pPr>
      <w:r w:rsidRPr="006E50FF">
        <w:rPr>
          <w:b/>
          <w:kern w:val="28"/>
        </w:rPr>
        <w:t>Title 61</w:t>
      </w:r>
    </w:p>
    <w:p w14:paraId="7DB3F01D" w14:textId="77777777" w:rsidR="006E50FF" w:rsidRPr="006E50FF" w:rsidRDefault="006E50FF" w:rsidP="006E50FF">
      <w:pPr>
        <w:keepNext/>
        <w:jc w:val="center"/>
        <w:rPr>
          <w:b/>
          <w:kern w:val="28"/>
        </w:rPr>
      </w:pPr>
      <w:r w:rsidRPr="006E50FF">
        <w:rPr>
          <w:b/>
          <w:kern w:val="28"/>
        </w:rPr>
        <w:t>REVENUE AND TAXATION</w:t>
      </w:r>
    </w:p>
    <w:p w14:paraId="7B0F7ACC" w14:textId="77777777" w:rsidR="006E50FF" w:rsidRPr="006E50FF" w:rsidRDefault="006E50FF" w:rsidP="006E50FF">
      <w:pPr>
        <w:keepNext/>
        <w:jc w:val="center"/>
        <w:rPr>
          <w:b/>
          <w:noProof/>
        </w:rPr>
      </w:pPr>
      <w:r w:rsidRPr="006E50FF">
        <w:rPr>
          <w:b/>
          <w:noProof/>
        </w:rPr>
        <w:t>Part I.  Taxes Collected and Administered by the Secretary of Revenue</w:t>
      </w:r>
    </w:p>
    <w:p w14:paraId="1BE6E4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Income: Withholding Tax</w:t>
      </w:r>
    </w:p>
    <w:p w14:paraId="03D7628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89" w:name="_Toc219456969"/>
      <w:r w:rsidRPr="006E50FF">
        <w:rPr>
          <w:b/>
          <w:kern w:val="2"/>
        </w:rPr>
        <w:t>§1525.</w:t>
      </w:r>
      <w:r w:rsidRPr="006E50FF">
        <w:rPr>
          <w:b/>
          <w:kern w:val="2"/>
        </w:rPr>
        <w:tab/>
        <w:t>Income Tax Withholding on Gaming Winnings</w:t>
      </w:r>
      <w:bookmarkEnd w:id="89"/>
    </w:p>
    <w:p w14:paraId="78EC9356" w14:textId="77777777" w:rsidR="006E50FF" w:rsidRPr="006E50FF" w:rsidRDefault="006E50FF" w:rsidP="006E50FF">
      <w:pPr>
        <w:tabs>
          <w:tab w:val="left" w:pos="144"/>
          <w:tab w:val="left" w:pos="187"/>
          <w:tab w:val="left" w:pos="540"/>
          <w:tab w:val="left" w:pos="990"/>
          <w:tab w:val="left" w:pos="1170"/>
        </w:tabs>
        <w:ind w:firstLine="187"/>
        <w:jc w:val="both"/>
        <w:outlineLvl w:val="3"/>
        <w:rPr>
          <w:kern w:val="2"/>
        </w:rPr>
      </w:pPr>
      <w:r w:rsidRPr="006E50FF">
        <w:rPr>
          <w:kern w:val="2"/>
        </w:rPr>
        <w:t>A. - A.3.</w:t>
      </w:r>
      <w:r w:rsidRPr="006E50FF">
        <w:rPr>
          <w:kern w:val="2"/>
        </w:rPr>
        <w:tab/>
        <w:t>Repealed.</w:t>
      </w:r>
    </w:p>
    <w:p w14:paraId="26DD3B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B.2.</w:t>
      </w:r>
      <w:r w:rsidRPr="006E50FF">
        <w:rPr>
          <w:kern w:val="2"/>
        </w:rPr>
        <w:tab/>
        <w:t>…</w:t>
      </w:r>
    </w:p>
    <w:p w14:paraId="103EE30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Act 80 of the 2021 Regular Session of the Louisiana Legislature, R.S. 47:32(A), R.S. 47:164, and R.S. 47:1511.</w:t>
      </w:r>
    </w:p>
    <w:p w14:paraId="579850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Policy Service Division, LR 36:2877 (December 2010), LR 48:504 (March 2022), LR 52:71 (January 2026), amended by the Department of Revenue, Tax Policy and Planning Division LR 52:1514 (September 2026).</w:t>
      </w:r>
    </w:p>
    <w:p w14:paraId="0946812B"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242424"/>
        </w:rPr>
      </w:pPr>
    </w:p>
    <w:p w14:paraId="70D6022B" w14:textId="77777777" w:rsidR="006E50FF" w:rsidRPr="006E50FF" w:rsidRDefault="006E50FF" w:rsidP="006E50FF">
      <w:pPr>
        <w:keepNext/>
        <w:ind w:left="2160"/>
        <w:jc w:val="both"/>
      </w:pPr>
      <w:r w:rsidRPr="006E50FF">
        <w:t>Jarrod J. Coniglio</w:t>
      </w:r>
    </w:p>
    <w:p w14:paraId="5D1E2AA0" w14:textId="77777777" w:rsidR="006E50FF" w:rsidRPr="006E50FF" w:rsidRDefault="006E50FF" w:rsidP="006E50FF">
      <w:pPr>
        <w:keepNext/>
        <w:ind w:left="2160"/>
        <w:jc w:val="both"/>
      </w:pPr>
      <w:r w:rsidRPr="006E50FF">
        <w:t>Secretary</w:t>
      </w:r>
    </w:p>
    <w:p w14:paraId="69561177" w14:textId="77777777" w:rsidR="006E50FF" w:rsidRPr="006E50FF" w:rsidRDefault="006E50FF" w:rsidP="006E50FF">
      <w:pPr>
        <w:rPr>
          <w:noProof/>
          <w:sz w:val="16"/>
        </w:rPr>
      </w:pPr>
      <w:r w:rsidRPr="006E50FF">
        <w:rPr>
          <w:noProof/>
          <w:sz w:val="16"/>
        </w:rPr>
        <w:t>2609#023</w:t>
      </w:r>
    </w:p>
    <w:p w14:paraId="25E8FE2A" w14:textId="77777777" w:rsidR="006E50FF" w:rsidRPr="006E50FF" w:rsidRDefault="006E50FF" w:rsidP="006E50FF"/>
    <w:p w14:paraId="766B555D" w14:textId="77777777" w:rsidR="006E50FF" w:rsidRPr="006E50FF" w:rsidRDefault="006E50FF" w:rsidP="006E50FF">
      <w:pPr>
        <w:keepNext/>
        <w:tabs>
          <w:tab w:val="left" w:pos="-1440"/>
        </w:tabs>
        <w:spacing w:after="120"/>
        <w:jc w:val="center"/>
        <w:rPr>
          <w:b/>
          <w:noProof/>
        </w:rPr>
      </w:pPr>
      <w:bookmarkStart w:id="90" w:name="_Hlk213933968"/>
      <w:r w:rsidRPr="006E50FF">
        <w:rPr>
          <w:b/>
          <w:noProof/>
        </w:rPr>
        <w:t>RULE</w:t>
      </w:r>
    </w:p>
    <w:p w14:paraId="0EB6D543" w14:textId="77777777" w:rsidR="006E50FF" w:rsidRPr="006E50FF" w:rsidRDefault="006E50FF" w:rsidP="006E50FF">
      <w:pPr>
        <w:keepNext/>
        <w:jc w:val="center"/>
        <w:rPr>
          <w:b/>
          <w:noProof/>
        </w:rPr>
      </w:pPr>
      <w:r w:rsidRPr="006E50FF">
        <w:rPr>
          <w:b/>
          <w:noProof/>
        </w:rPr>
        <w:t>Department of Revenue</w:t>
      </w:r>
    </w:p>
    <w:p w14:paraId="17202437" w14:textId="77777777" w:rsidR="006E50FF" w:rsidRPr="006E50FF" w:rsidRDefault="006E50FF" w:rsidP="006E50FF">
      <w:pPr>
        <w:keepNext/>
        <w:jc w:val="center"/>
        <w:rPr>
          <w:b/>
          <w:noProof/>
        </w:rPr>
      </w:pPr>
      <w:r w:rsidRPr="006E50FF">
        <w:rPr>
          <w:b/>
          <w:noProof/>
        </w:rPr>
        <w:t>Tax Policy and Planning Division</w:t>
      </w:r>
    </w:p>
    <w:p w14:paraId="471A0049" w14:textId="77777777" w:rsidR="006E50FF" w:rsidRPr="006E50FF" w:rsidRDefault="006E50FF" w:rsidP="006E50FF">
      <w:pPr>
        <w:keepNext/>
        <w:spacing w:before="240" w:after="240"/>
        <w:jc w:val="center"/>
        <w:rPr>
          <w:noProof/>
        </w:rPr>
      </w:pPr>
      <w:bookmarkStart w:id="91" w:name="_Hlk213934433"/>
      <w:r w:rsidRPr="006E50FF">
        <w:rPr>
          <w:noProof/>
        </w:rPr>
        <w:t xml:space="preserve">Withholding by Professional Athletic Teams </w:t>
      </w:r>
      <w:r w:rsidRPr="006E50FF">
        <w:rPr>
          <w:noProof/>
        </w:rPr>
        <w:br/>
        <w:t>(LAC 61:I.1520)</w:t>
      </w:r>
    </w:p>
    <w:p w14:paraId="4B89D4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Under the authority of R.S. 39.100.1 and R.S. 47:1511, 164(D), 295, 114, and 1602.1, and in accordance with the provisions of the Administrative Procedure Act, R.S. 49:950 et seq., the Department of Revenue, Tax Policy and Planning Division, amends LAC 61:I.1520. The amendment changes the reference to the rate of withholding from a numerical rate to the rate imposed on individuals pursuant to R.S. 47:32.</w:t>
      </w:r>
    </w:p>
    <w:p w14:paraId="019AAC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purpose of this Rule is to align the withholding tax rate applicable to professional athletic teams with the individual income tax rate established in R.S. 47:32, so that the rate adjusts by operation of law and ensures consistent and simplified administration. </w:t>
      </w:r>
    </w:p>
    <w:p w14:paraId="25D020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3C8AC9C2" w14:textId="77777777" w:rsidR="006E50FF" w:rsidRPr="006E50FF" w:rsidRDefault="006E50FF" w:rsidP="006E50FF">
      <w:pPr>
        <w:keepNext/>
        <w:jc w:val="center"/>
        <w:rPr>
          <w:b/>
          <w:kern w:val="28"/>
        </w:rPr>
      </w:pPr>
      <w:r w:rsidRPr="006E50FF">
        <w:rPr>
          <w:b/>
          <w:kern w:val="28"/>
        </w:rPr>
        <w:t>Title 61</w:t>
      </w:r>
    </w:p>
    <w:p w14:paraId="336AF147" w14:textId="77777777" w:rsidR="006E50FF" w:rsidRPr="006E50FF" w:rsidRDefault="006E50FF" w:rsidP="006E50FF">
      <w:pPr>
        <w:keepNext/>
        <w:jc w:val="center"/>
        <w:rPr>
          <w:b/>
          <w:kern w:val="28"/>
        </w:rPr>
      </w:pPr>
      <w:r w:rsidRPr="006E50FF">
        <w:rPr>
          <w:b/>
          <w:kern w:val="28"/>
        </w:rPr>
        <w:t>REVENUE AND TAXATION</w:t>
      </w:r>
    </w:p>
    <w:p w14:paraId="28B71234" w14:textId="77777777" w:rsidR="006E50FF" w:rsidRPr="006E50FF" w:rsidRDefault="006E50FF" w:rsidP="006E50FF">
      <w:pPr>
        <w:keepNext/>
        <w:jc w:val="center"/>
        <w:rPr>
          <w:b/>
          <w:noProof/>
        </w:rPr>
      </w:pPr>
      <w:r w:rsidRPr="006E50FF">
        <w:rPr>
          <w:b/>
          <w:noProof/>
        </w:rPr>
        <w:t>Part I.  Taxes Collected and Administered by the Secretary of Revenue</w:t>
      </w:r>
      <w:bookmarkEnd w:id="91"/>
    </w:p>
    <w:p w14:paraId="12420D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92" w:name="_Hlk213934551"/>
      <w:r w:rsidRPr="006E50FF">
        <w:rPr>
          <w:b/>
          <w:kern w:val="2"/>
        </w:rPr>
        <w:t>Chapter 15.</w:t>
      </w:r>
      <w:r w:rsidRPr="006E50FF">
        <w:rPr>
          <w:b/>
          <w:kern w:val="2"/>
        </w:rPr>
        <w:tab/>
        <w:t>Income: Withholding Tax</w:t>
      </w:r>
    </w:p>
    <w:p w14:paraId="0B0B47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r w:rsidRPr="006E50FF">
        <w:rPr>
          <w:b/>
          <w:bCs/>
          <w:kern w:val="2"/>
        </w:rPr>
        <w:t>§1520.</w:t>
      </w:r>
      <w:r w:rsidRPr="006E50FF">
        <w:rPr>
          <w:b/>
          <w:bCs/>
          <w:kern w:val="2"/>
        </w:rPr>
        <w:tab/>
        <w:t xml:space="preserve">Withhoding </w:t>
      </w:r>
      <w:r w:rsidRPr="006E50FF">
        <w:rPr>
          <w:b/>
          <w:kern w:val="2"/>
        </w:rPr>
        <w:t>by Professional Athletic Teams</w:t>
      </w:r>
    </w:p>
    <w:p w14:paraId="4AB0A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75C023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Rate of Withholding. The withholding tax rate under this Section shall be computed at the rate levied on individuals pursuant to the provisions of R.S. 47:32 and applied to the compensation attributable to "duty days" spent in Louisiana.</w:t>
      </w:r>
    </w:p>
    <w:p w14:paraId="67142A88" w14:textId="77777777" w:rsidR="006E50FF" w:rsidRPr="006E50FF" w:rsidRDefault="006E50FF" w:rsidP="006E50FF">
      <w:pPr>
        <w:tabs>
          <w:tab w:val="left" w:pos="144"/>
          <w:tab w:val="left" w:pos="187"/>
          <w:tab w:val="left" w:pos="540"/>
          <w:tab w:val="left" w:pos="907"/>
          <w:tab w:val="left" w:pos="1080"/>
        </w:tabs>
        <w:ind w:firstLine="187"/>
        <w:jc w:val="both"/>
        <w:outlineLvl w:val="3"/>
        <w:rPr>
          <w:b/>
          <w:kern w:val="2"/>
        </w:rPr>
      </w:pPr>
      <w:r w:rsidRPr="006E50FF">
        <w:rPr>
          <w:kern w:val="2"/>
        </w:rPr>
        <w:t>D. - G.1.b.</w:t>
      </w:r>
      <w:r w:rsidRPr="006E50FF">
        <w:rPr>
          <w:kern w:val="2"/>
        </w:rPr>
        <w:tab/>
        <w:t>…</w:t>
      </w:r>
    </w:p>
    <w:bookmarkEnd w:id="92"/>
    <w:p w14:paraId="0BB081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Adopted in accordance with R.S. 39:100.1, R.S. 47:164(D), R.S. 47:295, R.S. 47:1511, R.S. 47:114 and R.S. 47:1602.1. </w:t>
      </w:r>
    </w:p>
    <w:p w14:paraId="0D6E23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556037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Revenue, Policy Services Division, LR 30:91 (January 2004), amended LR 39:104 (January 2013), repromulgated LR 39:330 (February 2013), amended LR 48:507 (March 2022), amended LR 48:2766 (November 2022); amended by Department of Revenue, Tax Policy and Planning Division, LR 52:1514 (September 2026).</w:t>
      </w:r>
    </w:p>
    <w:p w14:paraId="6748B1FF" w14:textId="77777777" w:rsidR="006E50FF" w:rsidRPr="006E50FF" w:rsidRDefault="006E50FF" w:rsidP="006E50FF">
      <w:pPr>
        <w:tabs>
          <w:tab w:val="left" w:pos="144"/>
          <w:tab w:val="left" w:pos="187"/>
          <w:tab w:val="left" w:pos="540"/>
          <w:tab w:val="left" w:pos="907"/>
          <w:tab w:val="left" w:pos="1080"/>
        </w:tabs>
        <w:ind w:firstLine="187"/>
        <w:jc w:val="both"/>
        <w:outlineLvl w:val="3"/>
      </w:pPr>
    </w:p>
    <w:p w14:paraId="6AE16245" w14:textId="77777777" w:rsidR="006E50FF" w:rsidRPr="006E50FF" w:rsidRDefault="006E50FF" w:rsidP="006E50FF">
      <w:pPr>
        <w:keepNext/>
        <w:ind w:left="2160"/>
        <w:jc w:val="both"/>
      </w:pPr>
      <w:r w:rsidRPr="006E50FF">
        <w:t>Jarrod J. Coniglio</w:t>
      </w:r>
    </w:p>
    <w:p w14:paraId="6383DAB7" w14:textId="77777777" w:rsidR="006E50FF" w:rsidRPr="006E50FF" w:rsidRDefault="006E50FF" w:rsidP="006E50FF">
      <w:pPr>
        <w:keepNext/>
        <w:ind w:left="2160"/>
        <w:jc w:val="both"/>
      </w:pPr>
      <w:r w:rsidRPr="006E50FF">
        <w:t xml:space="preserve">Secretary </w:t>
      </w:r>
      <w:bookmarkEnd w:id="90"/>
    </w:p>
    <w:p w14:paraId="546A7CD0" w14:textId="77777777" w:rsidR="006E50FF" w:rsidRPr="006E50FF" w:rsidRDefault="006E50FF" w:rsidP="006E50FF">
      <w:pPr>
        <w:rPr>
          <w:noProof/>
          <w:sz w:val="16"/>
        </w:rPr>
      </w:pPr>
      <w:r w:rsidRPr="006E50FF">
        <w:rPr>
          <w:noProof/>
          <w:sz w:val="16"/>
        </w:rPr>
        <w:t>2609#022</w:t>
      </w:r>
    </w:p>
    <w:p w14:paraId="14432BB4" w14:textId="77777777" w:rsidR="006E50FF" w:rsidRPr="006E50FF" w:rsidRDefault="006E50FF" w:rsidP="006E50FF"/>
    <w:p w14:paraId="6FF060B2" w14:textId="77777777" w:rsidR="006E50FF" w:rsidRPr="006E50FF" w:rsidRDefault="006E50FF" w:rsidP="006E50FF">
      <w:pPr>
        <w:keepNext/>
        <w:tabs>
          <w:tab w:val="left" w:pos="-1440"/>
        </w:tabs>
        <w:spacing w:after="120"/>
        <w:jc w:val="center"/>
        <w:rPr>
          <w:b/>
          <w:noProof/>
        </w:rPr>
      </w:pPr>
      <w:r w:rsidRPr="006E50FF">
        <w:rPr>
          <w:b/>
          <w:noProof/>
        </w:rPr>
        <w:t>RULE</w:t>
      </w:r>
    </w:p>
    <w:p w14:paraId="73BA715D" w14:textId="77777777" w:rsidR="006E50FF" w:rsidRPr="006E50FF" w:rsidRDefault="006E50FF" w:rsidP="006E50FF">
      <w:pPr>
        <w:keepNext/>
        <w:jc w:val="center"/>
        <w:rPr>
          <w:b/>
          <w:noProof/>
        </w:rPr>
      </w:pPr>
      <w:r w:rsidRPr="006E50FF">
        <w:rPr>
          <w:b/>
          <w:noProof/>
        </w:rPr>
        <w:t>Department of Transportation and Development</w:t>
      </w:r>
    </w:p>
    <w:p w14:paraId="529C01C8" w14:textId="77777777" w:rsidR="006E50FF" w:rsidRPr="006E50FF" w:rsidRDefault="006E50FF" w:rsidP="006E50FF">
      <w:pPr>
        <w:keepNext/>
        <w:jc w:val="center"/>
        <w:rPr>
          <w:b/>
          <w:noProof/>
        </w:rPr>
      </w:pPr>
      <w:r w:rsidRPr="006E50FF">
        <w:rPr>
          <w:b/>
          <w:noProof/>
        </w:rPr>
        <w:t>Office of Multimodal Commerce</w:t>
      </w:r>
    </w:p>
    <w:p w14:paraId="45FD3F61" w14:textId="77777777" w:rsidR="006E50FF" w:rsidRPr="006E50FF" w:rsidRDefault="006E50FF" w:rsidP="006E50FF">
      <w:pPr>
        <w:keepNext/>
        <w:spacing w:before="240" w:after="240"/>
        <w:jc w:val="center"/>
        <w:rPr>
          <w:bCs/>
          <w:noProof/>
        </w:rPr>
      </w:pPr>
      <w:r w:rsidRPr="006E50FF">
        <w:rPr>
          <w:noProof/>
        </w:rPr>
        <w:t xml:space="preserve">Vertiport Development Program </w:t>
      </w:r>
      <w:r w:rsidRPr="006E50FF">
        <w:rPr>
          <w:noProof/>
        </w:rPr>
        <w:br/>
      </w:r>
      <w:r w:rsidRPr="006E50FF">
        <w:rPr>
          <w:bCs/>
          <w:noProof/>
        </w:rPr>
        <w:t>(LAC 70:IX.Chapter 9)</w:t>
      </w:r>
    </w:p>
    <w:p w14:paraId="1F75516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In accordance with the Administrative Procedure Act, R.S. 49:950, and pursuant to the authority granted in R.S. 48:80, that the Department of Transportation and Development (DOTD), Office of Multimodal Commerce, has adopted a new rule requiring policies and procedures for the administration of the Vertiport Development Program. This Rule, Part IX, Chapter 9 of Title 70 entitled “Vertiport Development Program”, is to secure, oversee and administer new or enhanced funding and to ensure the safety of the public, as authorized by and pursuant to the provisions of R.S. 48:80,</w:t>
      </w:r>
      <w:r w:rsidRPr="006E50FF">
        <w:rPr>
          <w:color w:val="000000"/>
          <w:kern w:val="2"/>
          <w:shd w:val="clear" w:color="auto" w:fill="FFFFFF"/>
        </w:rPr>
        <w:t xml:space="preserve"> Acts 2024, No. 316, §2, </w:t>
      </w:r>
      <w:r w:rsidRPr="006E50FF">
        <w:rPr>
          <w:rFonts w:eastAsia="Aptos"/>
          <w:kern w:val="2"/>
        </w:rPr>
        <w:t xml:space="preserve">for the Vertiport Development Program. This Rule is hereby adopted on the day of promulgation. </w:t>
      </w:r>
    </w:p>
    <w:p w14:paraId="72C04B68" w14:textId="77777777" w:rsidR="006E50FF" w:rsidRPr="006E50FF" w:rsidRDefault="006E50FF" w:rsidP="006E50FF">
      <w:pPr>
        <w:keepNext/>
        <w:jc w:val="center"/>
        <w:rPr>
          <w:b/>
          <w:kern w:val="28"/>
        </w:rPr>
      </w:pPr>
      <w:r w:rsidRPr="006E50FF">
        <w:rPr>
          <w:b/>
          <w:kern w:val="28"/>
        </w:rPr>
        <w:t>Title 70</w:t>
      </w:r>
    </w:p>
    <w:p w14:paraId="5619CC11" w14:textId="77777777" w:rsidR="006E50FF" w:rsidRPr="006E50FF" w:rsidRDefault="006E50FF" w:rsidP="006E50FF">
      <w:pPr>
        <w:keepNext/>
        <w:jc w:val="center"/>
        <w:rPr>
          <w:b/>
          <w:kern w:val="28"/>
        </w:rPr>
      </w:pPr>
      <w:r w:rsidRPr="006E50FF">
        <w:rPr>
          <w:b/>
          <w:kern w:val="28"/>
        </w:rPr>
        <w:t>TRANSPORTATION AND DEVELOPMENT</w:t>
      </w:r>
    </w:p>
    <w:p w14:paraId="36B6889C" w14:textId="77777777" w:rsidR="006E50FF" w:rsidRPr="006E50FF" w:rsidRDefault="006E50FF" w:rsidP="006E50FF">
      <w:pPr>
        <w:keepNext/>
        <w:jc w:val="center"/>
        <w:rPr>
          <w:rFonts w:eastAsia="Aptos"/>
          <w:b/>
          <w:noProof/>
        </w:rPr>
      </w:pPr>
      <w:r w:rsidRPr="006E50FF">
        <w:rPr>
          <w:b/>
          <w:noProof/>
        </w:rPr>
        <w:t>Part IX.  Intermodal Transportation</w:t>
      </w:r>
    </w:p>
    <w:p w14:paraId="13A399B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6E50FF">
        <w:rPr>
          <w:rFonts w:eastAsia="Aptos"/>
          <w:b/>
          <w:kern w:val="2"/>
        </w:rPr>
        <w:t>Chapter 9.</w:t>
      </w:r>
      <w:r w:rsidRPr="006E50FF">
        <w:rPr>
          <w:rFonts w:eastAsia="Aptos"/>
          <w:b/>
          <w:kern w:val="2"/>
        </w:rPr>
        <w:tab/>
        <w:t>Vertiport Development Program</w:t>
      </w:r>
    </w:p>
    <w:p w14:paraId="064DFC6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§901.</w:t>
      </w:r>
      <w:r w:rsidRPr="006E50FF">
        <w:rPr>
          <w:b/>
          <w:kern w:val="2"/>
        </w:rPr>
        <w:tab/>
        <w:t>Purpose</w:t>
      </w:r>
    </w:p>
    <w:p w14:paraId="78D877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Program Intent. The intent of the vertiport development program is to administer the vertiport development fund and any associated funding for the Louisiana Department of Transportation and Development, Office of Multimodal Commerce – Aeronautics Division to stimulate innovation and provide rules, procedures, and processes for the efficient project delivery of vertiport infrastructure statewide. Future ground infrastructure, often referred to as “vertiports” will be comprised of existing airports and heliports as well as purpose-built new facilities. Vertiports refer to areas designed specifically for the arrival and departure of AAM aircraft, and may include additional support services, such as passenger processing, refueling, and maintenance areas. Variations in terminology include a vertiplex or vertihub, which would accommodate multiple vertiports in close proximity, and a vertistop, a vertiport for boarding and discharging passengers and cargo but limited or no supporting services. </w:t>
      </w:r>
    </w:p>
    <w:p w14:paraId="236E18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Louisiana Department of Transportation and Development, Office of Multimodal Commerce, Aeronautics Division, hereinafter referred to as OMC-Aeronautics, will foster vertiport operational safety and protect the health and safety of persons and property of the citizens of Louisiana and those engaged in vertiport operations. Further, OMC-</w:t>
      </w:r>
      <w:r w:rsidRPr="006E50FF">
        <w:rPr>
          <w:kern w:val="2"/>
        </w:rPr>
        <w:br w:type="column"/>
      </w:r>
      <w:r w:rsidRPr="006E50FF">
        <w:rPr>
          <w:kern w:val="2"/>
        </w:rPr>
        <w:t>Aeronautics will promote the vertiport program statewide, provide guidance for operational safety protocols to local governments, and provide guidance on the planning, design, construction, and inspection of registered facilities. Federal guidance on the design of infrastructure is thus far limited and preliminary. FAA, with industry support, released Engineering Brief (EB) 105 in September 2022, which provides early guidance as to the siting of vertiports. EB 105 was developed in acknowledgement of the state of the industry, with limited performance data due to the proprietary nature of aircraft design. AAM operations may occur at many of the 6</w:t>
      </w:r>
      <w:r w:rsidRPr="006E50FF">
        <w:rPr>
          <w:color w:val="000000"/>
          <w:kern w:val="2"/>
        </w:rPr>
        <w:t>8</w:t>
      </w:r>
      <w:r w:rsidRPr="006E50FF">
        <w:rPr>
          <w:kern w:val="2"/>
        </w:rPr>
        <w:t xml:space="preserve"> public-use airports or many private aviation facilities in Louisiana, including busy commercial service airports, regional airports, or general aviation facilities with capacity. Existing heliports may prove attractive to business use cases supporting the movement of passengers. The following considerations will inform the design of vertiports at existing airport and heliport facilities. Early coordination with FAA regarding the identification and depiction of vertiport facilities on an Airport Layout Plan, as well as consideration of potential environmental impacts under National Environmental Policy Act (NEPA) will also be critical considerations. Increased mobility through AAM relies on expanding operations beyond traditional aviation facilities, a possibility facilitated by the advances in propulsion types (e.g. vertical takeoff and landing). Widespread implementation of AAM will require the development and integration of new aviation infrastructure in new urban, suburban, and rural locations, in some cases co-located with existing parking or transportation facilities. Much of this infrastructure will be built and permitted through state licensing and will require conformance with local zoning codes and ordinances, with community involvement playing a critical role. This policy shall be revised and adapted to current federal regulation and policy changes as practicable.</w:t>
      </w:r>
    </w:p>
    <w:p w14:paraId="51AC42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881E81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52:1515 (September 2026).</w:t>
      </w:r>
    </w:p>
    <w:p w14:paraId="0AB1EED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§903.</w:t>
      </w:r>
      <w:r w:rsidRPr="006E50FF">
        <w:rPr>
          <w:b/>
          <w:kern w:val="2"/>
        </w:rPr>
        <w:tab/>
        <w:t>Definitions</w:t>
      </w:r>
    </w:p>
    <w:p w14:paraId="67253759"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Advanced Air Mobility (AAM)</w:t>
      </w:r>
      <w:r w:rsidRPr="006E50FF">
        <w:rPr>
          <w:rFonts w:eastAsia="Aptos"/>
          <w:kern w:val="2"/>
        </w:rPr>
        <w:t>—an air transportation system primarily utilizing electric aircraft, including eVTOL and eCTOL aircraft to carry passengers, cargo, or provide services in an urban or regional setting, with a gross takeoff weight of 300 lbs. or more.</w:t>
      </w:r>
    </w:p>
    <w:p w14:paraId="19C951D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Combined Charging Standard (CCS)</w:t>
      </w:r>
      <w:r w:rsidRPr="006E50FF">
        <w:rPr>
          <w:rFonts w:eastAsia="Aptos"/>
          <w:kern w:val="2"/>
        </w:rPr>
        <w:t>—a widely accepted global charging standard for electric vehicles (EVs) that supports most electric aviation and electric ground vehicles.</w:t>
      </w:r>
    </w:p>
    <w:p w14:paraId="5B5545EC"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Committee</w:t>
      </w:r>
      <w:r w:rsidRPr="006E50FF">
        <w:rPr>
          <w:rFonts w:eastAsia="Aptos"/>
          <w:kern w:val="2"/>
        </w:rPr>
        <w:t>—</w:t>
      </w:r>
      <w:r w:rsidRPr="006E50FF">
        <w:rPr>
          <w:kern w:val="2"/>
        </w:rPr>
        <w:t xml:space="preserve">Joint </w:t>
      </w:r>
      <w:r w:rsidRPr="006E50FF">
        <w:rPr>
          <w:rFonts w:eastAsia="Aptos"/>
          <w:kern w:val="2"/>
        </w:rPr>
        <w:t>Legislative</w:t>
      </w:r>
      <w:r w:rsidRPr="006E50FF">
        <w:rPr>
          <w:kern w:val="2"/>
        </w:rPr>
        <w:t xml:space="preserve"> Committee on Transportation, Highways, and Public Works.</w:t>
      </w:r>
    </w:p>
    <w:p w14:paraId="71685E0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Controlling Dimension (D)</w:t>
      </w:r>
      <w:r w:rsidRPr="006E50FF">
        <w:rPr>
          <w:rFonts w:eastAsia="Aptos"/>
          <w:kern w:val="2"/>
        </w:rPr>
        <w:t>—the diameter of the smallest circle enclosing the VTOL aircraft projection on a horizontal plane, while the aircraft is in the takeoff or landing configuration, with rotors/propellers turning, if applicable.</w:t>
      </w:r>
    </w:p>
    <w:p w14:paraId="4BEB1C1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Design VTOL Aircraft</w:t>
      </w:r>
      <w:r w:rsidRPr="006E50FF">
        <w:rPr>
          <w:rFonts w:eastAsia="Aptos"/>
          <w:kern w:val="2"/>
        </w:rPr>
        <w:t>—the design vertical take-off and landing (VTOL) aircraft is the largest electric, hydrogen, or hybrid VTOL aircraft that is expected to operate at a vertiport. This design VTOL aircraft is used to size the TLOF, FATO, and Safety Area.</w:t>
      </w:r>
    </w:p>
    <w:p w14:paraId="15A15C06" w14:textId="77777777" w:rsidR="006E50FF" w:rsidRPr="006E50FF" w:rsidRDefault="006E50FF" w:rsidP="006E50FF">
      <w:pPr>
        <w:tabs>
          <w:tab w:val="left" w:pos="720"/>
          <w:tab w:val="left" w:pos="979"/>
          <w:tab w:val="left" w:pos="1152"/>
        </w:tabs>
        <w:ind w:firstLine="360"/>
        <w:jc w:val="both"/>
        <w:outlineLvl w:val="4"/>
        <w:rPr>
          <w:rFonts w:eastAsia="Aptos"/>
          <w:i/>
          <w:iCs/>
          <w:kern w:val="2"/>
        </w:rPr>
      </w:pPr>
      <w:r w:rsidRPr="006E50FF">
        <w:rPr>
          <w:rFonts w:eastAsia="Aptos"/>
          <w:i/>
          <w:iCs/>
          <w:kern w:val="2"/>
        </w:rPr>
        <w:br w:type="page"/>
      </w:r>
    </w:p>
    <w:p w14:paraId="6A54187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lastRenderedPageBreak/>
        <w:t>ECTOL</w:t>
      </w:r>
      <w:r w:rsidRPr="006E50FF">
        <w:rPr>
          <w:rFonts w:eastAsia="Aptos"/>
          <w:kern w:val="2"/>
        </w:rPr>
        <w:t>—electric conventional take-off and landing (aircraft).</w:t>
      </w:r>
    </w:p>
    <w:p w14:paraId="373B4F3E"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EVTOL</w:t>
      </w:r>
      <w:r w:rsidRPr="006E50FF">
        <w:rPr>
          <w:rFonts w:eastAsia="Aptos"/>
          <w:kern w:val="2"/>
        </w:rPr>
        <w:t>—electric vertical take-off and landing (aircraft).</w:t>
      </w:r>
    </w:p>
    <w:p w14:paraId="795BD855"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Aptos"/>
          <w:i/>
          <w:iCs/>
          <w:kern w:val="2"/>
        </w:rPr>
        <w:t>Final Approach and Takeoff Area (FATO)</w:t>
      </w:r>
      <w:r w:rsidRPr="006E50FF">
        <w:rPr>
          <w:rFonts w:eastAsia="Aptos"/>
          <w:kern w:val="2"/>
        </w:rPr>
        <w:t>—a defined area over which the aircraft completes the final phase of the approach to a hover or a landing, and from which the aircraft initiates takeoff</w:t>
      </w:r>
    </w:p>
    <w:p w14:paraId="53873AC6"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OMC-Aeronautics</w:t>
      </w:r>
      <w:r w:rsidRPr="006E50FF">
        <w:rPr>
          <w:rFonts w:eastAsia="Aptos"/>
          <w:kern w:val="2"/>
        </w:rPr>
        <w:t>—</w:t>
      </w:r>
      <w:r w:rsidRPr="006E50FF">
        <w:rPr>
          <w:kern w:val="2"/>
        </w:rPr>
        <w:t>the Louisiana Department of Transportation and Development, Office of Multimodal Commerce – Aeronautics Division.</w:t>
      </w:r>
    </w:p>
    <w:p w14:paraId="05E6AE8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Program</w:t>
      </w:r>
      <w:r w:rsidRPr="006E50FF">
        <w:rPr>
          <w:rFonts w:eastAsia="Aptos"/>
          <w:kern w:val="2"/>
        </w:rPr>
        <w:t>—</w:t>
      </w:r>
      <w:r w:rsidRPr="006E50FF">
        <w:rPr>
          <w:kern w:val="2"/>
        </w:rPr>
        <w:t>The Vertiport Development Program.</w:t>
      </w:r>
    </w:p>
    <w:p w14:paraId="7DC30AEB"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Regional Air Mobility (RAM)</w:t>
      </w:r>
      <w:r w:rsidRPr="006E50FF">
        <w:rPr>
          <w:rFonts w:eastAsia="Aptos"/>
          <w:kern w:val="2"/>
        </w:rPr>
        <w:t>—an air transportation primarily utilizing eCTOL and eVTOL aircraft to carry passengers, cargo, or provide services in a regional setting.</w:t>
      </w:r>
    </w:p>
    <w:p w14:paraId="3E86E650"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Sponsor</w:t>
      </w:r>
      <w:r w:rsidRPr="006E50FF">
        <w:rPr>
          <w:rFonts w:eastAsia="Aptos"/>
          <w:kern w:val="2"/>
        </w:rPr>
        <w:t>—</w:t>
      </w:r>
      <w:r w:rsidRPr="006E50FF">
        <w:rPr>
          <w:kern w:val="2"/>
        </w:rPr>
        <w:t>a unit of state or local government, regional economic development organization, municipalities, non-profit organizations, redevelopment authorities or political subdivisions that own and operate or intend to own and operate a vertiport</w:t>
      </w:r>
    </w:p>
    <w:p w14:paraId="583E582A"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Sponsor State Agreement (SSA)</w:t>
      </w:r>
      <w:r w:rsidRPr="006E50FF">
        <w:rPr>
          <w:rFonts w:eastAsia="Aptos"/>
          <w:kern w:val="2"/>
        </w:rPr>
        <w:t>—</w:t>
      </w:r>
      <w:r w:rsidRPr="006E50FF">
        <w:rPr>
          <w:kern w:val="2"/>
        </w:rPr>
        <w:t xml:space="preserve">the agreement between the OMC-Aeronautics and the vertiport owner/sponsor that states the authorities and responsibilities of each party in implementing a project that is funded through the vertiport development fund </w:t>
      </w:r>
      <w:bookmarkStart w:id="93" w:name="_Int_HlARqY7v"/>
      <w:r w:rsidRPr="006E50FF">
        <w:rPr>
          <w:kern w:val="2"/>
        </w:rPr>
        <w:t>as</w:t>
      </w:r>
      <w:bookmarkEnd w:id="93"/>
      <w:r w:rsidRPr="006E50FF">
        <w:rPr>
          <w:kern w:val="2"/>
        </w:rPr>
        <w:t xml:space="preserve"> established in R.S. 48:80.</w:t>
      </w:r>
    </w:p>
    <w:p w14:paraId="6AC91993"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Aptos"/>
          <w:i/>
          <w:iCs/>
          <w:kern w:val="2"/>
        </w:rPr>
        <w:t>Touchdown and Liftoff Area (TLOF)</w:t>
      </w:r>
      <w:r w:rsidRPr="006E50FF">
        <w:rPr>
          <w:rFonts w:eastAsia="Aptos"/>
          <w:kern w:val="2"/>
        </w:rPr>
        <w:t>—a load bearing, generally paved, area centered in the FATO on which the aircraft performs a touchdown or liftoff.</w:t>
      </w:r>
    </w:p>
    <w:p w14:paraId="3FE6FFD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Urban Air Mobility (UAM)</w:t>
      </w:r>
      <w:r w:rsidRPr="006E50FF">
        <w:rPr>
          <w:rFonts w:eastAsia="Aptos"/>
          <w:kern w:val="2"/>
        </w:rPr>
        <w:t>—an air transportation primarily utilizing eCTOL and eVTOL aircraft to carry passengers, cargo, or provide services in an urban setting.</w:t>
      </w:r>
    </w:p>
    <w:p w14:paraId="1BF169B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VTOL</w:t>
      </w:r>
      <w:r w:rsidRPr="006E50FF">
        <w:rPr>
          <w:rFonts w:eastAsia="Aptos"/>
          <w:kern w:val="2"/>
        </w:rPr>
        <w:t>—vertical take-off and landing (aircraft)</w:t>
      </w:r>
    </w:p>
    <w:p w14:paraId="17717B6F"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Vertiport</w:t>
      </w:r>
      <w:r w:rsidRPr="006E50FF">
        <w:rPr>
          <w:rFonts w:eastAsia="Aptos"/>
          <w:kern w:val="2"/>
        </w:rPr>
        <w:t>—an area of land, or a structure, used or intended to be used for electric, hydrogen, and hybrid VTOL aircraft takeoffs and landings and includes associated buildings and facilities.</w:t>
      </w:r>
    </w:p>
    <w:p w14:paraId="7798FEA7" w14:textId="77777777" w:rsidR="006E50FF" w:rsidRPr="006E50FF" w:rsidRDefault="006E50FF" w:rsidP="006E50FF">
      <w:pPr>
        <w:tabs>
          <w:tab w:val="left" w:pos="720"/>
          <w:tab w:val="left" w:pos="979"/>
          <w:tab w:val="left" w:pos="1152"/>
        </w:tabs>
        <w:ind w:firstLine="360"/>
        <w:jc w:val="both"/>
        <w:outlineLvl w:val="4"/>
        <w:rPr>
          <w:rFonts w:eastAsia="Aptos"/>
          <w:bCs/>
          <w:kern w:val="2"/>
        </w:rPr>
      </w:pPr>
      <w:r w:rsidRPr="006E50FF">
        <w:rPr>
          <w:i/>
          <w:iCs/>
          <w:kern w:val="2"/>
        </w:rPr>
        <w:t>Vertiport Development Fund</w:t>
      </w:r>
      <w:r w:rsidRPr="006E50FF">
        <w:rPr>
          <w:rFonts w:eastAsia="Aptos"/>
          <w:kern w:val="2"/>
        </w:rPr>
        <w:t>—</w:t>
      </w:r>
      <w:r w:rsidRPr="006E50FF">
        <w:rPr>
          <w:kern w:val="2"/>
        </w:rPr>
        <w:t xml:space="preserve">a fund created by the Louisiana legislature to fund the </w:t>
      </w:r>
      <w:r w:rsidRPr="006E50FF">
        <w:rPr>
          <w:rFonts w:eastAsia="Aptos"/>
          <w:kern w:val="2"/>
        </w:rPr>
        <w:t>construction</w:t>
      </w:r>
      <w:r w:rsidRPr="006E50FF">
        <w:rPr>
          <w:kern w:val="2"/>
        </w:rPr>
        <w:t xml:space="preserve"> and maintenance of state and local vertiports. </w:t>
      </w:r>
    </w:p>
    <w:p w14:paraId="436E48C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Vertistop</w:t>
      </w:r>
      <w:r w:rsidRPr="006E50FF">
        <w:rPr>
          <w:rFonts w:eastAsia="Aptos"/>
          <w:kern w:val="2"/>
        </w:rPr>
        <w:t>—a term generally used to describe a minimally developed vertiport for boarding and discharging passengers and cargo (i.e., no fueling, defueling, maintenance, repairs, or storage of aircraft, etc.).</w:t>
      </w:r>
    </w:p>
    <w:p w14:paraId="78E9BF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3A6FCA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52:1515 (September 2026).</w:t>
      </w:r>
    </w:p>
    <w:p w14:paraId="6DCAB8F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§905.</w:t>
      </w:r>
      <w:r w:rsidRPr="006E50FF">
        <w:rPr>
          <w:b/>
          <w:kern w:val="2"/>
        </w:rPr>
        <w:tab/>
        <w:t>General Provisions</w:t>
      </w:r>
    </w:p>
    <w:p w14:paraId="152644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general principles will direct the administration of the program.</w:t>
      </w:r>
    </w:p>
    <w:p w14:paraId="781357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Awards are not to be considered as an entitlement, and the commissioner has the final authority to determine whether or not each particular applicant is eligible and meets the criteria of the award, and in all such circumstances, the exercise of that discretion shall be deemed to be a final determination of the applicant’s award status. </w:t>
      </w:r>
    </w:p>
    <w:p w14:paraId="1911D1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Award amounts, per project, may vary at the discretion of OMC-Aeronautics, with a minimum award of one million dollars. </w:t>
      </w:r>
    </w:p>
    <w:p w14:paraId="5BA5A8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Applicants shall identify a funding match. </w:t>
      </w:r>
    </w:p>
    <w:p w14:paraId="7D41CB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OMC-Aeronautics may negotiate with each applicant seeking an award based on the individual merits of each project. </w:t>
      </w:r>
    </w:p>
    <w:p w14:paraId="60325A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Agreements shall contain “clawback” provisions to protect the state in case of default. </w:t>
      </w:r>
    </w:p>
    <w:p w14:paraId="06BCE0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Award funds shall be used for the approved construction project only. </w:t>
      </w:r>
    </w:p>
    <w:p w14:paraId="16EE2E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Awards may be administered by OMC-Aeronautics directly, or OMC-Aeronautics may use funds to contract with a third-party administrator to undertake such activities. </w:t>
      </w:r>
    </w:p>
    <w:p w14:paraId="4A804A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Applications shall be accepted subject to availability of funding in any given year, or as otherwise determined by OMC-Aeronautics. </w:t>
      </w:r>
    </w:p>
    <w:p w14:paraId="36BDCD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Program Funding</w:t>
      </w:r>
    </w:p>
    <w:p w14:paraId="2A8C19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Funding for this program is provided by any money transferred, donated, or appropriated to the Vertiport Development Fund (“Fund”). </w:t>
      </w:r>
    </w:p>
    <w:p w14:paraId="5BBEAE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OMC-Aeronautics may not authorize issuance of payments exceeding the available monies in the Fund. </w:t>
      </w:r>
    </w:p>
    <w:p w14:paraId="3D4A1B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issuance of payments shall be subject to funding availability in any given fiscal year.</w:t>
      </w:r>
    </w:p>
    <w:p w14:paraId="5F0A46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OMC-Aeronautics is authorized to compete for, receive, administer, and manage federal and other funds in furtherance of this program.</w:t>
      </w:r>
    </w:p>
    <w:p w14:paraId="282DBE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DF70D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52:1516 (September 2026).</w:t>
      </w:r>
    </w:p>
    <w:p w14:paraId="09DCB0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§907.</w:t>
      </w:r>
      <w:r w:rsidRPr="006E50FF">
        <w:rPr>
          <w:b/>
          <w:kern w:val="2"/>
        </w:rPr>
        <w:tab/>
        <w:t>Eligibility</w:t>
      </w:r>
    </w:p>
    <w:p w14:paraId="7276B11C"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A.</w:t>
      </w:r>
      <w:r w:rsidRPr="006E50FF">
        <w:rPr>
          <w:rFonts w:eastAsia="Aptos"/>
          <w:kern w:val="2"/>
        </w:rPr>
        <w:tab/>
        <w:t>Eligible project costs may include but not be limited to the following expenses:</w:t>
      </w:r>
    </w:p>
    <w:p w14:paraId="4E7571D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touchdown and lift-off (TLOF), final approach and take-off (FATO), and/or safety area construction (sponsor owned property only);</w:t>
      </w:r>
    </w:p>
    <w:p w14:paraId="0A9C0F1C"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taxiways, parking (airside ramp);</w:t>
      </w:r>
    </w:p>
    <w:p w14:paraId="1FFC50C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charging and electric infrastructure construction;</w:t>
      </w:r>
    </w:p>
    <w:p w14:paraId="2DB3D78F"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navigational aids;</w:t>
      </w:r>
    </w:p>
    <w:p w14:paraId="676146B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lighting systems;</w:t>
      </w:r>
    </w:p>
    <w:p w14:paraId="19E1C18E"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traffic management systems;</w:t>
      </w:r>
    </w:p>
    <w:p w14:paraId="04CB227B"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fire-fighting and safety systems;</w:t>
      </w:r>
    </w:p>
    <w:p w14:paraId="7FF67D8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 xml:space="preserve">road access; </w:t>
      </w:r>
    </w:p>
    <w:p w14:paraId="2E39C03D"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9.</w:t>
      </w:r>
      <w:r w:rsidRPr="006E50FF">
        <w:rPr>
          <w:rFonts w:eastAsia="Aptos"/>
          <w:kern w:val="2"/>
        </w:rPr>
        <w:tab/>
        <w:t xml:space="preserve">utility extensions (sponsor owned property only); </w:t>
      </w:r>
    </w:p>
    <w:p w14:paraId="7890C01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10.</w:t>
      </w:r>
      <w:r w:rsidRPr="006E50FF">
        <w:rPr>
          <w:rFonts w:eastAsia="Aptos"/>
          <w:kern w:val="2"/>
        </w:rPr>
        <w:tab/>
        <w:t xml:space="preserve">demolition; </w:t>
      </w:r>
    </w:p>
    <w:p w14:paraId="6426540D"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11.</w:t>
      </w:r>
      <w:r w:rsidRPr="006E50FF">
        <w:rPr>
          <w:rFonts w:eastAsia="Aptos"/>
          <w:kern w:val="2"/>
        </w:rPr>
        <w:tab/>
        <w:t>expansion.</w:t>
      </w:r>
    </w:p>
    <w:p w14:paraId="2D734FF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B.</w:t>
      </w:r>
      <w:r w:rsidRPr="006E50FF">
        <w:rPr>
          <w:rFonts w:eastAsia="Aptos"/>
          <w:kern w:val="2"/>
        </w:rPr>
        <w:tab/>
        <w:t xml:space="preserve">Unless otherwise approved by the commissioner, ineligible project costs may include but not be limited to: </w:t>
      </w:r>
    </w:p>
    <w:p w14:paraId="3BCF770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 xml:space="preserve">consulting fees; </w:t>
      </w:r>
    </w:p>
    <w:p w14:paraId="2115CED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engineering fees;</w:t>
      </w:r>
    </w:p>
    <w:p w14:paraId="5CABCCC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Engineering costs associated with application development, feasibility analysis, or design shall remain the responsibility of the applicant and may be used to demonstrate project readiness and commitment.</w:t>
      </w:r>
    </w:p>
    <w:p w14:paraId="45DC494F"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ROI/BCA Analysis fees;</w:t>
      </w:r>
    </w:p>
    <w:p w14:paraId="2EF5331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 xml:space="preserve">legal or financial service fees; </w:t>
      </w:r>
    </w:p>
    <w:p w14:paraId="0FB4E513"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 xml:space="preserve">marketing of site; </w:t>
      </w:r>
    </w:p>
    <w:p w14:paraId="29C4D1D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 xml:space="preserve">moveable equipment; </w:t>
      </w:r>
    </w:p>
    <w:p w14:paraId="7EB2C09A"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 xml:space="preserve">routine site maintenance; </w:t>
      </w:r>
    </w:p>
    <w:p w14:paraId="2A93C73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any expenses occurring outside of the approved construction period.</w:t>
      </w:r>
    </w:p>
    <w:p w14:paraId="024D3E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68505D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52:1516 (September 2026).</w:t>
      </w:r>
    </w:p>
    <w:p w14:paraId="6E1AB1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§909.</w:t>
      </w:r>
      <w:r w:rsidRPr="006E50FF">
        <w:rPr>
          <w:b/>
          <w:kern w:val="2"/>
        </w:rPr>
        <w:tab/>
        <w:t>Applicants</w:t>
      </w:r>
    </w:p>
    <w:p w14:paraId="1106F8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Applicants</w:t>
      </w:r>
    </w:p>
    <w:p w14:paraId="537034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Applications may be submitted by local or regional economic development organizations, municipalities, non-profit organizations, redevelopment authorities or political subdivisions and such organizations shall be considered qualified applicants. </w:t>
      </w:r>
    </w:p>
    <w:p w14:paraId="129A27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Public-private partnerships or other quasi-private entities may be considered qualified applicants at the discretion of the commissioner.</w:t>
      </w:r>
    </w:p>
    <w:p w14:paraId="3EE48B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an airport sponsor submits an application, the application must indicate which funding program is to be used for development of this type of infrastructure. In either case, the Vertiport Development Program cannot be combined with the Airport Construction and Development Priority Program unless a usable unit of the project is identified for each program within the project application.</w:t>
      </w:r>
    </w:p>
    <w:p w14:paraId="60BFE5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3CD92C3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728285A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§911.</w:t>
      </w:r>
      <w:r w:rsidRPr="006E50FF">
        <w:rPr>
          <w:b/>
          <w:kern w:val="2"/>
        </w:rPr>
        <w:tab/>
        <w:t>Program Requirements</w:t>
      </w:r>
    </w:p>
    <w:p w14:paraId="144D8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vertiport sponsor shall retain the responsibility and cover all engineering costs associated with application development, feasibility analysis, design, and any associated work to prepare the application for construction readiness. If the vertiport sponsor does not hold a professional service agreement with an engineer or consultant to perform the construction administration, the project shall not be programmed for funding. </w:t>
      </w:r>
    </w:p>
    <w:p w14:paraId="7E1476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additional information is required, OMC-Aeronautics may provide written notification to the vertiport sponsor. Additional information and official project applications shall be submitted to OMC-Aeronautics.</w:t>
      </w:r>
    </w:p>
    <w:p w14:paraId="721C72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completion of a return on investment/benefit cost analysis evaluation which will initially focus on determining project justification may be required. Projects that reflect a vertiport sponsor’s need along with a state system improvement shall receive a higher ranking and classification for funding approval.</w:t>
      </w:r>
    </w:p>
    <w:p w14:paraId="48644E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4B25D5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057F799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§913.</w:t>
      </w:r>
      <w:r w:rsidRPr="006E50FF">
        <w:rPr>
          <w:b/>
          <w:kern w:val="2"/>
        </w:rPr>
        <w:tab/>
        <w:t>Application Procedures</w:t>
      </w:r>
    </w:p>
    <w:p w14:paraId="066956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Aptos"/>
          <w:kern w:val="2"/>
        </w:rPr>
        <w:t>A.</w:t>
      </w:r>
      <w:r w:rsidRPr="006E50FF">
        <w:rPr>
          <w:rFonts w:eastAsia="Aptos"/>
          <w:kern w:val="2"/>
        </w:rPr>
        <w:tab/>
        <w:t xml:space="preserve">In order for OMC-Aeronautics to adequately assess the merits of a project, applications shall be complete and verifiable. The responsibility for providing complete, accurate, and documented data on each application rests solely with the vertiport sponsor. OMC-Aeronautics shall provide a standard vertiport development fund application form which applicants shall use to apply for assistance under this program. Applications may be filed through OMC-Aeronautics’ online portal, or as otherwise directed by OMC-Aeronautics. </w:t>
      </w:r>
    </w:p>
    <w:p w14:paraId="122D02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Aptos"/>
          <w:kern w:val="2"/>
        </w:rPr>
        <w:t>B.</w:t>
      </w:r>
      <w:r w:rsidRPr="006E50FF">
        <w:rPr>
          <w:rFonts w:eastAsia="Aptos"/>
          <w:kern w:val="2"/>
        </w:rPr>
        <w:tab/>
        <w:t xml:space="preserve">The application shall include, but not be limited to, the following information: </w:t>
      </w:r>
    </w:p>
    <w:p w14:paraId="63CF7CA7"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 xml:space="preserve">applicant name; </w:t>
      </w:r>
    </w:p>
    <w:p w14:paraId="29EE0B0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 xml:space="preserve">contact person and their title; </w:t>
      </w:r>
    </w:p>
    <w:p w14:paraId="2C28F444"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 xml:space="preserve">applicant physical address; </w:t>
      </w:r>
    </w:p>
    <w:p w14:paraId="3A2F9272"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 xml:space="preserve">applicant phone number and email address; </w:t>
      </w:r>
    </w:p>
    <w:p w14:paraId="4E11ECAA"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 xml:space="preserve">description of the proposed project, including the following: </w:t>
      </w:r>
    </w:p>
    <w:p w14:paraId="20B11A04"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a.</w:t>
      </w:r>
      <w:r w:rsidRPr="006E50FF">
        <w:rPr>
          <w:rFonts w:eastAsia="Aptos"/>
          <w:kern w:val="2"/>
        </w:rPr>
        <w:tab/>
        <w:t>registered vertiport name and ID (if applicable);</w:t>
      </w:r>
    </w:p>
    <w:p w14:paraId="453FC047"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b.</w:t>
      </w:r>
      <w:r w:rsidRPr="006E50FF">
        <w:rPr>
          <w:rFonts w:eastAsia="Aptos"/>
          <w:kern w:val="2"/>
        </w:rPr>
        <w:tab/>
        <w:t xml:space="preserve">site location (including latitude/longitude coordinates); </w:t>
      </w:r>
    </w:p>
    <w:p w14:paraId="39C03FCE"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c.</w:t>
      </w:r>
      <w:r w:rsidRPr="006E50FF">
        <w:rPr>
          <w:rFonts w:eastAsia="Aptos"/>
          <w:kern w:val="2"/>
        </w:rPr>
        <w:tab/>
        <w:t>local municipality planning and zoning approval including height</w:t>
      </w:r>
    </w:p>
    <w:p w14:paraId="1F5C9DC6"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d.</w:t>
      </w:r>
      <w:r w:rsidRPr="006E50FF">
        <w:rPr>
          <w:rFonts w:eastAsia="Aptos"/>
          <w:kern w:val="2"/>
        </w:rPr>
        <w:tab/>
        <w:t>limitation zoning ordinance and compatible land-use zoning</w:t>
      </w:r>
    </w:p>
    <w:p w14:paraId="3F1D89E6"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e.</w:t>
      </w:r>
      <w:r w:rsidRPr="006E50FF">
        <w:rPr>
          <w:rFonts w:eastAsia="Aptos"/>
          <w:kern w:val="2"/>
        </w:rPr>
        <w:tab/>
        <w:t>design VTOL aircraft;</w:t>
      </w:r>
    </w:p>
    <w:p w14:paraId="6B4015A4"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f.</w:t>
      </w:r>
      <w:r w:rsidRPr="006E50FF">
        <w:rPr>
          <w:rFonts w:eastAsia="Aptos"/>
          <w:kern w:val="2"/>
        </w:rPr>
        <w:tab/>
        <w:t xml:space="preserve">financial plan including funding match identification; </w:t>
      </w:r>
    </w:p>
    <w:p w14:paraId="148B33A9"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g.</w:t>
      </w:r>
      <w:r w:rsidRPr="006E50FF">
        <w:rPr>
          <w:rFonts w:eastAsia="Aptos"/>
          <w:kern w:val="2"/>
        </w:rPr>
        <w:tab/>
        <w:t>return on investment analysis;</w:t>
      </w:r>
    </w:p>
    <w:p w14:paraId="3B499045"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h.</w:t>
      </w:r>
      <w:r w:rsidRPr="006E50FF">
        <w:rPr>
          <w:rFonts w:eastAsia="Aptos"/>
          <w:kern w:val="2"/>
        </w:rPr>
        <w:tab/>
        <w:t xml:space="preserve">prior due diligence reports; </w:t>
      </w:r>
    </w:p>
    <w:p w14:paraId="1030718C"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i.</w:t>
      </w:r>
      <w:r w:rsidRPr="006E50FF">
        <w:rPr>
          <w:rFonts w:eastAsia="Aptos"/>
          <w:kern w:val="2"/>
        </w:rPr>
        <w:tab/>
        <w:t xml:space="preserve">site readiness; </w:t>
      </w:r>
    </w:p>
    <w:p w14:paraId="2D80D077"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j.</w:t>
      </w:r>
      <w:r w:rsidRPr="006E50FF">
        <w:rPr>
          <w:rFonts w:eastAsia="Aptos"/>
          <w:kern w:val="2"/>
        </w:rPr>
        <w:tab/>
        <w:t>plans and specifications, proposed construction timeline, engineering report, k.</w:t>
      </w:r>
      <w:r w:rsidRPr="006E50FF">
        <w:rPr>
          <w:rFonts w:eastAsia="Aptos"/>
          <w:kern w:val="2"/>
        </w:rPr>
        <w:tab/>
        <w:t xml:space="preserve">environmental clearance documentation, bids/cost estimates, as may be applicable; </w:t>
      </w:r>
    </w:p>
    <w:p w14:paraId="41CA3F72"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 xml:space="preserve">an outline of possible public-private partnership entities and opportunities as applicable; </w:t>
      </w:r>
    </w:p>
    <w:p w14:paraId="06F0C69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airspace determination, if applicable;</w:t>
      </w:r>
    </w:p>
    <w:p w14:paraId="5DFE6D75"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a.</w:t>
      </w:r>
      <w:r w:rsidRPr="006E50FF">
        <w:rPr>
          <w:rFonts w:eastAsia="Aptos"/>
          <w:kern w:val="2"/>
        </w:rPr>
        <w:tab/>
        <w:t>Conditional determinations are acceptable if the provisions in the conditional determination are addressed.</w:t>
      </w:r>
    </w:p>
    <w:p w14:paraId="04BA17F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 xml:space="preserve">any additional information requested by OMC-Aeronautics; and </w:t>
      </w:r>
    </w:p>
    <w:p w14:paraId="72363F3C"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9.</w:t>
      </w:r>
      <w:r w:rsidRPr="006E50FF">
        <w:rPr>
          <w:rFonts w:eastAsia="Aptos"/>
          <w:kern w:val="2"/>
        </w:rPr>
        <w:tab/>
        <w:t xml:space="preserve">letters of support from the applicable entities including but not limited to local municipalities; local and regional economic development organizations and state legislators. </w:t>
      </w:r>
    </w:p>
    <w:p w14:paraId="2624DF3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C.</w:t>
      </w:r>
      <w:r w:rsidRPr="006E50FF">
        <w:rPr>
          <w:rFonts w:eastAsia="Aptos"/>
          <w:kern w:val="2"/>
        </w:rPr>
        <w:tab/>
        <w:t>A separate application shall be submitted for each independent project. Applications shall be evaluated each quarter. Applications not selected for funding in a given year shall be maintained in the system for 3 years from the date of original application. After this 3-year period, OMC-Aeronautics shall remove the application from the system and notify the vertiport sponsor in writing. It is the vertiport sponsor’s responsibility to maintain the validity and information on file with OMC-Aeronautics.</w:t>
      </w:r>
    </w:p>
    <w:p w14:paraId="6F9391D9"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D.</w:t>
      </w:r>
      <w:r w:rsidRPr="006E50FF">
        <w:rPr>
          <w:rFonts w:eastAsia="Aptos"/>
          <w:kern w:val="2"/>
        </w:rPr>
        <w:tab/>
        <w:t>A non-refundable application fee of $250 is due to OMC-Aeronautics is due for each application at the time of submittal.</w:t>
      </w:r>
    </w:p>
    <w:p w14:paraId="0B4F28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6CC85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1F34DE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§915.</w:t>
      </w:r>
      <w:r w:rsidRPr="006E50FF">
        <w:rPr>
          <w:b/>
          <w:kern w:val="2"/>
        </w:rPr>
        <w:tab/>
        <w:t>Application Evaluation</w:t>
      </w:r>
    </w:p>
    <w:p w14:paraId="4A53A78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A.</w:t>
      </w:r>
      <w:r w:rsidRPr="006E50FF">
        <w:rPr>
          <w:rFonts w:eastAsia="Aptos"/>
          <w:kern w:val="2"/>
        </w:rPr>
        <w:tab/>
        <w:t xml:space="preserve">OMC-Aeronautics will consider various factors when evaluating and assessing which applications will be recommended for funding. Among the factors which may be taken into consideration include, but are not limited to: </w:t>
      </w:r>
    </w:p>
    <w:p w14:paraId="064FA099"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 xml:space="preserve">demonstrated market demand; </w:t>
      </w:r>
    </w:p>
    <w:p w14:paraId="37D0AEED"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 xml:space="preserve">performance measures; </w:t>
      </w:r>
    </w:p>
    <w:p w14:paraId="5BD38D6B"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 xml:space="preserve">return on investment; </w:t>
      </w:r>
    </w:p>
    <w:p w14:paraId="5DE51B1C"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public benefit and economic impact;</w:t>
      </w:r>
    </w:p>
    <w:p w14:paraId="394DE7D3"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 xml:space="preserve">site potential; </w:t>
      </w:r>
    </w:p>
    <w:p w14:paraId="7CC35DA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availability of funding;</w:t>
      </w:r>
    </w:p>
    <w:p w14:paraId="6DEC748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 xml:space="preserve">participation in a federal pilot program; </w:t>
      </w:r>
    </w:p>
    <w:p w14:paraId="233F6D5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 xml:space="preserve">improvement of aviation system goals and objectives; </w:t>
      </w:r>
    </w:p>
    <w:p w14:paraId="53522D52"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9.</w:t>
      </w:r>
      <w:r w:rsidRPr="006E50FF">
        <w:rPr>
          <w:rFonts w:eastAsia="Aptos"/>
          <w:kern w:val="2"/>
        </w:rPr>
        <w:tab/>
        <w:t>provides opportunity to maximize growth in commerce;</w:t>
      </w:r>
    </w:p>
    <w:p w14:paraId="12A17BA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lastRenderedPageBreak/>
        <w:t>10.</w:t>
      </w:r>
      <w:r w:rsidRPr="006E50FF">
        <w:rPr>
          <w:rFonts w:eastAsia="Aptos"/>
          <w:kern w:val="2"/>
        </w:rPr>
        <w:tab/>
        <w:t xml:space="preserve">provides opportunity to support local and state emergency operations (as applicable); </w:t>
      </w:r>
    </w:p>
    <w:p w14:paraId="58119FD7"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11.</w:t>
      </w:r>
      <w:r w:rsidRPr="006E50FF">
        <w:rPr>
          <w:rFonts w:eastAsia="Aptos"/>
          <w:kern w:val="2"/>
        </w:rPr>
        <w:tab/>
        <w:t>provides opportunity for intrastate transportation (as applicable); and</w:t>
      </w:r>
    </w:p>
    <w:p w14:paraId="372DE3B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12.</w:t>
      </w:r>
      <w:r w:rsidRPr="006E50FF">
        <w:rPr>
          <w:rFonts w:eastAsia="Aptos"/>
          <w:kern w:val="2"/>
        </w:rPr>
        <w:tab/>
        <w:t>special considerations.</w:t>
      </w:r>
    </w:p>
    <w:p w14:paraId="768560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OMC-Aeronautics is responsible to determine the eligibility of the application. Once it has been determined that the application is eligible and all supporting documentation has been provided. Assignment of values based on a structure of the above categories may be utilized for each application evaluation. </w:t>
      </w:r>
    </w:p>
    <w:p w14:paraId="75C4E5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point values are designed to award points in a weighted manner. Each area of evaluation receives points in proportion to the relative importance of the application. Applications without sufficient information may cause an application to receive a lower ranking than it deserves.</w:t>
      </w:r>
    </w:p>
    <w:p w14:paraId="1D9F2C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This focuses the program on those applications with the highest priority ranking, maximizing the effectiveness of vertiport development program funds.</w:t>
      </w:r>
    </w:p>
    <w:p w14:paraId="7E7801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When point values are finalized, the sum of points in each category determines the project’s evaluation score. The application is then placed into the program ranking in relation to other applications as appropriate. The program is a list of the applications in the order that the state considers implementation based on the overall vertiport development needs statewide.</w:t>
      </w:r>
    </w:p>
    <w:p w14:paraId="5CE901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After the program ranking is completed, the program is developed and presented to the commissioner for approval as a preliminary vertiport development program.</w:t>
      </w:r>
    </w:p>
    <w:p w14:paraId="71E25C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All programmed applications are contingent upon the amount of funding that is appropriated.</w:t>
      </w:r>
    </w:p>
    <w:p w14:paraId="140D23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722E7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71277BD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§917.</w:t>
      </w:r>
      <w:r w:rsidRPr="006E50FF">
        <w:rPr>
          <w:b/>
          <w:kern w:val="2"/>
        </w:rPr>
        <w:tab/>
        <w:t>Program Funding; Grants</w:t>
      </w:r>
    </w:p>
    <w:p w14:paraId="12C772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Vertiport Development Fund will provide the funding required for the costs of the projects. The fund shall provide a maximum of 90 percent of the construction costs for applications approved under the program not to exceed the amount approved by the legislature. The vertiport sponsor shall provide a minimum of 10 percent from non-state sources to complete the project.</w:t>
      </w:r>
    </w:p>
    <w:p w14:paraId="088CE2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Unless otherwise specified, in the sponsor-state agreement, the vertiport sponsor shall provide funding for at least 10 percent of the project. This may be a result of private partnerships with vertiport users, or private financing. Funds from local government agencies such as community development agencies may be used to offset the vertiport sponsors local match. Funds from federal grants or loan programs may be used toward the sponsor's match. The sponsor’s match at a minimum shall cover the cost of the planning, engineering, design, and project management.</w:t>
      </w:r>
    </w:p>
    <w:p w14:paraId="1FDF8D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In the event OMC-Aeronautics determines that an applicant is eligible, and funding is available, OMC-Aeronautics will negotiate all appropriate provisions with the sponsor, and issue applicable sponsor state agreements, specifying the funding amount and the terms and conditions of the award.</w:t>
      </w:r>
    </w:p>
    <w:p w14:paraId="5E383B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In the event an application is denied, OMC-Aeronautics shall issue a written denial to the vertiport sponsor.</w:t>
      </w:r>
    </w:p>
    <w:p w14:paraId="2E52B8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Execution of a sponsor state agreement with OMC-Aeronautics is required prior to the commencement of construction. Upon execution of a sponsor state agreement, OMC-Aeronautics shall issue a notice-to-proceed to the vertiport sponsor. Construction shall not begin until a notice-to-proceed has been issued by OMC-Aeronautics to the vertiport sponsor. </w:t>
      </w:r>
    </w:p>
    <w:p w14:paraId="367B984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Any construction completed prior to the execution of sponsor state agreement and issuance of a notice-to-proceed from OMC-Aeronautics shall be ineligible for reimbursement.</w:t>
      </w:r>
    </w:p>
    <w:p w14:paraId="3E8EB1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033B06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0A82FD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§919.</w:t>
      </w:r>
      <w:r w:rsidRPr="006E50FF">
        <w:rPr>
          <w:b/>
          <w:kern w:val="2"/>
        </w:rPr>
        <w:tab/>
        <w:t>Vertiport Program Changes</w:t>
      </w:r>
    </w:p>
    <w:p w14:paraId="5E4751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the vertiport sponsor elects to change a project that was previously programmed or submitted as a merger project, the vertiport sponsor shall submit to OMC-Aeronautics in writing their intent to do so. The current application shall then be cancelled, and the new application shall be resubmitted to the program for evaluation.</w:t>
      </w:r>
    </w:p>
    <w:p w14:paraId="71056C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Funds which had been approved for the cancelled project will be reallocated to any other project the commissioner has approved or the completion of an active project as needed.</w:t>
      </w:r>
    </w:p>
    <w:p w14:paraId="781298C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C7D47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6D3058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§921.</w:t>
      </w:r>
      <w:r w:rsidRPr="006E50FF">
        <w:rPr>
          <w:b/>
          <w:kern w:val="2"/>
        </w:rPr>
        <w:tab/>
        <w:t>Cancelled Vertiport Development Program Projects</w:t>
      </w:r>
    </w:p>
    <w:p w14:paraId="72C2EE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Programmed projects which have been approved for state funding but which, for lack of matching funds or other reasons, do not have an executed sponsor state agreement within six months of approval, the vertiport sponsor shall submit in writing the reason for the delay and may request a six-month extension with justification, or the application may be cancelled from the program in accordance with the OMC-Aeronautics program policy. </w:t>
      </w:r>
    </w:p>
    <w:p w14:paraId="3B50CC0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project shall then be resubmitted under the VDP application process to compete for funding in subsequent years. Funds which had been approved for a cancelled project will be reallocated to any other programmed project the legislature has approved as needed. Such funds may be used to cover project overruns.</w:t>
      </w:r>
    </w:p>
    <w:p w14:paraId="25AFE5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67F16D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3414A0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§923.</w:t>
      </w:r>
      <w:r w:rsidRPr="006E50FF">
        <w:rPr>
          <w:b/>
          <w:kern w:val="2"/>
        </w:rPr>
        <w:tab/>
        <w:t>Vertiport Project Management</w:t>
      </w:r>
    </w:p>
    <w:p w14:paraId="166508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OMC-Aeronautics has project management responsibility for all of the projects funded through the Vertiport Development Program from implementation through completion. OMC-Aeronautics may review all project documents such as planning and specifications and shall attend at a minimum, preconstruction and substantial completion meetings. OMC-Aeronautics’ participation in the project shall in no way be construed to associate OMC-Aeronautics to any contractual agreements between the </w:t>
      </w:r>
      <w:r w:rsidRPr="006E50FF">
        <w:rPr>
          <w:kern w:val="2"/>
        </w:rPr>
        <w:lastRenderedPageBreak/>
        <w:t>vertiport sponsor and its consultants, engineers, or contractors.</w:t>
      </w:r>
    </w:p>
    <w:p w14:paraId="3CF1E6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2713AE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3916A7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§925.</w:t>
      </w:r>
      <w:r w:rsidRPr="006E50FF">
        <w:rPr>
          <w:b/>
          <w:kern w:val="2"/>
        </w:rPr>
        <w:tab/>
        <w:t>Reimbursement</w:t>
      </w:r>
    </w:p>
    <w:p w14:paraId="351BD3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OMC-Aeronautics may provide an online portal to request payments on approved projects.</w:t>
      </w:r>
    </w:p>
    <w:p w14:paraId="079113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Monthly project progress reports shall be submitted by the vertiport sponsor and accompany each reimbursement request to verify and validate the activity and progress on the project.</w:t>
      </w:r>
    </w:p>
    <w:p w14:paraId="639E94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5A700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52:1519 (September 2026).</w:t>
      </w:r>
    </w:p>
    <w:p w14:paraId="02CFCD2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§927.</w:t>
      </w:r>
      <w:r w:rsidRPr="006E50FF">
        <w:rPr>
          <w:b/>
          <w:kern w:val="2"/>
        </w:rPr>
        <w:tab/>
        <w:t>Project Completion and Close Out</w:t>
      </w:r>
    </w:p>
    <w:p w14:paraId="78FDE8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vertiport sponsor shall submit all final billings for all phases of work within 90 calendar days after the final inspection of the project, unless prior arrangements have been made with OMC-Aeronautics. Failure to submit these billings prior to the completion of this 90-calendar day period shall result in the project being closed on previously billed amounts, and any unbilled cost shall be the responsibility of the vertiport sponsor.</w:t>
      </w:r>
    </w:p>
    <w:p w14:paraId="3FC0B0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OMC-Aeronautics shall not approve the vertiport sponsor’s request for the final reimbursement until each of the below items are received and are satisfactorily completed.</w:t>
      </w:r>
    </w:p>
    <w:p w14:paraId="5E49EC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Within 45 days after recording the final acceptance of the project, the contractor shall submit to the sponsor a clear lien certificate from the recorder’s office of the parish or parishes in which the work was performed. If the contractor is unable to obtain a clear lien certificate, the sponsor may deposit the retainage with a court of competent jurisdiction.</w:t>
      </w:r>
    </w:p>
    <w:p w14:paraId="54F185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Upon successful completion of the project, the vertiport sponsor shall submit to OMC-Aeronautics the following information in Vertiport Development Program:</w:t>
      </w:r>
    </w:p>
    <w:p w14:paraId="50AC328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vertiport sponsor letter of acceptance;</w:t>
      </w:r>
    </w:p>
    <w:p w14:paraId="791A9BC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final reimbursement request;</w:t>
      </w:r>
    </w:p>
    <w:p w14:paraId="0CD66F5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 updated vertiport layout plan (VLP), airport layout plan (ALP), or equivalent if applicable;</w:t>
      </w:r>
    </w:p>
    <w:p w14:paraId="19794A6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as-built construction plans and specifications;</w:t>
      </w:r>
    </w:p>
    <w:p w14:paraId="5D28DC7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the final quantities including any changes; and </w:t>
      </w:r>
    </w:p>
    <w:p w14:paraId="039E82CC"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vertiport sponsor certifications.</w:t>
      </w:r>
    </w:p>
    <w:p w14:paraId="730C7D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Upon successful completion of a project, the vertiport sponsor shall submit to OMC-Aeronautics close out documents, including but not limited to the title page, project overview/layout page, the quantities page (used to identify material specifications if not in the cross section information), demolition plan (if applicable), the typical cross-section page, the paving/geometry page, and joint layout/details page (if applicable).</w:t>
      </w:r>
    </w:p>
    <w:p w14:paraId="412893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vertiport sponsor and others employed by it in connection with a vertiport project of which vertiport development funds are allocated shall maintain all books, documents, papers, accounting records and any other evidence pertaining to costs incurred relative to this project for a period of not less than three years from date of final acceptance. They shall keep such material available at their respective offices at all times during the contract period. </w:t>
      </w:r>
      <w:r w:rsidRPr="006E50FF">
        <w:rPr>
          <w:kern w:val="2"/>
        </w:rPr>
        <w:t>Additionally, all such materials shall be available for inspection by OMC-Aeronautics, the Legislative Auditor, the Federal Aviation Administration, or any authorized representative of the federal government under applicable state and federal regulations, at all reasonable times during the contract period and for three years from the date of final payment.</w:t>
      </w:r>
    </w:p>
    <w:p w14:paraId="4CACD1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project overrun funding eligibility shall not exceed 15 percent of the original grant amount. The vertiport sponsor does not have to obtain prior OMC-Aeronautics concurrence for contract changes. If a vertiport sponsor proceeds with a contract change it is at the vertiport sponsor’s own risk. However, if the vertiport sponsor requests prior OMC-Aeronautics concurrence, this shall not indicate any commitment or guarantee of funding reimbursement, nor shall it delay or affect any contractual workday obligations during OMC-Aeronautics review of the proposed contract changes. Further, a subsequent review by OMC-Aeronautics of the contract changes completed by the airport sponsor may be necessary and may result in a finding that the costs in the contract change cannot be funded under a state grant. Vertiport sponsors have the option to request OMC-Aeronautics review and concurrence of any contract changes; however, any funding determinations and grant amendments may not be processed until the end of the state fiscal year.</w:t>
      </w:r>
    </w:p>
    <w:p w14:paraId="1CE772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The airport sponsor may request a grant amendment in writing from OMC-Aeronautics. </w:t>
      </w:r>
    </w:p>
    <w:p w14:paraId="762878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grant amendment request shall include the following:</w:t>
      </w:r>
    </w:p>
    <w:p w14:paraId="09B1EB2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cost analysis for all change orders and contract modifications.</w:t>
      </w:r>
    </w:p>
    <w:p w14:paraId="0997705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all change orders and contract modifications;</w:t>
      </w:r>
    </w:p>
    <w:p w14:paraId="11BCA6E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justification for the change/amendment;</w:t>
      </w:r>
    </w:p>
    <w:p w14:paraId="0D5B86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 executed change order form signed by the vertiport sponsor;</w:t>
      </w:r>
    </w:p>
    <w:p w14:paraId="0B3EA29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any other support documentation requested by OMC-Aeronautics.</w:t>
      </w:r>
    </w:p>
    <w:p w14:paraId="7CEF1C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OMC-Aeronautics will provide written approval or denial to the amendment.</w:t>
      </w:r>
    </w:p>
    <w:p w14:paraId="7C2C9C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Vertiport development grant amendments shall be in accordance with the Airport Project and Grant Management Procedures or this Section. For vertiport development projects, the total grant amendments shall not exceed 15 percent of the original grant amount.</w:t>
      </w:r>
    </w:p>
    <w:p w14:paraId="568A16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vertiport sponsor shall assume ownership of the improvements and assume all operations and maintenance costs of the facilities or improvements for a period of not less than 20 years.</w:t>
      </w:r>
    </w:p>
    <w:p w14:paraId="0A7D26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improvement made under the program shall not be sold, leased, or transferred to any other entity without prior authorization from OMC Aeronautics.</w:t>
      </w:r>
    </w:p>
    <w:p w14:paraId="7E3DA9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fees charged for the use of improvements under this program shall be submitted for review and approval.</w:t>
      </w:r>
    </w:p>
    <w:p w14:paraId="1E8FD9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Shorter life improvements may be granted exemption from the 20-year operation and maintenance requirement. An exemption shall be requested by the sponsor in writing prior to executing a funding agreement or sponsor-state agreement.</w:t>
      </w:r>
    </w:p>
    <w:p w14:paraId="0F9E69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4B4197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52:1519 (September 2026).</w:t>
      </w:r>
    </w:p>
    <w:p w14:paraId="2E54975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§929.</w:t>
      </w:r>
      <w:r w:rsidRPr="006E50FF">
        <w:rPr>
          <w:b/>
          <w:kern w:val="2"/>
        </w:rPr>
        <w:tab/>
        <w:t>Project Audit and Final Closeout</w:t>
      </w:r>
    </w:p>
    <w:p w14:paraId="7E3DDE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Upon receipt of final payment from the vertiport sponsor, the following process shall be followed to audit and closeout a project. OMC-Aeronautics shall ensure that all documents associated with the project are received and meets all requirements prior to releasing the final reimbursement. During an audit, the Vertiport Sponsor may receive notice from OMC-Aeronautics requesting additional documentation and/or requests for information regarding the project. The vertiport sponsor shall comply with any written deadlines for requests of the vertiport sponsor may be deemed “noncompliant”. A letter will be sent to the vertiport sponsor upon successful audit.</w:t>
      </w:r>
    </w:p>
    <w:p w14:paraId="268190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3843BB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12F334D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§931.</w:t>
      </w:r>
      <w:r w:rsidRPr="006E50FF">
        <w:rPr>
          <w:b/>
          <w:kern w:val="2"/>
        </w:rPr>
        <w:tab/>
        <w:t>Violation; Cancellation of Grant</w:t>
      </w:r>
    </w:p>
    <w:p w14:paraId="173E1A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Vertiport grant awards may be terminated under the following conditions:</w:t>
      </w:r>
    </w:p>
    <w:p w14:paraId="448211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by mutual agreement and consent of OMC-Aeronautics and the vertiport sponsor;</w:t>
      </w:r>
    </w:p>
    <w:p w14:paraId="4CF08A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by the sponsor, should they desire to cancel the project, up to the receipt of bids, provided that any costs incurred for the preparation of plans shall not be eligible for reimbursement by OMC-Aeronautics;</w:t>
      </w:r>
    </w:p>
    <w:p w14:paraId="42FC86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by OMC-Aeronautics, due to lack of available state funding for the project;</w:t>
      </w:r>
    </w:p>
    <w:p w14:paraId="6CCCD1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by OMC-Aeronautics, if the vertiport sponsor fails to transmit an executed SSA within twelve calendar months;</w:t>
      </w:r>
    </w:p>
    <w:p w14:paraId="088914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by OMC-Aeronautics, if the grant has no activity within twelve calendar months;</w:t>
      </w:r>
    </w:p>
    <w:p w14:paraId="0DDEE8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upon review by OMC-Aeronautics, if the vertiport is officially declared in non-compliance with federal or state laws, regulations, rules, or policies by the Federal Aviation Administration, the Louisiana Legislative Auditor, or OMC-Aeronautics.</w:t>
      </w:r>
    </w:p>
    <w:p w14:paraId="3B7D45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an applicant receives an award and it is subsequently determined that the applicant did not qualify for the benefit, then:</w:t>
      </w:r>
    </w:p>
    <w:p w14:paraId="4FDE8E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Future payments to the applicant shall be reduced by the amount wrongfully received by the applicant; or,</w:t>
      </w:r>
    </w:p>
    <w:p w14:paraId="2800DA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there are no future payments due the applicant from which to deduct the amount owed, DOTD may recover any monies wrongfully obtained.</w:t>
      </w:r>
    </w:p>
    <w:p w14:paraId="43C529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DE264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71460F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§933.</w:t>
      </w:r>
      <w:r w:rsidRPr="006E50FF">
        <w:rPr>
          <w:b/>
          <w:kern w:val="2"/>
        </w:rPr>
        <w:tab/>
        <w:t>Annual Reporting</w:t>
      </w:r>
    </w:p>
    <w:p w14:paraId="27D2EE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OMC-Aeronautics shall include a detailed listing of all project awards in its annual report to the legislature.</w:t>
      </w:r>
    </w:p>
    <w:p w14:paraId="6203631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36FCE7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1F57A47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br w:type="column"/>
      </w:r>
      <w:r w:rsidRPr="006E50FF">
        <w:rPr>
          <w:b/>
          <w:kern w:val="2"/>
        </w:rPr>
        <w:t>§935.</w:t>
      </w:r>
      <w:r w:rsidRPr="006E50FF">
        <w:rPr>
          <w:b/>
          <w:kern w:val="2"/>
        </w:rPr>
        <w:tab/>
        <w:t>Vertiport Landing Area Registration</w:t>
      </w:r>
    </w:p>
    <w:p w14:paraId="004E00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R.S. 2:6 provides, in part, that the department may prescribe such reasonable rules and regulations as it deems necessary and advisable for the public safety and for the promotion of aeronautics governing the designing, laying out, location, building, equipping, operation, and use of all airports, landing fields, or landing strips, and for the safety of those engaged in aeronautics. There are two different categories of landing areas used in the registration process. The categories are designated as “private-use” and “public-use” landing areas. The requirements for each category become more restrictive as you move up the scale from private-use to public-use. You must decide which category of landing area you want to establish. Proponents requesting new private landing area registrations shall follow the landing area design standards in accordance with the FAA advisory circulars pertaining to airports or heliport design.</w:t>
      </w:r>
    </w:p>
    <w:p w14:paraId="4B72B4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Renewal Registration Certificate is required for Vertiports. OMC-Aeronautics may initiate the renewal registration process with the vertiport owner. Renewal dates shall be included on the registration-operating certificate in accordance with OMC-Aeronautics policies and the Louisiana Aviation Registration Program. OMC-Aeronautics may initiate the renewal registration process with the vertiport owner.</w:t>
      </w:r>
    </w:p>
    <w:p w14:paraId="0A7FC1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623759B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007A23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§937.</w:t>
      </w:r>
      <w:r w:rsidRPr="006E50FF">
        <w:rPr>
          <w:b/>
          <w:kern w:val="2"/>
        </w:rPr>
        <w:tab/>
        <w:t>Standards for Construction</w:t>
      </w:r>
    </w:p>
    <w:p w14:paraId="689E20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OMC-Aeronautics will maintain guidance for construction standards for projects under this program.</w:t>
      </w:r>
    </w:p>
    <w:p w14:paraId="154822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0B56BEE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19E578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33D90C2" w14:textId="77777777" w:rsidR="006E50FF" w:rsidRPr="006E50FF" w:rsidRDefault="006E50FF" w:rsidP="006E50FF">
      <w:pPr>
        <w:keepNext/>
        <w:ind w:left="2160"/>
        <w:jc w:val="both"/>
        <w:rPr>
          <w:rFonts w:eastAsia="Calibri"/>
        </w:rPr>
      </w:pPr>
      <w:r w:rsidRPr="006E50FF">
        <w:rPr>
          <w:rFonts w:eastAsia="Calibri"/>
        </w:rPr>
        <w:t>Glenn Ledet, Jr.</w:t>
      </w:r>
    </w:p>
    <w:p w14:paraId="3BE71A00" w14:textId="77777777" w:rsidR="006E50FF" w:rsidRPr="006E50FF" w:rsidRDefault="006E50FF" w:rsidP="006E50FF">
      <w:pPr>
        <w:keepNext/>
        <w:ind w:left="2160"/>
        <w:jc w:val="both"/>
        <w:rPr>
          <w:rFonts w:eastAsia="Calibri"/>
        </w:rPr>
      </w:pPr>
      <w:r w:rsidRPr="006E50FF">
        <w:rPr>
          <w:rFonts w:eastAsia="Calibri"/>
        </w:rPr>
        <w:t>Secretary</w:t>
      </w:r>
    </w:p>
    <w:p w14:paraId="2BDD3C55" w14:textId="77777777" w:rsidR="006E50FF" w:rsidRPr="006E50FF" w:rsidRDefault="006E50FF" w:rsidP="006E50FF">
      <w:pPr>
        <w:rPr>
          <w:noProof/>
          <w:sz w:val="16"/>
        </w:rPr>
      </w:pPr>
      <w:r w:rsidRPr="006E50FF">
        <w:rPr>
          <w:noProof/>
          <w:sz w:val="16"/>
        </w:rPr>
        <w:t>2609#005</w:t>
      </w:r>
    </w:p>
    <w:p w14:paraId="6160438C" w14:textId="77777777" w:rsidR="006E50FF" w:rsidRPr="006E50FF" w:rsidRDefault="006E50FF" w:rsidP="006E50FF"/>
    <w:p w14:paraId="450C3451" w14:textId="77777777" w:rsidR="006E50FF" w:rsidRPr="006E50FF" w:rsidRDefault="006E50FF" w:rsidP="006E50FF">
      <w:pPr>
        <w:keepNext/>
        <w:tabs>
          <w:tab w:val="left" w:pos="-1440"/>
        </w:tabs>
        <w:spacing w:after="120"/>
        <w:jc w:val="center"/>
        <w:rPr>
          <w:b/>
          <w:noProof/>
        </w:rPr>
      </w:pPr>
      <w:r w:rsidRPr="006E50FF">
        <w:rPr>
          <w:b/>
          <w:noProof/>
        </w:rPr>
        <w:t>RULE</w:t>
      </w:r>
    </w:p>
    <w:p w14:paraId="003FD4D5" w14:textId="77777777" w:rsidR="006E50FF" w:rsidRPr="006E50FF" w:rsidRDefault="006E50FF" w:rsidP="006E50FF">
      <w:pPr>
        <w:keepNext/>
        <w:jc w:val="center"/>
        <w:rPr>
          <w:b/>
          <w:noProof/>
        </w:rPr>
      </w:pPr>
      <w:r w:rsidRPr="006E50FF">
        <w:rPr>
          <w:b/>
          <w:noProof/>
        </w:rPr>
        <w:t>Department of Transportation and Development</w:t>
      </w:r>
    </w:p>
    <w:p w14:paraId="2BD494D8" w14:textId="77777777" w:rsidR="006E50FF" w:rsidRPr="006E50FF" w:rsidRDefault="006E50FF" w:rsidP="006E50FF">
      <w:pPr>
        <w:keepNext/>
        <w:jc w:val="center"/>
        <w:rPr>
          <w:b/>
          <w:noProof/>
        </w:rPr>
      </w:pPr>
      <w:r w:rsidRPr="006E50FF">
        <w:rPr>
          <w:b/>
          <w:noProof/>
        </w:rPr>
        <w:t>Office of Project Delivery</w:t>
      </w:r>
    </w:p>
    <w:p w14:paraId="155EF56B" w14:textId="77777777" w:rsidR="006E50FF" w:rsidRPr="006E50FF" w:rsidRDefault="006E50FF" w:rsidP="006E50FF">
      <w:pPr>
        <w:keepNext/>
        <w:spacing w:before="240" w:after="240"/>
        <w:jc w:val="center"/>
        <w:rPr>
          <w:noProof/>
        </w:rPr>
      </w:pPr>
      <w:r w:rsidRPr="006E50FF">
        <w:rPr>
          <w:noProof/>
        </w:rPr>
        <w:t xml:space="preserve">Contracts, Leases, and Agreements </w:t>
      </w:r>
      <w:r w:rsidRPr="006E50FF">
        <w:rPr>
          <w:noProof/>
        </w:rPr>
        <w:br/>
        <w:t>(LAC 70:II.1101)</w:t>
      </w:r>
    </w:p>
    <w:p w14:paraId="76F9CEA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 xml:space="preserve">Notice is hereby given in accordance with the provisions of the Administrative Procedure Act, R.S. 49:950, et seq., and through the authority granted in R.S. 36:504, that the Department of Transportation and Development has amended LAC 70:II.Chapter 11, Contracts, Leases, and Agreements Part II, which establishes policies and procedures that the Department of Transportation and Development (DOTD) follows when establishing an agreement with another party for expropriated property. The amendments simplify these rules to comply with Plain Writing Act of 2010 (Public Law 111-274) for public understanding and clarify to remove unnecessary and obsolete regulations. This Rule is hereby adopted on the day of promulgation. </w:t>
      </w:r>
    </w:p>
    <w:p w14:paraId="6879D321" w14:textId="77777777" w:rsidR="006E50FF" w:rsidRPr="006E50FF" w:rsidRDefault="006E50FF" w:rsidP="006E50FF">
      <w:pPr>
        <w:keepNext/>
        <w:jc w:val="center"/>
        <w:rPr>
          <w:b/>
          <w:kern w:val="28"/>
        </w:rPr>
      </w:pPr>
      <w:r w:rsidRPr="006E50FF">
        <w:rPr>
          <w:b/>
          <w:kern w:val="28"/>
        </w:rPr>
        <w:lastRenderedPageBreak/>
        <w:t>Title 70</w:t>
      </w:r>
    </w:p>
    <w:p w14:paraId="24A57993" w14:textId="77777777" w:rsidR="006E50FF" w:rsidRPr="006E50FF" w:rsidRDefault="006E50FF" w:rsidP="006E50FF">
      <w:pPr>
        <w:keepNext/>
        <w:jc w:val="center"/>
        <w:rPr>
          <w:b/>
          <w:kern w:val="28"/>
        </w:rPr>
      </w:pPr>
      <w:r w:rsidRPr="006E50FF">
        <w:rPr>
          <w:b/>
          <w:kern w:val="28"/>
        </w:rPr>
        <w:t>TRANSPORTATION</w:t>
      </w:r>
    </w:p>
    <w:p w14:paraId="7B35B50B" w14:textId="77777777" w:rsidR="006E50FF" w:rsidRPr="006E50FF" w:rsidRDefault="006E50FF" w:rsidP="006E50FF">
      <w:pPr>
        <w:keepNext/>
        <w:jc w:val="center"/>
        <w:rPr>
          <w:b/>
          <w:noProof/>
        </w:rPr>
      </w:pPr>
      <w:r w:rsidRPr="006E50FF">
        <w:rPr>
          <w:b/>
          <w:noProof/>
        </w:rPr>
        <w:t>Part II.  Utilites</w:t>
      </w:r>
    </w:p>
    <w:p w14:paraId="566F73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94" w:name="_Toc180825119"/>
      <w:bookmarkStart w:id="95" w:name="_Toc192580522"/>
      <w:r w:rsidRPr="006E50FF">
        <w:rPr>
          <w:b/>
          <w:kern w:val="2"/>
        </w:rPr>
        <w:t>Chapter 11.</w:t>
      </w:r>
      <w:bookmarkEnd w:id="94"/>
      <w:bookmarkEnd w:id="95"/>
      <w:r w:rsidRPr="006E50FF">
        <w:rPr>
          <w:b/>
          <w:kern w:val="2"/>
        </w:rPr>
        <w:tab/>
        <w:t>Contracts, Leases, and Agreements</w:t>
      </w:r>
    </w:p>
    <w:p w14:paraId="0CAE4C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96" w:name="_Toc180825095"/>
      <w:bookmarkStart w:id="97" w:name="_Toc143676802"/>
      <w:r w:rsidRPr="006E50FF">
        <w:rPr>
          <w:b/>
          <w:kern w:val="2"/>
        </w:rPr>
        <w:t>§1101.</w:t>
      </w:r>
      <w:r w:rsidRPr="006E50FF">
        <w:rPr>
          <w:b/>
          <w:kern w:val="2"/>
        </w:rPr>
        <w:tab/>
        <w:t>Joint Use Agreements</w:t>
      </w:r>
      <w:bookmarkEnd w:id="96"/>
      <w:bookmarkEnd w:id="97"/>
    </w:p>
    <w:p w14:paraId="15A8F0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Elements of the Lease</w:t>
      </w:r>
    </w:p>
    <w:p w14:paraId="0D2CE2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At the initiation of the lease, DOTD's real estate section will estimate the fair market lease value of the property. That value will be utilized in determining the amount charged as a rental fee. At the conclusion of a five-year term, the market value of the leased property will be reassessed. If the lessee chooses not to renew the lease and pay the revised fair market value as a fee, the lease shall expire.</w:t>
      </w:r>
    </w:p>
    <w:p w14:paraId="0E035D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DOTD property that is "excess," or that was expropriated through unfriendly negotiations will not be eligible for lease. DOTD "excess" property shall be disposed of in accordance with R.S. 48:224 and EDSM Number I.1.1.10, and shall not be leased.</w:t>
      </w:r>
    </w:p>
    <w:p w14:paraId="3215A7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Property that bears improvements constructed with public funds will not be eligible for lease for a period of 20 years from the date of completion of said improvements.</w:t>
      </w:r>
    </w:p>
    <w:p w14:paraId="03BDE8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Preference in use of right-of-way is as follows:</w:t>
      </w:r>
    </w:p>
    <w:p w14:paraId="278BE92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highway purposes;</w:t>
      </w:r>
    </w:p>
    <w:p w14:paraId="3D7B974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drainage purposes;</w:t>
      </w:r>
    </w:p>
    <w:p w14:paraId="4966E45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legal street connections purposes;</w:t>
      </w:r>
    </w:p>
    <w:p w14:paraId="0B52D93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legal driveway connections purposes;</w:t>
      </w:r>
    </w:p>
    <w:p w14:paraId="0464C7C4"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utilities purposes;</w:t>
      </w:r>
    </w:p>
    <w:p w14:paraId="29504C1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joint use (lease) purposes.</w:t>
      </w:r>
    </w:p>
    <w:p w14:paraId="08832C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Preference for availability of joint use leases shall be given to the following entities, in the following order:</w:t>
      </w:r>
    </w:p>
    <w:p w14:paraId="2B465C3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governmental bodies using the property for the general public and generating no revenue;</w:t>
      </w:r>
    </w:p>
    <w:p w14:paraId="454B605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governmental bodies;</w:t>
      </w:r>
    </w:p>
    <w:p w14:paraId="77BC180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land owner from whom the property was expropriated;</w:t>
      </w:r>
    </w:p>
    <w:p w14:paraId="05F30C1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adjacent land owners;</w:t>
      </w:r>
    </w:p>
    <w:p w14:paraId="58232A04"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general public.</w:t>
      </w:r>
    </w:p>
    <w:p w14:paraId="580FB1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Title and control of the area of right-of-way involved will remain with DOTD.</w:t>
      </w:r>
    </w:p>
    <w:p w14:paraId="6D1DF6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Subleasing is prohibited without the prior written consent of DOTD.</w:t>
      </w:r>
    </w:p>
    <w:p w14:paraId="317CFF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Use of property shall be in accordance with local building and zoning ordinances and/or codes.</w:t>
      </w:r>
    </w:p>
    <w:p w14:paraId="235404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DOTD may terminate the lease agreement at any time and require lessee to vacate the premises and remove all improvements. Improvements not removed by lessee within 30 days may be removed by DOTD at lessee's expense.</w:t>
      </w:r>
    </w:p>
    <w:p w14:paraId="692F44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lease shall be subordinate to any existing agreements between DOTD and other parties affecting the leased property.</w:t>
      </w:r>
    </w:p>
    <w:p w14:paraId="557111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Illegal activities on the premises conducted by lessee are prohibited and shall trigger automatic termination of the lease.</w:t>
      </w:r>
    </w:p>
    <w:p w14:paraId="6DA6E5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All heavy commercial activity and the serving of alcohol are prohibited on the leased premises.</w:t>
      </w:r>
    </w:p>
    <w:p w14:paraId="36AC18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Application Procedure</w:t>
      </w:r>
    </w:p>
    <w:p w14:paraId="032E14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Parties interested in leasing state right-of-way must contact the headquarters permit engineer at the permit office of DOTD.</w:t>
      </w:r>
    </w:p>
    <w:p w14:paraId="19D81E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2.</w:t>
      </w:r>
      <w:r w:rsidRPr="006E50FF">
        <w:rPr>
          <w:kern w:val="2"/>
        </w:rPr>
        <w:tab/>
        <w:t>The applicant must submit, in writing to the headquarters permit engineer, a proposal detailing the use of the property including a location description. The headquarters permit engineer will distribute copies of the proposal to the district office and other appropriate parties within the department.</w:t>
      </w:r>
    </w:p>
    <w:p w14:paraId="132538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Joint Use Agreement applications will be considered on a first come, first serve basis.</w:t>
      </w:r>
    </w:p>
    <w:p w14:paraId="15E97E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DOTD will investigate proposed highway improvements in the area and the viability of leasing the property.</w:t>
      </w:r>
    </w:p>
    <w:p w14:paraId="39B43C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 a lease agreement is viable, then the applicant must submit:</w:t>
      </w:r>
    </w:p>
    <w:p w14:paraId="5290226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layout map of the requested area showing DOTD right-of-way, including a metes and bounds description;</w:t>
      </w:r>
    </w:p>
    <w:p w14:paraId="7E83EE9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written metes and bounds description of the area labeled as "Exhibit A";</w:t>
      </w:r>
    </w:p>
    <w:p w14:paraId="2665847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detailed plans showing any improvements to be placed on the premises including structures, type of material used, appearance, fences which may be required, and any other pertinent information, labeled "Exhibit B";</w:t>
      </w:r>
    </w:p>
    <w:p w14:paraId="1F972F6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vertical clearance between area to be used and bottom of overhead structure.</w:t>
      </w:r>
    </w:p>
    <w:p w14:paraId="060182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DOTD's real estate section will estimate the fair market lease value of the property.</w:t>
      </w:r>
    </w:p>
    <w:p w14:paraId="030738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If more than one party is interested in leasing the same parcel of property:</w:t>
      </w:r>
    </w:p>
    <w:p w14:paraId="471BC1E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DOTD shall first attempt to facilitate a cooperative endeavor agreement between the parties, so that the property can be shared;</w:t>
      </w:r>
    </w:p>
    <w:p w14:paraId="0EE9BCA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a cooperative endeavor is not possible, then §1101.A.5 shall be utilized to select a lessee;</w:t>
      </w:r>
    </w:p>
    <w:p w14:paraId="37F7B42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two or more parties tie for top choice, then DOTD shall initiate a bidding process as follows:</w:t>
      </w:r>
    </w:p>
    <w:p w14:paraId="34C61ED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all parties will be informed of the bid situation and given 30 days to prepare bids;</w:t>
      </w:r>
    </w:p>
    <w:p w14:paraId="2F99270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DOTD shall designate a date to receive sealed bids;</w:t>
      </w:r>
    </w:p>
    <w:p w14:paraId="217BB92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headquarters permit engineer shall open all bids on the same day;</w:t>
      </w:r>
    </w:p>
    <w:p w14:paraId="227AAC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bids more than 10 percent below the estimated fair market value shall be rejected. All bids for uses that the headquarters permit engineer deems prohibited, inappropriate, or inconsistent with use of the property by DOTD shall be rejected. If any bids remain, the lease shall be awarded to the highest bid. If no eligible bids remain, then the bid process may be repeated. If there are still no eligible bids, then all proposals shall be discarded. In the event of a tie, the tied parties will be allowed to toss a coin to determine the winning bidder.</w:t>
      </w:r>
    </w:p>
    <w:p w14:paraId="5740AE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DOTD performs all required reviews of the request, including an environmental assessment. The applicant may be required to submit corrected and/or additional information. If the applicant does not respond with the requested information within a reasonable time frame, the application will be deemed inactive. If an application is deemed inactive, then the property shall be available for other parties to apply.</w:t>
      </w:r>
    </w:p>
    <w:p w14:paraId="676098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Once the submittal is complete and correct and the environmental clearance is issued, the request is given final approval by the headquarters permit engineer.</w:t>
      </w:r>
    </w:p>
    <w:p w14:paraId="7FC790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10.</w:t>
      </w:r>
      <w:r w:rsidRPr="006E50FF">
        <w:rPr>
          <w:kern w:val="2"/>
        </w:rPr>
        <w:tab/>
        <w:t>The request is then submitted to the Federal Highway Administration (FHWA) for review and becomes effective upon the concurrence of FHWA, if required.</w:t>
      </w:r>
    </w:p>
    <w:p w14:paraId="260E30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At the discretion of DOTD, a credit check and/or security deposit may be required.</w:t>
      </w:r>
    </w:p>
    <w:p w14:paraId="095DF4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Improvements</w:t>
      </w:r>
    </w:p>
    <w:p w14:paraId="74821F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improvements or alterations, including landscaping, shall be made upon the premises without written approval of DOTD.</w:t>
      </w:r>
    </w:p>
    <w:p w14:paraId="3EF1A2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improvements and the property must be maintained by the lessee in good condition. Maintenance must be accomplished so that there is no unreasonable interference with the transportation facility.</w:t>
      </w:r>
    </w:p>
    <w:p w14:paraId="56EBAE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plans for construction of any improvements must be reviewed and approved by DOTD. Preliminary plans must be submitted with the initial application.</w:t>
      </w:r>
    </w:p>
    <w:p w14:paraId="2A889E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At the conclusion of the lease, all improvements must be removed leaving the property in its original condition. In special cases improvements may remain with written consent from DOTD, provided there is no expense to DOTD.</w:t>
      </w:r>
    </w:p>
    <w:p w14:paraId="56231E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Maintenance and Inspection</w:t>
      </w:r>
    </w:p>
    <w:p w14:paraId="1C5CAC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lessee shall, at its sole expense, keep and maintain the premises at all times in an orderly, clean, safe, and sanitary condition.</w:t>
      </w:r>
    </w:p>
    <w:p w14:paraId="2A458E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proper maintenance is not performed, DOTD reserves the option to cancel the lease or perform the maintenance and obtain reimbursement from the lessee.</w:t>
      </w:r>
    </w:p>
    <w:p w14:paraId="49792D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lessee shall maintain the premises at the lessee's own expense, including all driveways, fences, and guardrails, subject to the approval of DOTD. The lessee shall be liable for reimbursement to DOTD for any damage to DOTD property.</w:t>
      </w:r>
    </w:p>
    <w:p w14:paraId="48DFE9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On-premise signs, displays, or devices may be authorized by DOTD, but shall be restricted to those indicating ownership and type of activity being conducted in the facility, and shall be subject to reasonable restrictions with respect to number, size, location, and design.</w:t>
      </w:r>
    </w:p>
    <w:p w14:paraId="511236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Inspections of the property may be performed by a DOTD representative to assure compliance with all the rules set forth in the lease. DOTD specifically reserves the right of entry by any authorized employee, contractor, or agent of DOTD for the purpose of inspecting said premises, or the doing of any and all acts necessary on said premises in connection with protection, maintenance, painting, and operation of structures and appurtenances. DOTD reserves the further right, at its discretion, to immediate entry upon the premises and to take immediate possession of the same only in case of any national or other emergency and for the protection of said structures; and, during said period, lessee shall be relieved from the performance of all conditions of the agreement.</w:t>
      </w:r>
    </w:p>
    <w:p w14:paraId="42CD3F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structures shall be of fire resistant construction as defined by the applicable building codes, and will not be utilized for the manufacture of flammable material, or for the storage of materials or other purposes deemed by the DOTD or Federal Highway Administration to be a potential fire or other hazard to the highway.</w:t>
      </w:r>
    </w:p>
    <w:p w14:paraId="570DA4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The lessee shall secure all necessary permits required in connection with operations on the premises and shall comply with all federal, state, and local statutes, </w:t>
      </w:r>
      <w:r w:rsidRPr="006E50FF">
        <w:rPr>
          <w:kern w:val="2"/>
        </w:rPr>
        <w:t>ordinances, or regulations which may affect the lessee's use of the premises.</w:t>
      </w:r>
    </w:p>
    <w:p w14:paraId="4166ED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Liability of Lessee</w:t>
      </w:r>
    </w:p>
    <w:p w14:paraId="24AD96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lessee shall occupy and use the property at its own expense, and shall hold DOTD, its officers, agents, and employees, harmless from any and all claims for damage to property, or injury to, or death of, any person entering upon same with lessee's consent, expressed, or implied.</w:t>
      </w:r>
    </w:p>
    <w:p w14:paraId="32748F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lessee shall carry liability insurance to indemnify claims resulting from accidents and property damage, which coverage shall be extended to include the facilities authorized in this agreement, to provide for the payment of any damages occurring to the highway facility and to the public for personal injury, loss of life and property damage resulting from lessee's use of the premises. DOTD shall be named as an additional insured and proof of such required insurance shall be provided to DOTD prior to occupancy. The insurance company and lessee shall notify DOTD, in writing, at least 30 days prior to cancellation of changes affecting the required insurance coverage.</w:t>
      </w:r>
    </w:p>
    <w:p w14:paraId="3CA9BF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Payment</w:t>
      </w:r>
    </w:p>
    <w:p w14:paraId="5736DF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Payment will be due on the first day of every year. If the lease begins in the middle of the year, the rent will be prorated for that year according to the number of days remaining in that year.</w:t>
      </w:r>
    </w:p>
    <w:p w14:paraId="6F2BA0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the discretion of DOTD, payment may be due on a monthly basis.</w:t>
      </w:r>
    </w:p>
    <w:p w14:paraId="77B0C5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Payments must be made by check, money order, </w:t>
      </w:r>
      <w:r w:rsidRPr="006E50FF">
        <w:rPr>
          <w:strike/>
          <w:kern w:val="2"/>
        </w:rPr>
        <w:t xml:space="preserve">or </w:t>
      </w:r>
      <w:r w:rsidRPr="006E50FF">
        <w:rPr>
          <w:kern w:val="2"/>
        </w:rPr>
        <w:t>certified check, or approved alternative.</w:t>
      </w:r>
    </w:p>
    <w:p w14:paraId="53955C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 lessee submits a bad check for payment, he will no longer be allowed to pay with personal checks. Future payments must be made by certified checks or money orders.</w:t>
      </w:r>
    </w:p>
    <w:p w14:paraId="2415D8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Governmental Entities</w:t>
      </w:r>
    </w:p>
    <w:p w14:paraId="752CD5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fees may be waived for governmental entities if there is no revenue derived by the use of the property.</w:t>
      </w:r>
    </w:p>
    <w:p w14:paraId="540378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revenue generated is not sufficient to cover operating expenses and the joint use fee, the rent may be reduced to 10 percent of the gross revenue.</w:t>
      </w:r>
    </w:p>
    <w:p w14:paraId="242D0D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48:381.1.</w:t>
      </w:r>
    </w:p>
    <w:p w14:paraId="6F7959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24:1135 (June 1998), amended by the Department of Transportation and Development, Office of Project Delivery, LR 52:1521 (September 2026).</w:t>
      </w:r>
    </w:p>
    <w:p w14:paraId="1D66E1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EEEE11C" w14:textId="77777777" w:rsidR="006E50FF" w:rsidRPr="006E50FF" w:rsidRDefault="006E50FF" w:rsidP="006E50FF">
      <w:pPr>
        <w:keepNext/>
        <w:ind w:left="2160"/>
        <w:jc w:val="both"/>
      </w:pPr>
      <w:r w:rsidRPr="006E50FF">
        <w:t>Glenn Ledet, Jr.</w:t>
      </w:r>
    </w:p>
    <w:p w14:paraId="7D3EB3A7" w14:textId="77777777" w:rsidR="006E50FF" w:rsidRPr="006E50FF" w:rsidRDefault="006E50FF" w:rsidP="006E50FF">
      <w:pPr>
        <w:keepNext/>
        <w:ind w:left="2160"/>
        <w:jc w:val="both"/>
      </w:pPr>
      <w:r w:rsidRPr="006E50FF">
        <w:t>Secretary</w:t>
      </w:r>
    </w:p>
    <w:p w14:paraId="697F0E9E" w14:textId="77777777" w:rsidR="006E50FF" w:rsidRPr="006E50FF" w:rsidRDefault="006E50FF" w:rsidP="006E50FF">
      <w:pPr>
        <w:rPr>
          <w:noProof/>
          <w:sz w:val="16"/>
        </w:rPr>
      </w:pPr>
      <w:r w:rsidRPr="006E50FF">
        <w:rPr>
          <w:noProof/>
          <w:sz w:val="16"/>
        </w:rPr>
        <w:t>2609#003</w:t>
      </w:r>
    </w:p>
    <w:p w14:paraId="4A60B477" w14:textId="77777777" w:rsidR="006E50FF" w:rsidRPr="006E50FF" w:rsidRDefault="006E50FF" w:rsidP="006E50FF"/>
    <w:p w14:paraId="7AF816BD" w14:textId="77777777" w:rsidR="006E50FF" w:rsidRPr="006E50FF" w:rsidRDefault="006E50FF" w:rsidP="006E50FF">
      <w:pPr>
        <w:keepNext/>
        <w:tabs>
          <w:tab w:val="left" w:pos="-1440"/>
        </w:tabs>
        <w:spacing w:after="120"/>
        <w:jc w:val="center"/>
        <w:rPr>
          <w:b/>
          <w:noProof/>
        </w:rPr>
      </w:pPr>
      <w:bookmarkStart w:id="98" w:name="TOC_Chap33"/>
      <w:bookmarkStart w:id="99" w:name="_Toc143676820"/>
      <w:bookmarkStart w:id="100" w:name="_Toc180825113"/>
      <w:r w:rsidRPr="006E50FF">
        <w:rPr>
          <w:b/>
          <w:noProof/>
        </w:rPr>
        <w:t>RULE</w:t>
      </w:r>
    </w:p>
    <w:p w14:paraId="1A8D44E0" w14:textId="77777777" w:rsidR="006E50FF" w:rsidRPr="006E50FF" w:rsidRDefault="006E50FF" w:rsidP="006E50FF">
      <w:pPr>
        <w:keepNext/>
        <w:jc w:val="center"/>
        <w:rPr>
          <w:b/>
          <w:noProof/>
        </w:rPr>
      </w:pPr>
      <w:r w:rsidRPr="006E50FF">
        <w:rPr>
          <w:b/>
          <w:noProof/>
        </w:rPr>
        <w:t>Department of Transportation and Development</w:t>
      </w:r>
    </w:p>
    <w:p w14:paraId="389814BA" w14:textId="77777777" w:rsidR="006E50FF" w:rsidRPr="006E50FF" w:rsidRDefault="006E50FF" w:rsidP="006E50FF">
      <w:pPr>
        <w:keepNext/>
        <w:jc w:val="center"/>
        <w:rPr>
          <w:b/>
          <w:noProof/>
        </w:rPr>
      </w:pPr>
      <w:r w:rsidRPr="006E50FF">
        <w:rPr>
          <w:b/>
          <w:noProof/>
        </w:rPr>
        <w:t>Office of Project Delivery</w:t>
      </w:r>
    </w:p>
    <w:bookmarkEnd w:id="98"/>
    <w:bookmarkEnd w:id="99"/>
    <w:bookmarkEnd w:id="100"/>
    <w:p w14:paraId="3D5FE4C2" w14:textId="77777777" w:rsidR="006E50FF" w:rsidRPr="006E50FF" w:rsidRDefault="006E50FF" w:rsidP="006E50FF">
      <w:pPr>
        <w:keepNext/>
        <w:spacing w:before="240" w:after="240"/>
        <w:jc w:val="center"/>
        <w:rPr>
          <w:b/>
          <w:noProof/>
        </w:rPr>
      </w:pPr>
      <w:r w:rsidRPr="006E50FF">
        <w:rPr>
          <w:noProof/>
        </w:rPr>
        <w:t xml:space="preserve">DOTD Wireless Telecommunications Permit and </w:t>
      </w:r>
      <w:r w:rsidRPr="006E50FF">
        <w:rPr>
          <w:noProof/>
        </w:rPr>
        <w:br/>
        <w:t>Fiber Optic Permit Rules (LAC 70:II.Chapters 15 and 17)</w:t>
      </w:r>
    </w:p>
    <w:p w14:paraId="22D7C1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49:961, et seq., and through the authority granted in R.S. 49:953(C) (1), that the Department of Transportation and Development, Office of Project Delivery, has amended and repealed certain sections </w:t>
      </w:r>
      <w:r w:rsidRPr="006E50FF">
        <w:rPr>
          <w:kern w:val="2"/>
        </w:rPr>
        <w:br w:type="page"/>
      </w:r>
      <w:r w:rsidRPr="006E50FF">
        <w:rPr>
          <w:kern w:val="2"/>
        </w:rPr>
        <w:lastRenderedPageBreak/>
        <w:t xml:space="preserve">of LAC 70:II.Chapter 15 entitled “DOTD Wireless Telecommunications Permit”, and repealed in its entirety LAC 70:II.Chapter 17 entitled “Fiber Optic Permit Rules” for the purpose of combining the rules into LAC 70:II.Chapter 15 and renaming “DOTD Wireless and Fiber-Optic Telecommunications Permit” in order to define the procedure and processes related to wireless telecommunications and fiber optic permits. The repeal and re-designate further aims to simplify these rules to comply with the Plain Writing Act of 2010 (Public Law 111-274) for public understanding, to clarify, and to remove unnecessary and obsolete regulations. This Rule is hereby adopted on the day of promulgation. </w:t>
      </w:r>
    </w:p>
    <w:p w14:paraId="4A21F349" w14:textId="77777777" w:rsidR="006E50FF" w:rsidRPr="006E50FF" w:rsidRDefault="006E50FF" w:rsidP="006E50FF">
      <w:pPr>
        <w:keepNext/>
        <w:jc w:val="center"/>
        <w:rPr>
          <w:b/>
          <w:kern w:val="28"/>
        </w:rPr>
      </w:pPr>
      <w:r w:rsidRPr="006E50FF">
        <w:rPr>
          <w:b/>
          <w:kern w:val="28"/>
        </w:rPr>
        <w:t>Title 70</w:t>
      </w:r>
    </w:p>
    <w:p w14:paraId="137F23F2" w14:textId="77777777" w:rsidR="006E50FF" w:rsidRPr="006E50FF" w:rsidRDefault="006E50FF" w:rsidP="006E50FF">
      <w:pPr>
        <w:keepNext/>
        <w:jc w:val="center"/>
        <w:rPr>
          <w:b/>
          <w:kern w:val="28"/>
        </w:rPr>
      </w:pPr>
      <w:r w:rsidRPr="006E50FF">
        <w:rPr>
          <w:b/>
          <w:kern w:val="28"/>
        </w:rPr>
        <w:t>TRANSPORTATION AND DEVELOPMENT</w:t>
      </w:r>
    </w:p>
    <w:p w14:paraId="0F92A806" w14:textId="77777777" w:rsidR="006E50FF" w:rsidRPr="006E50FF" w:rsidRDefault="006E50FF" w:rsidP="006E50FF">
      <w:pPr>
        <w:keepNext/>
        <w:jc w:val="center"/>
        <w:rPr>
          <w:b/>
          <w:noProof/>
        </w:rPr>
      </w:pPr>
      <w:r w:rsidRPr="006E50FF">
        <w:rPr>
          <w:b/>
          <w:noProof/>
        </w:rPr>
        <w:t>Part II.  Utilities</w:t>
      </w:r>
    </w:p>
    <w:p w14:paraId="0844AEF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DOTD Wireless and Fiber-Optic Telecommunications Permit</w:t>
      </w:r>
    </w:p>
    <w:p w14:paraId="4DFA24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§1501.</w:t>
      </w:r>
      <w:r w:rsidRPr="006E50FF">
        <w:rPr>
          <w:b/>
          <w:kern w:val="2"/>
        </w:rPr>
        <w:tab/>
        <w:t>Purpose</w:t>
      </w:r>
    </w:p>
    <w:p w14:paraId="105E22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the provisions R.S. 48:381.2, the chief engineer of the Department of Transportation and Development, or his duly authorized representative, may issue nonexclusive permits, on a competitively neutral and nondiscriminatory basis for use of public rights-of-way to utility operators for the purpose of installation of wireless telecommunications equipment and facilities within highway rights-of-way.</w:t>
      </w:r>
    </w:p>
    <w:p w14:paraId="065767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623CA0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25:96 (January 1999), amended by the Department of Transportation and Development, Office of Project Delivery, LR 52:1523 (September 2026).</w:t>
      </w:r>
    </w:p>
    <w:p w14:paraId="4AE782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§1503.</w:t>
      </w:r>
      <w:r w:rsidRPr="006E50FF">
        <w:rPr>
          <w:b/>
          <w:kern w:val="2"/>
        </w:rPr>
        <w:tab/>
        <w:t>General Permit Conditions and Standards of Construction and Operations</w:t>
      </w:r>
    </w:p>
    <w:p w14:paraId="2E94ED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highlight w:val="yellow"/>
        </w:rPr>
      </w:pPr>
      <w:r w:rsidRPr="006E50FF">
        <w:rPr>
          <w:kern w:val="2"/>
        </w:rPr>
        <w:t>A.</w:t>
      </w:r>
      <w:r w:rsidRPr="006E50FF">
        <w:rPr>
          <w:kern w:val="2"/>
        </w:rPr>
        <w:tab/>
        <w:t>Any facilities placed within the highway right-of-way shall be placed in accordance with existing federal, state, or local laws and the standards of the department. Environmental clearances may also be necessary and are the responsibility of the permit applicant.</w:t>
      </w:r>
    </w:p>
    <w:p w14:paraId="225A84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facilities, after having been erected, shall at all times be subject to inspection and the department may require such changes, additions, repairs, relocations and removal as may at any time be considered necessary to permit the relocation, reconstruction, widening and maintaining of the highway and to provide proper and safe protection to life and property on or adjacent to the highway, or in the interest of safety to traffic on the highway. The cost of making such changes, additions, repairs and relocations shall be borne by the permit applicant, and all cost of the work to be accomplished under this permit shall be borne by the permit applicant.</w:t>
      </w:r>
    </w:p>
    <w:p w14:paraId="0599F7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shall contact the DOTD District Permit Office and obtain approval for any change in the structure or configuration of the facility. Approval from DOTD is not required for routine maintenance or minor changes to the facility.</w:t>
      </w:r>
    </w:p>
    <w:p w14:paraId="7EA930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proposed facilities, their operation or maintenance shall not unreasonably interfere with the facilities or the operation or maintenance of the facilities of other persons, firms or corporations previously issued permits for use and occupancy of the highway right-of-way. The proposed </w:t>
      </w:r>
      <w:r w:rsidRPr="006E50FF">
        <w:rPr>
          <w:kern w:val="2"/>
        </w:rPr>
        <w:br w:type="column"/>
      </w:r>
      <w:r w:rsidRPr="006E50FF">
        <w:rPr>
          <w:kern w:val="2"/>
        </w:rPr>
        <w:t xml:space="preserve">facilities shall not be dangerous to persons or property using or occupying the highway or using facilities constructed under previously granted permits of use and occupancy. Departmental records of prior permits are available for inspection. It is the duty of the applicant to determine the existence and location of all facilities within the highway right-of-way. </w:t>
      </w:r>
    </w:p>
    <w:p w14:paraId="3BAFF3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Installations within the highway right-of-way shall be in accordance with applicable provisions contained in the following: </w:t>
      </w:r>
    </w:p>
    <w:p w14:paraId="682A33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
          <w:iCs/>
          <w:kern w:val="2"/>
        </w:rPr>
        <w:t>AASHTO Guide for Accommodating Utilities within Highway Right-of-Way and Freeways</w:t>
      </w:r>
      <w:r w:rsidRPr="006E50FF">
        <w:rPr>
          <w:kern w:val="2"/>
        </w:rPr>
        <w:t>;</w:t>
      </w:r>
    </w:p>
    <w:p w14:paraId="35FA4E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Code of Federal Regulations 23 (CFR 23);</w:t>
      </w:r>
    </w:p>
    <w:p w14:paraId="5EAC93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National Electrical Safety Code C2;</w:t>
      </w:r>
    </w:p>
    <w:p w14:paraId="1DB622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1996 Federal Telecommunications Act.</w:t>
      </w:r>
    </w:p>
    <w:p w14:paraId="6F48484B" w14:textId="77777777" w:rsidR="006E50FF" w:rsidRPr="006E50FF" w:rsidRDefault="006E50FF" w:rsidP="006E50FF">
      <w:pPr>
        <w:ind w:left="432" w:right="432"/>
        <w:jc w:val="both"/>
        <w:rPr>
          <w:noProof/>
          <w:sz w:val="16"/>
          <w:szCs w:val="16"/>
        </w:rPr>
      </w:pPr>
    </w:p>
    <w:p w14:paraId="430A4C33" w14:textId="77777777" w:rsidR="006E50FF" w:rsidRPr="006E50FF" w:rsidRDefault="006E50FF" w:rsidP="006E50FF">
      <w:pPr>
        <w:ind w:left="432" w:right="432"/>
        <w:jc w:val="both"/>
        <w:rPr>
          <w:noProof/>
          <w:sz w:val="16"/>
          <w:szCs w:val="16"/>
        </w:rPr>
      </w:pPr>
      <w:r w:rsidRPr="006E50FF">
        <w:rPr>
          <w:noProof/>
          <w:sz w:val="16"/>
          <w:szCs w:val="16"/>
        </w:rPr>
        <w:t>Note: Those facilities not included in the above mentioned documents shall be in accordance with accepted practice. Where standards of the department exceed those of the above cited codes, the standards of the department shall apply. The department reserves the right to modify its policies as may be required if conditions warrant.</w:t>
      </w:r>
    </w:p>
    <w:p w14:paraId="7D1A0A2E" w14:textId="77777777" w:rsidR="006E50FF" w:rsidRPr="006E50FF" w:rsidRDefault="006E50FF" w:rsidP="006E50FF">
      <w:pPr>
        <w:ind w:left="432" w:right="432"/>
        <w:jc w:val="both"/>
        <w:rPr>
          <w:noProof/>
          <w:sz w:val="16"/>
          <w:szCs w:val="16"/>
        </w:rPr>
      </w:pPr>
    </w:p>
    <w:p w14:paraId="6B0575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Data relative to the proposed and installed location, relocation and design of fixtures or appurtenances, as may be required by the department, shall be furnished to the department by the applicant free of cost. The applicant shall make any and all changes or additions necessary in order to receive department approval.</w:t>
      </w:r>
    </w:p>
    <w:p w14:paraId="4B834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Cutting and trimming of trees, shrubs, etc., shall be in accordance with the requirements for vegetation maintenance permits. </w:t>
      </w:r>
    </w:p>
    <w:p w14:paraId="076543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applicant shall defend, indemnify, and hold harmless the department, its duly appointed agents and employees from and against any and all claims, suits, liabilities, losses, damages, costs or expenses as per the permit conditions.</w:t>
      </w:r>
    </w:p>
    <w:p w14:paraId="52D9A3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applicant is the owner of the facility for which a permit is requested and is responsible for maintenance of the facility. Any permit granted by the department is granted only insofar as the department possesses the power and right to grant the same. Permits shall not be assigned to another company or person without the express written consent of the department.</w:t>
      </w:r>
    </w:p>
    <w:p w14:paraId="025DFC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 xml:space="preserve">Any permit granted by the department is subject to revocation at any time. All permits will be in force and effect until facility is removed from the ROW. Permits for facilities with annual fees will automatically renew unless cancelled or revoked. </w:t>
      </w:r>
    </w:p>
    <w:p w14:paraId="6AADD9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Signing for warning and protection of traffic in instances where workmen, equipment or materials are in close proximity to the roadway surfacing, shall be in accordance with requirements contained in the Manual on Uniform Traffic Control Devices - MUTCD. No vehicles, equipment and/or materials shall operate from, or be parked, stored or stock-piled on any highway, median, or in an area extending from the outer edge of the shoulder of the highway on one side to the outer edge of the shoulder of the highway on the opposite side including the median of any divided highway.</w:t>
      </w:r>
    </w:p>
    <w:p w14:paraId="2A6ACE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Fences, parking and other security measures may be permitted in accordance with other DOTD standards.</w:t>
      </w:r>
    </w:p>
    <w:p w14:paraId="5E909F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Traffic barriers and/or crash mitigation structures shall be installed as deemed necessary by the permit engineer.</w:t>
      </w:r>
    </w:p>
    <w:p w14:paraId="6D4110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M.</w:t>
      </w:r>
      <w:r w:rsidRPr="006E50FF">
        <w:rPr>
          <w:kern w:val="2"/>
        </w:rPr>
        <w:tab/>
        <w:t xml:space="preserve">All provisions and standards contained herein relative to the installation of utilities shall apply to future operation, service and maintenance of utilities. </w:t>
      </w:r>
    </w:p>
    <w:p w14:paraId="7416B1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Installations through drainage structures are strictly prohibited. Drainage in highway side and cross ditches must be maintained at all times. The entire highway right-of-way affected by work under a permit must be restored to its preexisting condition, and shall be approved by the appropriate district within the department.</w:t>
      </w:r>
      <w:r w:rsidRPr="006E50FF">
        <w:rPr>
          <w:strike/>
          <w:kern w:val="2"/>
        </w:rPr>
        <w:t xml:space="preserve"> </w:t>
      </w:r>
    </w:p>
    <w:p w14:paraId="2591CD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 xml:space="preserve">All non-metallic underground lines should be accompanied by a tracer wire, metallic tape, radio frequency identification device, or other method to effectively locate and mark the underground lines. Whenever feasible, such methods should include devices incorporated into the utility line. </w:t>
      </w:r>
    </w:p>
    <w:p w14:paraId="6584B8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Prior to performing any excavations, the applicant is required to call Louisiana One-Call. Underground facilities shall be permitted within the highway right-of-way in accordance with the state law regarding membership in “call before you dig” systems. </w:t>
      </w:r>
    </w:p>
    <w:p w14:paraId="2F9C93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All materials and workmanship shall conform to the requirements of the applicable industry codes and to department specifications.</w:t>
      </w:r>
    </w:p>
    <w:p w14:paraId="24CF22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All safety precautions for the protection of the traveling public shall be observed. Delays to traffic will be minimized to the maximum extent possible during construction of facilities. Acceptable delays will be determined and approved by the DOTD District Traffic Engineer. Thereafter, no traffic delays are permissible. These precautions shall be in force and effect not only during the construction phase of the installation, but shall also be in force and effect at all times maintenance is required. (See Manual on Uniform Traffic Control Devices – MUTCD.)</w:t>
      </w:r>
    </w:p>
    <w:p w14:paraId="3970DA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w:t>
      </w:r>
      <w:r w:rsidRPr="006E50FF">
        <w:rPr>
          <w:kern w:val="2"/>
        </w:rPr>
        <w:tab/>
        <w:t>All excavations within the limits of the right-of-way shall be backfilled and tamped in 6-inch layers to the density of the adjacent undisturbed soil. Where sod is removed or destroyed, it shall be replaced within one week. Where existing spoil material is, at the discretion of the department, unsuitable to backfill, select material shall be furnished in lieu of, and the existing material shall be disposed of by approved methods.</w:t>
      </w:r>
    </w:p>
    <w:p w14:paraId="396AE5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Any clearing and grubbing which may be required by the applicant shall be represented by a plan covering any such actions. Such plans shall also be submitted for erosion control measures which may be required to vegetate the area under such clearing and grubbing. The applicant is authorized to retain all cleared timber. The applicant shall follow up with the submittal of a landscape plan which may include an erosion control seeding plan approved by the department.</w:t>
      </w:r>
    </w:p>
    <w:p w14:paraId="54ED1D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w:t>
      </w:r>
      <w:r w:rsidRPr="006E50FF">
        <w:rPr>
          <w:kern w:val="2"/>
        </w:rPr>
        <w:tab/>
        <w:t>Attachments to Existing Bridge Structures:</w:t>
      </w:r>
    </w:p>
    <w:p w14:paraId="2797BB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Unauthorized attachments to existing structures are prohibited.</w:t>
      </w:r>
    </w:p>
    <w:p w14:paraId="02F4A4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authorized attachment to an existing structure shall cause technical interference with any equipment on the facility.</w:t>
      </w:r>
    </w:p>
    <w:p w14:paraId="7E683A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Plans shall be reviewed by the bridge design engineer and the structures and facilities maintenance engineer.</w:t>
      </w:r>
    </w:p>
    <w:p w14:paraId="7FA358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column"/>
      </w:r>
      <w:r w:rsidRPr="006E50FF">
        <w:rPr>
          <w:kern w:val="2"/>
        </w:rPr>
        <w:t>V.</w:t>
      </w:r>
      <w:r w:rsidRPr="006E50FF">
        <w:rPr>
          <w:kern w:val="2"/>
        </w:rPr>
        <w:tab/>
        <w:t>Access Requirements:</w:t>
      </w:r>
    </w:p>
    <w:p w14:paraId="3879D7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Repairs under the roadway will not be allowed if:</w:t>
      </w:r>
    </w:p>
    <w:p w14:paraId="353E529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such repairs necessitate open cutting (open trenches) of the highway;</w:t>
      </w:r>
    </w:p>
    <w:p w14:paraId="32F4647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problem occurs with a line crossing, the applicant must install a new crossing. The applicant must bear the total cost</w:t>
      </w:r>
    </w:p>
    <w:p w14:paraId="64C021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Prior to the start of construction of facilities, the District Permit Office, shall be contacted and notified of the required construction time to complete the facility. The permit engineer may provide the operator with a specific authorized duration for access to the construction site.</w:t>
      </w:r>
    </w:p>
    <w:p w14:paraId="39D5AC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Facilities Requiring Less than Six Accesses per Year</w:t>
      </w:r>
    </w:p>
    <w:p w14:paraId="554DFDE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Access to the facilities located adjacent to controlled access highways shall be:</w:t>
      </w:r>
    </w:p>
    <w:p w14:paraId="2C12625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from the land side;</w:t>
      </w:r>
    </w:p>
    <w:p w14:paraId="5853216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from the interchange (longitudinally);</w:t>
      </w:r>
    </w:p>
    <w:p w14:paraId="08366E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from the highway (to be approved in each instance).</w:t>
      </w:r>
    </w:p>
    <w:p w14:paraId="2B4943A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This shall not apply to those facilities with pre-existing access, such as rest areas, weigh stations or district offices.</w:t>
      </w:r>
    </w:p>
    <w:p w14:paraId="34B505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Facilities Requiring Six or More Accesses per Year</w:t>
      </w:r>
    </w:p>
    <w:p w14:paraId="1FAD7DA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Access to the facility shall meet all standard driveway requirements. </w:t>
      </w:r>
    </w:p>
    <w:p w14:paraId="5DB9DE6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Access to facilities located adjacent to controlled access highways shall be from the land side.</w:t>
      </w:r>
    </w:p>
    <w:p w14:paraId="3E972AB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This shall not apply to those facilities with pre-existing access such as rest areas, weight stations or district offices.</w:t>
      </w:r>
    </w:p>
    <w:p w14:paraId="484E28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applicant shall contact the District Permit Office to give at least three day’s notice of the proposed access and obtain prior approval each time the facility is to be accessed, including routine maintenance and operations.</w:t>
      </w:r>
    </w:p>
    <w:p w14:paraId="796889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 an emergency access situation, the applicant shall give the department as much notice as possible and shall give the District Permit Office notice after the fact when it is not possible to give advance notice.</w:t>
      </w:r>
    </w:p>
    <w:p w14:paraId="3A6B6D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465601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25:96 (January 1999), amended by the Department of Transportation and Development, Office of Project Delivery, LR 52:1523 (September 2026).</w:t>
      </w:r>
    </w:p>
    <w:p w14:paraId="6C78F8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§1505.</w:t>
      </w:r>
      <w:r w:rsidRPr="006E50FF">
        <w:rPr>
          <w:b/>
          <w:kern w:val="2"/>
        </w:rPr>
        <w:tab/>
        <w:t>Specific Standards for Installation and Operation of Wireless Telecommunication Tower Facilities</w:t>
      </w:r>
    </w:p>
    <w:p w14:paraId="77F3E3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There shall be no unsupported, aerial installation of horizontal or longitudinal overhead power lines, wireless transmission lines, or other overhead wire lines, except within the confines of the wireless operator’s facility as described herein:</w:t>
      </w:r>
    </w:p>
    <w:p w14:paraId="627492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Coaxial transmission lines, tower light power cables, and other wires or cables necessary for the proper and safe operation of the telecommunication facility required to crossover from the operator’s equipment pad, shelter or other means of communications equipment housing, to the vertical tower structure, shall be supported along their entire horizontal length by a structural cable trough and hall not exceed 25 feet in length.</w:t>
      </w:r>
    </w:p>
    <w:p w14:paraId="2D2794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6277D0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Electrical utility lines, wireline telephone lines, and other utility services transmitted via wireline shall be installed underground in accordance with the National Electrical Code, and the department’s specifications.</w:t>
      </w:r>
    </w:p>
    <w:p w14:paraId="299809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It is the responsibility of the wireless facility operator to negotiate with owners of pre-existing utilities in order to have the pre-existing lines relocated to accommodate these new installations.</w:t>
      </w:r>
    </w:p>
    <w:p w14:paraId="48A479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copy of the applicant’s FCC license and registration number shall be submitted with the permit application. For towers in excess of 200 feet in height, a copy of FAA approval shall also be submitted to DOTD. All registration number shall be posted on the tower.</w:t>
      </w:r>
    </w:p>
    <w:p w14:paraId="68C319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Order of Preference in Location Selection:</w:t>
      </w:r>
    </w:p>
    <w:p w14:paraId="1FA39F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rest areas and stationary weigh stations;</w:t>
      </w:r>
    </w:p>
    <w:p w14:paraId="63342E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power poles and light standards;</w:t>
      </w:r>
    </w:p>
    <w:p w14:paraId="63E666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on longitudinal elevated structures;</w:t>
      </w:r>
    </w:p>
    <w:p w14:paraId="18F88C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co-located on DOTD owned communications tower facilities;</w:t>
      </w:r>
    </w:p>
    <w:p w14:paraId="123413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inside interchange loops and adjacent on/off ramps.</w:t>
      </w:r>
    </w:p>
    <w:p w14:paraId="72DA04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Joint use agreements and existing permits and servitudes will be taken into consideration in determining areas for installations.</w:t>
      </w:r>
    </w:p>
    <w:p w14:paraId="30DE37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Types of Towers Permitted:</w:t>
      </w:r>
    </w:p>
    <w:p w14:paraId="5813ED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 rest areas, weigh stations, maintenance units and other large tracts of property:</w:t>
      </w:r>
    </w:p>
    <w:p w14:paraId="0F907A0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350 ft. (maximum) self-supporting lattice type towers;</w:t>
      </w:r>
    </w:p>
    <w:p w14:paraId="34A73DE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195 ft. (maximum) monopole tower;</w:t>
      </w:r>
    </w:p>
    <w:p w14:paraId="0EFDD5E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lighted monopole tower replacement of light standard’</w:t>
      </w:r>
    </w:p>
    <w:p w14:paraId="3B04C23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existing communication tower.</w:t>
      </w:r>
    </w:p>
    <w:p w14:paraId="409C49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other applicable areas, and as permitted by the department, elevated structures may also be utilized.</w:t>
      </w:r>
    </w:p>
    <w:p w14:paraId="46AFDA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Co-Location:</w:t>
      </w:r>
    </w:p>
    <w:p w14:paraId="635E3F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DOTD communications equipment shall be allowed to co-locate on wireless facility towers, at no cost to DOTD, provided that the tower’s structural capacity is adequate to safely support such additional use. The existing space on the tower is at the height DOTD desires. No technical factors exist which would prohibit such a co-location.</w:t>
      </w:r>
    </w:p>
    <w:p w14:paraId="31ABC4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Wireless facility operators, in certain instances, may be permitted to strengthen DOTD owned towers, at the sole cost of the wireless facility operator, to provide additional structural capacity for multiple users. Alternatively, the tower structure may be replaced, rather than modified. Ownership of the new or modified tower and responsibility for maintaining the tower shall be negotiated prior to issuance of the permit, and shall be state on the front of the permit. Applicant shall submit a structural analysis with the permit application. DOTD retains the right in perpetuity to have its antennae, pre-existing or added subsequent to permit issue, mounted on the new or modified tower.</w:t>
      </w:r>
    </w:p>
    <w:p w14:paraId="25AC79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wireless facility operator which co-locates on existing wireless telecommunications facilities operating within DOTD rights-of-way shall be subject to the same conditions and requirements which apply to the owner of the tower. The co-locator shall meet all departmental standards and policies and shall access the facility only after receiving prior written permission from the department. A Letter of No Objection from the existing facility owner should be provided to DOTD.</w:t>
      </w:r>
    </w:p>
    <w:p w14:paraId="64ADB4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When co-locating on an existing wireless telecommunication facility, each installation must be permitted separately by the co-locating facility owner.</w:t>
      </w:r>
    </w:p>
    <w:p w14:paraId="76F19F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2E88D8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25:98 (January 1999), amended by the Department of Transportation and Development, Office of Project Delivery, LR 52:1524 (September 2026).</w:t>
      </w:r>
    </w:p>
    <w:p w14:paraId="52E534D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§1507.</w:t>
      </w:r>
      <w:r w:rsidRPr="006E50FF">
        <w:rPr>
          <w:b/>
          <w:kern w:val="2"/>
        </w:rPr>
        <w:tab/>
        <w:t>Fees for Wireless Telecommunications Permits</w:t>
      </w:r>
    </w:p>
    <w:p w14:paraId="3E2997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Definitions for Use in this Section:</w:t>
      </w:r>
    </w:p>
    <w:p w14:paraId="5CA29FE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Installation Facility</w:t>
      </w:r>
      <w:r w:rsidRPr="006E50FF">
        <w:rPr>
          <w:kern w:val="2"/>
        </w:rPr>
        <w:t>—any tower or pole installed or utilized by a wireless telecommunications carrier for wireless audio and visual communications.</w:t>
      </w:r>
    </w:p>
    <w:p w14:paraId="65DCB44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Monopole/Guyed Tower</w:t>
      </w:r>
      <w:r w:rsidRPr="006E50FF">
        <w:rPr>
          <w:kern w:val="2"/>
        </w:rPr>
        <w:t>—tower that consists of one stem or one pole anchored to the ground and supported by a structurally designed foundation or guyed anchor system. The wires may be anchored to the top of the structure or to the ground.</w:t>
      </w:r>
    </w:p>
    <w:p w14:paraId="5EFC3E4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Pole</w:t>
      </w:r>
      <w:r w:rsidRPr="006E50FF">
        <w:rPr>
          <w:kern w:val="2"/>
        </w:rPr>
        <w:t>—column or post, constructed of wood or metal, supported by a simple concrete foundation up to 2 feet in diameter and/or with partial embedment.</w:t>
      </w:r>
    </w:p>
    <w:p w14:paraId="0DEE6F7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Self-Supporting Tower</w:t>
      </w:r>
      <w:r w:rsidRPr="006E50FF">
        <w:rPr>
          <w:kern w:val="2"/>
        </w:rPr>
        <w:t>—a three- or four-sided lattice structure with self-supporting frame made from solid rod, pipe, or angle.</w:t>
      </w:r>
    </w:p>
    <w:p w14:paraId="0F36956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Small Wireless Facility (“SWF”)—</w:t>
      </w:r>
      <w:r w:rsidRPr="006E50FF">
        <w:rPr>
          <w:kern w:val="2"/>
        </w:rPr>
        <w:t>wireless communications facilities that meet each of the following conditions:</w:t>
      </w:r>
    </w:p>
    <w:p w14:paraId="3C0F39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facilities:</w:t>
      </w:r>
    </w:p>
    <w:p w14:paraId="2F26B1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are mounted on poles or other structures 50 feet or less in height including their antennas;</w:t>
      </w:r>
    </w:p>
    <w:p w14:paraId="7A760FF0" w14:textId="77777777" w:rsidR="006E50FF" w:rsidRPr="006E50FF" w:rsidRDefault="006E50FF" w:rsidP="006E50FF">
      <w:pPr>
        <w:tabs>
          <w:tab w:val="left" w:pos="907"/>
        </w:tabs>
        <w:ind w:firstLine="547"/>
        <w:jc w:val="both"/>
        <w:outlineLvl w:val="5"/>
        <w:rPr>
          <w:kern w:val="2"/>
        </w:rPr>
      </w:pPr>
      <w:r w:rsidRPr="006E50FF">
        <w:rPr>
          <w:kern w:val="2"/>
        </w:rPr>
        <w:t>b. are mounted on poles or other structures no more than 10 percent taller than other adjacent poles or structures; or</w:t>
      </w:r>
    </w:p>
    <w:p w14:paraId="1E4E605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do not extend existing poles or other structures on which they are located to a height of more than 50 feet or by more than 10 percent, whichever is greater;</w:t>
      </w:r>
    </w:p>
    <w:p w14:paraId="3FD321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antenna associated with the deployment, excluding associated antenna equipment, is no more than three cubic feet (3 ft³) in volume;</w:t>
      </w:r>
    </w:p>
    <w:p w14:paraId="21B55B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other wireless equipment associated with the pole or other structure, including the wireless equipment associated with the antenna and any pre-existing associated equipment on the pole or other structure, is no more than 28 cubic feet (28 ft³) in volume;</w:t>
      </w:r>
    </w:p>
    <w:p w14:paraId="4593DE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facilities do not require antenna structure registration under C.F.R. Title 47, Chapter 1 Federal Communications Commission, Part 17;</w:t>
      </w:r>
    </w:p>
    <w:p w14:paraId="54C2FB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facilities are not located on Tribal lands, as defined under 36 C.F.R. 800.16(x); and</w:t>
      </w:r>
    </w:p>
    <w:p w14:paraId="5727B5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facilities do not result in human exposure to radiofrequency radiation in excess of the applicable safety standards specified in 47 C.F.R. Section 1.1307(b).</w:t>
      </w:r>
    </w:p>
    <w:p w14:paraId="296A5A3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Utility Pole</w:t>
      </w:r>
      <w:r w:rsidRPr="006E50FF">
        <w:rPr>
          <w:kern w:val="2"/>
        </w:rPr>
        <w:t xml:space="preserve">—column or post used to support overhead power lines and various other public utilities, such as electrical cable, fiber optic cable, and related equipment such as transformers and streetlights. </w:t>
      </w:r>
    </w:p>
    <w:p w14:paraId="701400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fees shall apply to wireless telecommunications installations, except for small wireless facilities, placed within state highway rights-of-way:</w:t>
      </w:r>
    </w:p>
    <w:p w14:paraId="4A5371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tbl>
      <w:tblPr>
        <w:tblStyle w:val="TableGrid1"/>
        <w:tblW w:w="492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3214"/>
        <w:gridCol w:w="1710"/>
      </w:tblGrid>
      <w:tr w:rsidR="006E50FF" w:rsidRPr="006E50FF" w14:paraId="055D7C3B" w14:textId="77777777" w:rsidTr="0088638B">
        <w:trPr>
          <w:cantSplit/>
          <w:tblHeader/>
          <w:jc w:val="center"/>
        </w:trPr>
        <w:tc>
          <w:tcPr>
            <w:tcW w:w="3214" w:type="dxa"/>
            <w:shd w:val="clear" w:color="auto" w:fill="BFBFBF" w:themeFill="background1" w:themeFillShade="BF"/>
            <w:vAlign w:val="bottom"/>
            <w:hideMark/>
          </w:tcPr>
          <w:p w14:paraId="7E2F85BE" w14:textId="77777777" w:rsidR="006E50FF" w:rsidRPr="006E50FF" w:rsidRDefault="006E50FF" w:rsidP="006E50FF">
            <w:pPr>
              <w:keepNext/>
              <w:jc w:val="center"/>
              <w:rPr>
                <w:rFonts w:eastAsia="Calibri"/>
                <w:b/>
                <w:kern w:val="2"/>
                <w:sz w:val="16"/>
                <w:szCs w:val="16"/>
              </w:rPr>
            </w:pPr>
            <w:r w:rsidRPr="006E50FF">
              <w:rPr>
                <w:rFonts w:eastAsia="Calibri"/>
                <w:b/>
                <w:kern w:val="2"/>
                <w:sz w:val="16"/>
                <w:szCs w:val="16"/>
              </w:rPr>
              <w:lastRenderedPageBreak/>
              <w:t>Type of Tower</w:t>
            </w:r>
          </w:p>
        </w:tc>
        <w:tc>
          <w:tcPr>
            <w:tcW w:w="1710" w:type="dxa"/>
            <w:shd w:val="clear" w:color="auto" w:fill="BFBFBF" w:themeFill="background1" w:themeFillShade="BF"/>
            <w:vAlign w:val="bottom"/>
            <w:hideMark/>
          </w:tcPr>
          <w:p w14:paraId="002ACF40" w14:textId="77777777" w:rsidR="006E50FF" w:rsidRPr="006E50FF" w:rsidRDefault="006E50FF" w:rsidP="006E50FF">
            <w:pPr>
              <w:keepNext/>
              <w:jc w:val="center"/>
              <w:rPr>
                <w:rFonts w:eastAsia="Calibri"/>
                <w:b/>
                <w:kern w:val="2"/>
                <w:sz w:val="16"/>
                <w:szCs w:val="16"/>
              </w:rPr>
            </w:pPr>
            <w:r w:rsidRPr="006E50FF">
              <w:rPr>
                <w:rFonts w:eastAsia="Calibri"/>
                <w:b/>
                <w:kern w:val="2"/>
                <w:sz w:val="16"/>
                <w:szCs w:val="16"/>
              </w:rPr>
              <w:t>Annual Fee</w:t>
            </w:r>
          </w:p>
        </w:tc>
      </w:tr>
      <w:tr w:rsidR="006E50FF" w:rsidRPr="006E50FF" w14:paraId="13B91968" w14:textId="77777777" w:rsidTr="0088638B">
        <w:trPr>
          <w:cantSplit/>
          <w:tblHeader/>
          <w:jc w:val="center"/>
        </w:trPr>
        <w:tc>
          <w:tcPr>
            <w:tcW w:w="3214" w:type="dxa"/>
            <w:hideMark/>
          </w:tcPr>
          <w:p w14:paraId="6E739CD4"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Self-Supporting Tower/Antenna</w:t>
            </w:r>
          </w:p>
        </w:tc>
        <w:tc>
          <w:tcPr>
            <w:tcW w:w="1710" w:type="dxa"/>
            <w:vAlign w:val="bottom"/>
            <w:hideMark/>
          </w:tcPr>
          <w:p w14:paraId="64545E78"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$3,500</w:t>
            </w:r>
          </w:p>
        </w:tc>
      </w:tr>
      <w:tr w:rsidR="006E50FF" w:rsidRPr="006E50FF" w14:paraId="54F32DE0" w14:textId="77777777" w:rsidTr="0088638B">
        <w:trPr>
          <w:cantSplit/>
          <w:tblHeader/>
          <w:jc w:val="center"/>
        </w:trPr>
        <w:tc>
          <w:tcPr>
            <w:tcW w:w="3214" w:type="dxa"/>
            <w:hideMark/>
          </w:tcPr>
          <w:p w14:paraId="3F106F44"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Monopole/Antenna</w:t>
            </w:r>
          </w:p>
        </w:tc>
        <w:tc>
          <w:tcPr>
            <w:tcW w:w="1710" w:type="dxa"/>
            <w:vAlign w:val="bottom"/>
            <w:hideMark/>
          </w:tcPr>
          <w:p w14:paraId="74895E4A"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$2,000</w:t>
            </w:r>
          </w:p>
        </w:tc>
      </w:tr>
      <w:tr w:rsidR="006E50FF" w:rsidRPr="006E50FF" w14:paraId="4A4503DE" w14:textId="77777777" w:rsidTr="0088638B">
        <w:trPr>
          <w:cantSplit/>
          <w:tblHeader/>
          <w:jc w:val="center"/>
        </w:trPr>
        <w:tc>
          <w:tcPr>
            <w:tcW w:w="3214" w:type="dxa"/>
            <w:hideMark/>
          </w:tcPr>
          <w:p w14:paraId="1033C0EC"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Attachments to Existing Utility/Light Poles</w:t>
            </w:r>
          </w:p>
        </w:tc>
        <w:tc>
          <w:tcPr>
            <w:tcW w:w="1710" w:type="dxa"/>
            <w:vAlign w:val="bottom"/>
            <w:hideMark/>
          </w:tcPr>
          <w:p w14:paraId="2C7CC958"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$1,500</w:t>
            </w:r>
          </w:p>
        </w:tc>
      </w:tr>
      <w:tr w:rsidR="006E50FF" w:rsidRPr="006E50FF" w14:paraId="442F800A" w14:textId="77777777" w:rsidTr="0088638B">
        <w:trPr>
          <w:cantSplit/>
          <w:tblHeader/>
          <w:jc w:val="center"/>
        </w:trPr>
        <w:tc>
          <w:tcPr>
            <w:tcW w:w="3214" w:type="dxa"/>
            <w:hideMark/>
          </w:tcPr>
          <w:p w14:paraId="54B23FC0"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Co-Location on DOTD Tower</w:t>
            </w:r>
          </w:p>
        </w:tc>
        <w:tc>
          <w:tcPr>
            <w:tcW w:w="1710" w:type="dxa"/>
            <w:vAlign w:val="bottom"/>
            <w:hideMark/>
          </w:tcPr>
          <w:p w14:paraId="55449C5D"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$3,500</w:t>
            </w:r>
          </w:p>
        </w:tc>
      </w:tr>
      <w:tr w:rsidR="006E50FF" w:rsidRPr="006E50FF" w14:paraId="7C4F13E8" w14:textId="77777777" w:rsidTr="0088638B">
        <w:trPr>
          <w:cantSplit/>
          <w:tblHeader/>
          <w:jc w:val="center"/>
        </w:trPr>
        <w:tc>
          <w:tcPr>
            <w:tcW w:w="3214" w:type="dxa"/>
            <w:hideMark/>
          </w:tcPr>
          <w:p w14:paraId="6D4FDAD1"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Video Cameras</w:t>
            </w:r>
          </w:p>
        </w:tc>
        <w:tc>
          <w:tcPr>
            <w:tcW w:w="1710" w:type="dxa"/>
            <w:vAlign w:val="bottom"/>
            <w:hideMark/>
          </w:tcPr>
          <w:p w14:paraId="2B8A864D" w14:textId="77777777" w:rsidR="006E50FF" w:rsidRPr="006E50FF" w:rsidRDefault="006E50FF" w:rsidP="006E50FF">
            <w:pPr>
              <w:jc w:val="center"/>
              <w:rPr>
                <w:rFonts w:eastAsia="Calibri"/>
                <w:bCs/>
                <w:kern w:val="2"/>
                <w:sz w:val="16"/>
                <w:szCs w:val="16"/>
              </w:rPr>
            </w:pPr>
            <w:r w:rsidRPr="006E50FF">
              <w:rPr>
                <w:rFonts w:eastAsia="Calibri"/>
                <w:bCs/>
                <w:kern w:val="2"/>
                <w:sz w:val="16"/>
                <w:szCs w:val="16"/>
              </w:rPr>
              <w:t>Supply feed to DOTD</w:t>
            </w:r>
          </w:p>
        </w:tc>
      </w:tr>
    </w:tbl>
    <w:p w14:paraId="00BBA6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39F3AE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Annual renewal fees for each Small Wireless Facility shall be $270.00, regardless of location of the SWF. Permits are subject to reevaluation cost every three years of an additional $82.59 per permit. The following fees shall be assessed for each initial permit, based on the classifications of the roadway in accordance with the 2013 edition of the Federal Highway Administration’s “Highway Functional Classification Concepts, Criteria and Procedures.”</w:t>
      </w:r>
    </w:p>
    <w:p w14:paraId="54719A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tbl>
      <w:tblPr>
        <w:tblStyle w:val="TableGrid1"/>
        <w:tblW w:w="495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2097"/>
        <w:gridCol w:w="1143"/>
        <w:gridCol w:w="1710"/>
      </w:tblGrid>
      <w:tr w:rsidR="006E50FF" w:rsidRPr="006E50FF" w14:paraId="4A8FD26A" w14:textId="77777777" w:rsidTr="0088638B">
        <w:trPr>
          <w:cantSplit/>
          <w:tblHeader/>
          <w:jc w:val="center"/>
        </w:trPr>
        <w:tc>
          <w:tcPr>
            <w:tcW w:w="2097" w:type="dxa"/>
            <w:shd w:val="clear" w:color="auto" w:fill="BFBFBF" w:themeFill="background1" w:themeFillShade="BF"/>
            <w:vAlign w:val="center"/>
            <w:hideMark/>
          </w:tcPr>
          <w:p w14:paraId="2530F717" w14:textId="77777777" w:rsidR="006E50FF" w:rsidRPr="006E50FF" w:rsidRDefault="006E50FF" w:rsidP="006E50FF">
            <w:pPr>
              <w:keepNext/>
              <w:spacing w:line="256" w:lineRule="auto"/>
              <w:jc w:val="center"/>
              <w:rPr>
                <w:b/>
                <w:bCs/>
                <w:sz w:val="16"/>
                <w:szCs w:val="16"/>
              </w:rPr>
            </w:pPr>
            <w:r w:rsidRPr="006E50FF">
              <w:rPr>
                <w:b/>
                <w:bCs/>
                <w:sz w:val="16"/>
                <w:szCs w:val="16"/>
              </w:rPr>
              <w:t>Highway Classification</w:t>
            </w:r>
          </w:p>
        </w:tc>
        <w:tc>
          <w:tcPr>
            <w:tcW w:w="1143" w:type="dxa"/>
            <w:shd w:val="clear" w:color="auto" w:fill="BFBFBF" w:themeFill="background1" w:themeFillShade="BF"/>
            <w:vAlign w:val="center"/>
            <w:hideMark/>
          </w:tcPr>
          <w:p w14:paraId="6283F090" w14:textId="77777777" w:rsidR="006E50FF" w:rsidRPr="006E50FF" w:rsidRDefault="006E50FF" w:rsidP="006E50FF">
            <w:pPr>
              <w:keepNext/>
              <w:spacing w:line="256" w:lineRule="auto"/>
              <w:jc w:val="center"/>
              <w:rPr>
                <w:b/>
                <w:bCs/>
                <w:sz w:val="16"/>
                <w:szCs w:val="16"/>
              </w:rPr>
            </w:pPr>
            <w:r w:rsidRPr="006E50FF">
              <w:rPr>
                <w:b/>
                <w:bCs/>
                <w:sz w:val="16"/>
                <w:szCs w:val="16"/>
              </w:rPr>
              <w:t>Installation of SWF on a New Pole</w:t>
            </w:r>
          </w:p>
        </w:tc>
        <w:tc>
          <w:tcPr>
            <w:tcW w:w="1710" w:type="dxa"/>
            <w:shd w:val="clear" w:color="auto" w:fill="BFBFBF" w:themeFill="background1" w:themeFillShade="BF"/>
            <w:vAlign w:val="center"/>
            <w:hideMark/>
          </w:tcPr>
          <w:p w14:paraId="7AB0C1E4" w14:textId="77777777" w:rsidR="006E50FF" w:rsidRPr="006E50FF" w:rsidRDefault="006E50FF" w:rsidP="006E50FF">
            <w:pPr>
              <w:keepNext/>
              <w:spacing w:line="256" w:lineRule="auto"/>
              <w:jc w:val="center"/>
              <w:rPr>
                <w:b/>
                <w:bCs/>
                <w:sz w:val="16"/>
                <w:szCs w:val="16"/>
              </w:rPr>
            </w:pPr>
            <w:r w:rsidRPr="006E50FF">
              <w:rPr>
                <w:b/>
                <w:bCs/>
                <w:sz w:val="16"/>
                <w:szCs w:val="16"/>
              </w:rPr>
              <w:t>Installation of New SWF</w:t>
            </w:r>
          </w:p>
          <w:p w14:paraId="6A0B3226" w14:textId="77777777" w:rsidR="006E50FF" w:rsidRPr="006E50FF" w:rsidRDefault="006E50FF" w:rsidP="006E50FF">
            <w:pPr>
              <w:keepNext/>
              <w:spacing w:line="256" w:lineRule="auto"/>
              <w:jc w:val="center"/>
              <w:rPr>
                <w:b/>
                <w:bCs/>
                <w:sz w:val="16"/>
                <w:szCs w:val="16"/>
              </w:rPr>
            </w:pPr>
            <w:r w:rsidRPr="006E50FF">
              <w:rPr>
                <w:b/>
                <w:bCs/>
                <w:sz w:val="16"/>
                <w:szCs w:val="16"/>
              </w:rPr>
              <w:t>on Existing Pole</w:t>
            </w:r>
          </w:p>
        </w:tc>
      </w:tr>
      <w:tr w:rsidR="006E50FF" w:rsidRPr="006E50FF" w14:paraId="42200B19" w14:textId="77777777" w:rsidTr="0088638B">
        <w:trPr>
          <w:cantSplit/>
          <w:tblHeader/>
          <w:jc w:val="center"/>
        </w:trPr>
        <w:tc>
          <w:tcPr>
            <w:tcW w:w="2097" w:type="dxa"/>
            <w:hideMark/>
          </w:tcPr>
          <w:p w14:paraId="0A881AF5" w14:textId="77777777" w:rsidR="006E50FF" w:rsidRPr="006E50FF" w:rsidRDefault="006E50FF" w:rsidP="006E50FF">
            <w:pPr>
              <w:spacing w:line="256" w:lineRule="auto"/>
              <w:jc w:val="both"/>
              <w:rPr>
                <w:sz w:val="16"/>
                <w:szCs w:val="16"/>
              </w:rPr>
            </w:pPr>
            <w:r w:rsidRPr="006E50FF">
              <w:rPr>
                <w:sz w:val="16"/>
                <w:szCs w:val="16"/>
              </w:rPr>
              <w:t>Interstate Urban</w:t>
            </w:r>
          </w:p>
        </w:tc>
        <w:tc>
          <w:tcPr>
            <w:tcW w:w="1143" w:type="dxa"/>
            <w:vAlign w:val="center"/>
            <w:hideMark/>
          </w:tcPr>
          <w:p w14:paraId="227ED271" w14:textId="77777777" w:rsidR="006E50FF" w:rsidRPr="006E50FF" w:rsidRDefault="006E50FF" w:rsidP="006E50FF">
            <w:pPr>
              <w:spacing w:line="256" w:lineRule="auto"/>
              <w:jc w:val="center"/>
              <w:rPr>
                <w:sz w:val="16"/>
                <w:szCs w:val="16"/>
              </w:rPr>
            </w:pPr>
            <w:r w:rsidRPr="006E50FF">
              <w:rPr>
                <w:sz w:val="16"/>
                <w:szCs w:val="16"/>
              </w:rPr>
              <w:t>$2100</w:t>
            </w:r>
          </w:p>
        </w:tc>
        <w:tc>
          <w:tcPr>
            <w:tcW w:w="1710" w:type="dxa"/>
            <w:vAlign w:val="center"/>
            <w:hideMark/>
          </w:tcPr>
          <w:p w14:paraId="765BFDAF" w14:textId="77777777" w:rsidR="006E50FF" w:rsidRPr="006E50FF" w:rsidRDefault="006E50FF" w:rsidP="006E50FF">
            <w:pPr>
              <w:spacing w:line="256" w:lineRule="auto"/>
              <w:jc w:val="center"/>
              <w:rPr>
                <w:sz w:val="16"/>
                <w:szCs w:val="16"/>
              </w:rPr>
            </w:pPr>
            <w:r w:rsidRPr="006E50FF">
              <w:rPr>
                <w:sz w:val="16"/>
                <w:szCs w:val="16"/>
              </w:rPr>
              <w:t>$1850</w:t>
            </w:r>
          </w:p>
        </w:tc>
      </w:tr>
      <w:tr w:rsidR="006E50FF" w:rsidRPr="006E50FF" w14:paraId="43B13BC3" w14:textId="77777777" w:rsidTr="0088638B">
        <w:trPr>
          <w:cantSplit/>
          <w:tblHeader/>
          <w:jc w:val="center"/>
        </w:trPr>
        <w:tc>
          <w:tcPr>
            <w:tcW w:w="2097" w:type="dxa"/>
            <w:hideMark/>
          </w:tcPr>
          <w:p w14:paraId="6256A6E8" w14:textId="77777777" w:rsidR="006E50FF" w:rsidRPr="006E50FF" w:rsidRDefault="006E50FF" w:rsidP="006E50FF">
            <w:pPr>
              <w:spacing w:line="256" w:lineRule="auto"/>
              <w:jc w:val="both"/>
              <w:rPr>
                <w:sz w:val="16"/>
                <w:szCs w:val="16"/>
              </w:rPr>
            </w:pPr>
            <w:r w:rsidRPr="006E50FF">
              <w:rPr>
                <w:sz w:val="16"/>
                <w:szCs w:val="16"/>
              </w:rPr>
              <w:t>Interstate Rural</w:t>
            </w:r>
          </w:p>
        </w:tc>
        <w:tc>
          <w:tcPr>
            <w:tcW w:w="1143" w:type="dxa"/>
            <w:vAlign w:val="center"/>
            <w:hideMark/>
          </w:tcPr>
          <w:p w14:paraId="314DF08B" w14:textId="77777777" w:rsidR="006E50FF" w:rsidRPr="006E50FF" w:rsidRDefault="006E50FF" w:rsidP="006E50FF">
            <w:pPr>
              <w:spacing w:line="256" w:lineRule="auto"/>
              <w:jc w:val="center"/>
              <w:rPr>
                <w:sz w:val="16"/>
                <w:szCs w:val="16"/>
              </w:rPr>
            </w:pPr>
            <w:r w:rsidRPr="006E50FF">
              <w:rPr>
                <w:sz w:val="16"/>
                <w:szCs w:val="16"/>
              </w:rPr>
              <w:t>$1575</w:t>
            </w:r>
          </w:p>
        </w:tc>
        <w:tc>
          <w:tcPr>
            <w:tcW w:w="1710" w:type="dxa"/>
            <w:vAlign w:val="center"/>
            <w:hideMark/>
          </w:tcPr>
          <w:p w14:paraId="1611CB4E" w14:textId="77777777" w:rsidR="006E50FF" w:rsidRPr="006E50FF" w:rsidRDefault="006E50FF" w:rsidP="006E50FF">
            <w:pPr>
              <w:spacing w:line="256" w:lineRule="auto"/>
              <w:jc w:val="center"/>
              <w:rPr>
                <w:sz w:val="16"/>
                <w:szCs w:val="16"/>
              </w:rPr>
            </w:pPr>
            <w:r w:rsidRPr="006E50FF">
              <w:rPr>
                <w:sz w:val="16"/>
                <w:szCs w:val="16"/>
              </w:rPr>
              <w:t>$1387.50</w:t>
            </w:r>
          </w:p>
        </w:tc>
      </w:tr>
      <w:tr w:rsidR="006E50FF" w:rsidRPr="006E50FF" w14:paraId="0A2B9BDA" w14:textId="77777777" w:rsidTr="0088638B">
        <w:trPr>
          <w:cantSplit/>
          <w:tblHeader/>
          <w:jc w:val="center"/>
        </w:trPr>
        <w:tc>
          <w:tcPr>
            <w:tcW w:w="2097" w:type="dxa"/>
            <w:hideMark/>
          </w:tcPr>
          <w:p w14:paraId="014E8C2C" w14:textId="77777777" w:rsidR="006E50FF" w:rsidRPr="006E50FF" w:rsidRDefault="006E50FF" w:rsidP="006E50FF">
            <w:pPr>
              <w:spacing w:line="256" w:lineRule="auto"/>
              <w:jc w:val="both"/>
              <w:rPr>
                <w:sz w:val="16"/>
                <w:szCs w:val="16"/>
              </w:rPr>
            </w:pPr>
            <w:r w:rsidRPr="006E50FF">
              <w:rPr>
                <w:sz w:val="16"/>
                <w:szCs w:val="16"/>
              </w:rPr>
              <w:t xml:space="preserve">Freeway/Expressway Urban </w:t>
            </w:r>
          </w:p>
        </w:tc>
        <w:tc>
          <w:tcPr>
            <w:tcW w:w="1143" w:type="dxa"/>
            <w:vAlign w:val="center"/>
            <w:hideMark/>
          </w:tcPr>
          <w:p w14:paraId="3D642FC7" w14:textId="77777777" w:rsidR="006E50FF" w:rsidRPr="006E50FF" w:rsidRDefault="006E50FF" w:rsidP="006E50FF">
            <w:pPr>
              <w:spacing w:line="256" w:lineRule="auto"/>
              <w:jc w:val="center"/>
              <w:rPr>
                <w:sz w:val="16"/>
                <w:szCs w:val="16"/>
              </w:rPr>
            </w:pPr>
            <w:r w:rsidRPr="006E50FF">
              <w:rPr>
                <w:sz w:val="16"/>
                <w:szCs w:val="16"/>
              </w:rPr>
              <w:t>$2100</w:t>
            </w:r>
          </w:p>
        </w:tc>
        <w:tc>
          <w:tcPr>
            <w:tcW w:w="1710" w:type="dxa"/>
            <w:vAlign w:val="center"/>
            <w:hideMark/>
          </w:tcPr>
          <w:p w14:paraId="4789BD2F" w14:textId="77777777" w:rsidR="006E50FF" w:rsidRPr="006E50FF" w:rsidRDefault="006E50FF" w:rsidP="006E50FF">
            <w:pPr>
              <w:spacing w:line="256" w:lineRule="auto"/>
              <w:jc w:val="center"/>
              <w:rPr>
                <w:sz w:val="16"/>
                <w:szCs w:val="16"/>
              </w:rPr>
            </w:pPr>
            <w:r w:rsidRPr="006E50FF">
              <w:rPr>
                <w:sz w:val="16"/>
                <w:szCs w:val="16"/>
              </w:rPr>
              <w:t>$1850</w:t>
            </w:r>
          </w:p>
        </w:tc>
      </w:tr>
      <w:tr w:rsidR="006E50FF" w:rsidRPr="006E50FF" w14:paraId="6718CB5E" w14:textId="77777777" w:rsidTr="0088638B">
        <w:trPr>
          <w:cantSplit/>
          <w:tblHeader/>
          <w:jc w:val="center"/>
        </w:trPr>
        <w:tc>
          <w:tcPr>
            <w:tcW w:w="2097" w:type="dxa"/>
            <w:hideMark/>
          </w:tcPr>
          <w:p w14:paraId="4606C3A0" w14:textId="77777777" w:rsidR="006E50FF" w:rsidRPr="006E50FF" w:rsidRDefault="006E50FF" w:rsidP="006E50FF">
            <w:pPr>
              <w:spacing w:line="256" w:lineRule="auto"/>
              <w:jc w:val="both"/>
              <w:rPr>
                <w:sz w:val="16"/>
                <w:szCs w:val="16"/>
              </w:rPr>
            </w:pPr>
            <w:r w:rsidRPr="006E50FF">
              <w:rPr>
                <w:sz w:val="16"/>
                <w:szCs w:val="16"/>
              </w:rPr>
              <w:t>Freeway/Expressway Rural</w:t>
            </w:r>
          </w:p>
        </w:tc>
        <w:tc>
          <w:tcPr>
            <w:tcW w:w="1143" w:type="dxa"/>
            <w:vAlign w:val="center"/>
            <w:hideMark/>
          </w:tcPr>
          <w:p w14:paraId="0C8BAB44" w14:textId="77777777" w:rsidR="006E50FF" w:rsidRPr="006E50FF" w:rsidRDefault="006E50FF" w:rsidP="006E50FF">
            <w:pPr>
              <w:spacing w:line="256" w:lineRule="auto"/>
              <w:jc w:val="center"/>
              <w:rPr>
                <w:sz w:val="16"/>
                <w:szCs w:val="16"/>
              </w:rPr>
            </w:pPr>
            <w:r w:rsidRPr="006E50FF">
              <w:rPr>
                <w:sz w:val="16"/>
                <w:szCs w:val="16"/>
              </w:rPr>
              <w:t>$1575</w:t>
            </w:r>
          </w:p>
        </w:tc>
        <w:tc>
          <w:tcPr>
            <w:tcW w:w="1710" w:type="dxa"/>
            <w:vAlign w:val="center"/>
            <w:hideMark/>
          </w:tcPr>
          <w:p w14:paraId="653616E2" w14:textId="77777777" w:rsidR="006E50FF" w:rsidRPr="006E50FF" w:rsidRDefault="006E50FF" w:rsidP="006E50FF">
            <w:pPr>
              <w:spacing w:line="256" w:lineRule="auto"/>
              <w:jc w:val="center"/>
              <w:rPr>
                <w:sz w:val="16"/>
                <w:szCs w:val="16"/>
              </w:rPr>
            </w:pPr>
            <w:r w:rsidRPr="006E50FF">
              <w:rPr>
                <w:sz w:val="16"/>
                <w:szCs w:val="16"/>
              </w:rPr>
              <w:t>$1387.50</w:t>
            </w:r>
          </w:p>
        </w:tc>
      </w:tr>
      <w:tr w:rsidR="006E50FF" w:rsidRPr="006E50FF" w14:paraId="73056AFB" w14:textId="77777777" w:rsidTr="0088638B">
        <w:trPr>
          <w:cantSplit/>
          <w:tblHeader/>
          <w:jc w:val="center"/>
        </w:trPr>
        <w:tc>
          <w:tcPr>
            <w:tcW w:w="2097" w:type="dxa"/>
            <w:hideMark/>
          </w:tcPr>
          <w:p w14:paraId="3D3ECB3C" w14:textId="77777777" w:rsidR="006E50FF" w:rsidRPr="006E50FF" w:rsidRDefault="006E50FF" w:rsidP="006E50FF">
            <w:pPr>
              <w:spacing w:line="256" w:lineRule="auto"/>
              <w:jc w:val="both"/>
              <w:rPr>
                <w:sz w:val="16"/>
                <w:szCs w:val="16"/>
              </w:rPr>
            </w:pPr>
            <w:r w:rsidRPr="006E50FF">
              <w:rPr>
                <w:sz w:val="16"/>
                <w:szCs w:val="16"/>
              </w:rPr>
              <w:t>Principal Arterial Urban</w:t>
            </w:r>
          </w:p>
        </w:tc>
        <w:tc>
          <w:tcPr>
            <w:tcW w:w="1143" w:type="dxa"/>
            <w:vAlign w:val="center"/>
            <w:hideMark/>
          </w:tcPr>
          <w:p w14:paraId="2D07A0D4" w14:textId="77777777" w:rsidR="006E50FF" w:rsidRPr="006E50FF" w:rsidRDefault="006E50FF" w:rsidP="006E50FF">
            <w:pPr>
              <w:spacing w:line="256" w:lineRule="auto"/>
              <w:jc w:val="center"/>
              <w:rPr>
                <w:sz w:val="16"/>
                <w:szCs w:val="16"/>
              </w:rPr>
            </w:pPr>
            <w:r w:rsidRPr="006E50FF">
              <w:rPr>
                <w:sz w:val="16"/>
                <w:szCs w:val="16"/>
              </w:rPr>
              <w:t>$1575</w:t>
            </w:r>
          </w:p>
        </w:tc>
        <w:tc>
          <w:tcPr>
            <w:tcW w:w="1710" w:type="dxa"/>
            <w:vAlign w:val="center"/>
            <w:hideMark/>
          </w:tcPr>
          <w:p w14:paraId="18B1AB4D" w14:textId="77777777" w:rsidR="006E50FF" w:rsidRPr="006E50FF" w:rsidRDefault="006E50FF" w:rsidP="006E50FF">
            <w:pPr>
              <w:spacing w:line="256" w:lineRule="auto"/>
              <w:jc w:val="center"/>
              <w:rPr>
                <w:sz w:val="16"/>
                <w:szCs w:val="16"/>
              </w:rPr>
            </w:pPr>
            <w:r w:rsidRPr="006E50FF">
              <w:rPr>
                <w:sz w:val="16"/>
                <w:szCs w:val="16"/>
              </w:rPr>
              <w:t>$1387.50</w:t>
            </w:r>
          </w:p>
        </w:tc>
      </w:tr>
      <w:tr w:rsidR="006E50FF" w:rsidRPr="006E50FF" w14:paraId="45AA432B" w14:textId="77777777" w:rsidTr="0088638B">
        <w:trPr>
          <w:cantSplit/>
          <w:tblHeader/>
          <w:jc w:val="center"/>
        </w:trPr>
        <w:tc>
          <w:tcPr>
            <w:tcW w:w="2097" w:type="dxa"/>
            <w:hideMark/>
          </w:tcPr>
          <w:p w14:paraId="31E6205C" w14:textId="77777777" w:rsidR="006E50FF" w:rsidRPr="006E50FF" w:rsidRDefault="006E50FF" w:rsidP="006E50FF">
            <w:pPr>
              <w:spacing w:line="256" w:lineRule="auto"/>
              <w:jc w:val="both"/>
              <w:rPr>
                <w:sz w:val="16"/>
                <w:szCs w:val="16"/>
              </w:rPr>
            </w:pPr>
            <w:r w:rsidRPr="006E50FF">
              <w:rPr>
                <w:sz w:val="16"/>
                <w:szCs w:val="16"/>
              </w:rPr>
              <w:t>Principal Arterial Rural</w:t>
            </w:r>
          </w:p>
        </w:tc>
        <w:tc>
          <w:tcPr>
            <w:tcW w:w="1143" w:type="dxa"/>
            <w:vAlign w:val="center"/>
            <w:hideMark/>
          </w:tcPr>
          <w:p w14:paraId="647448F4" w14:textId="77777777" w:rsidR="006E50FF" w:rsidRPr="006E50FF" w:rsidRDefault="006E50FF" w:rsidP="006E50FF">
            <w:pPr>
              <w:spacing w:line="256" w:lineRule="auto"/>
              <w:jc w:val="center"/>
              <w:rPr>
                <w:sz w:val="16"/>
                <w:szCs w:val="16"/>
              </w:rPr>
            </w:pPr>
            <w:r w:rsidRPr="006E50FF">
              <w:rPr>
                <w:sz w:val="16"/>
                <w:szCs w:val="16"/>
              </w:rPr>
              <w:t>$1050</w:t>
            </w:r>
          </w:p>
        </w:tc>
        <w:tc>
          <w:tcPr>
            <w:tcW w:w="1710" w:type="dxa"/>
            <w:vAlign w:val="center"/>
            <w:hideMark/>
          </w:tcPr>
          <w:p w14:paraId="5C1FA92E" w14:textId="77777777" w:rsidR="006E50FF" w:rsidRPr="006E50FF" w:rsidRDefault="006E50FF" w:rsidP="006E50FF">
            <w:pPr>
              <w:spacing w:line="256" w:lineRule="auto"/>
              <w:jc w:val="center"/>
              <w:rPr>
                <w:sz w:val="16"/>
                <w:szCs w:val="16"/>
              </w:rPr>
            </w:pPr>
            <w:r w:rsidRPr="006E50FF">
              <w:rPr>
                <w:sz w:val="16"/>
                <w:szCs w:val="16"/>
              </w:rPr>
              <w:t>$925</w:t>
            </w:r>
          </w:p>
        </w:tc>
      </w:tr>
      <w:tr w:rsidR="006E50FF" w:rsidRPr="006E50FF" w14:paraId="51CC1587" w14:textId="77777777" w:rsidTr="0088638B">
        <w:trPr>
          <w:cantSplit/>
          <w:tblHeader/>
          <w:jc w:val="center"/>
        </w:trPr>
        <w:tc>
          <w:tcPr>
            <w:tcW w:w="2097" w:type="dxa"/>
            <w:hideMark/>
          </w:tcPr>
          <w:p w14:paraId="2FDFB352" w14:textId="77777777" w:rsidR="006E50FF" w:rsidRPr="006E50FF" w:rsidRDefault="006E50FF" w:rsidP="006E50FF">
            <w:pPr>
              <w:spacing w:line="256" w:lineRule="auto"/>
              <w:jc w:val="both"/>
              <w:rPr>
                <w:sz w:val="16"/>
                <w:szCs w:val="16"/>
              </w:rPr>
            </w:pPr>
            <w:r w:rsidRPr="006E50FF">
              <w:rPr>
                <w:sz w:val="16"/>
                <w:szCs w:val="16"/>
              </w:rPr>
              <w:t>Minor Arterial Urban</w:t>
            </w:r>
          </w:p>
        </w:tc>
        <w:tc>
          <w:tcPr>
            <w:tcW w:w="1143" w:type="dxa"/>
            <w:vAlign w:val="center"/>
            <w:hideMark/>
          </w:tcPr>
          <w:p w14:paraId="33EF1D71" w14:textId="77777777" w:rsidR="006E50FF" w:rsidRPr="006E50FF" w:rsidRDefault="006E50FF" w:rsidP="006E50FF">
            <w:pPr>
              <w:spacing w:line="256" w:lineRule="auto"/>
              <w:jc w:val="center"/>
              <w:rPr>
                <w:sz w:val="16"/>
                <w:szCs w:val="16"/>
              </w:rPr>
            </w:pPr>
            <w:r w:rsidRPr="006E50FF">
              <w:rPr>
                <w:sz w:val="16"/>
                <w:szCs w:val="16"/>
              </w:rPr>
              <w:t>$1050</w:t>
            </w:r>
          </w:p>
        </w:tc>
        <w:tc>
          <w:tcPr>
            <w:tcW w:w="1710" w:type="dxa"/>
            <w:vAlign w:val="center"/>
            <w:hideMark/>
          </w:tcPr>
          <w:p w14:paraId="77494AEB" w14:textId="77777777" w:rsidR="006E50FF" w:rsidRPr="006E50FF" w:rsidRDefault="006E50FF" w:rsidP="006E50FF">
            <w:pPr>
              <w:spacing w:line="256" w:lineRule="auto"/>
              <w:jc w:val="center"/>
              <w:rPr>
                <w:sz w:val="16"/>
                <w:szCs w:val="16"/>
              </w:rPr>
            </w:pPr>
            <w:r w:rsidRPr="006E50FF">
              <w:rPr>
                <w:sz w:val="16"/>
                <w:szCs w:val="16"/>
              </w:rPr>
              <w:t>$925</w:t>
            </w:r>
          </w:p>
        </w:tc>
      </w:tr>
      <w:tr w:rsidR="006E50FF" w:rsidRPr="006E50FF" w14:paraId="677E370F" w14:textId="77777777" w:rsidTr="0088638B">
        <w:trPr>
          <w:cantSplit/>
          <w:tblHeader/>
          <w:jc w:val="center"/>
        </w:trPr>
        <w:tc>
          <w:tcPr>
            <w:tcW w:w="2097" w:type="dxa"/>
            <w:hideMark/>
          </w:tcPr>
          <w:p w14:paraId="1D62B523" w14:textId="77777777" w:rsidR="006E50FF" w:rsidRPr="006E50FF" w:rsidRDefault="006E50FF" w:rsidP="006E50FF">
            <w:pPr>
              <w:spacing w:line="256" w:lineRule="auto"/>
              <w:jc w:val="both"/>
              <w:rPr>
                <w:sz w:val="16"/>
                <w:szCs w:val="16"/>
              </w:rPr>
            </w:pPr>
            <w:r w:rsidRPr="006E50FF">
              <w:rPr>
                <w:sz w:val="16"/>
                <w:szCs w:val="16"/>
              </w:rPr>
              <w:t>Minor Arterial Rural</w:t>
            </w:r>
          </w:p>
        </w:tc>
        <w:tc>
          <w:tcPr>
            <w:tcW w:w="1143" w:type="dxa"/>
            <w:vAlign w:val="center"/>
            <w:hideMark/>
          </w:tcPr>
          <w:p w14:paraId="6ECBB210" w14:textId="77777777" w:rsidR="006E50FF" w:rsidRPr="006E50FF" w:rsidRDefault="006E50FF" w:rsidP="006E50FF">
            <w:pPr>
              <w:spacing w:line="256" w:lineRule="auto"/>
              <w:jc w:val="center"/>
              <w:rPr>
                <w:sz w:val="16"/>
                <w:szCs w:val="16"/>
              </w:rPr>
            </w:pPr>
            <w:r w:rsidRPr="006E50FF">
              <w:rPr>
                <w:sz w:val="16"/>
                <w:szCs w:val="16"/>
              </w:rPr>
              <w:t>$525</w:t>
            </w:r>
          </w:p>
        </w:tc>
        <w:tc>
          <w:tcPr>
            <w:tcW w:w="1710" w:type="dxa"/>
            <w:vAlign w:val="center"/>
            <w:hideMark/>
          </w:tcPr>
          <w:p w14:paraId="177B126A" w14:textId="77777777" w:rsidR="006E50FF" w:rsidRPr="006E50FF" w:rsidRDefault="006E50FF" w:rsidP="006E50FF">
            <w:pPr>
              <w:spacing w:line="256" w:lineRule="auto"/>
              <w:jc w:val="center"/>
              <w:rPr>
                <w:sz w:val="16"/>
                <w:szCs w:val="16"/>
              </w:rPr>
            </w:pPr>
            <w:r w:rsidRPr="006E50FF">
              <w:rPr>
                <w:sz w:val="16"/>
                <w:szCs w:val="16"/>
              </w:rPr>
              <w:t>$462.50</w:t>
            </w:r>
          </w:p>
        </w:tc>
      </w:tr>
      <w:tr w:rsidR="006E50FF" w:rsidRPr="006E50FF" w14:paraId="7430CCF3" w14:textId="77777777" w:rsidTr="0088638B">
        <w:trPr>
          <w:cantSplit/>
          <w:tblHeader/>
          <w:jc w:val="center"/>
        </w:trPr>
        <w:tc>
          <w:tcPr>
            <w:tcW w:w="2097" w:type="dxa"/>
            <w:hideMark/>
          </w:tcPr>
          <w:p w14:paraId="70133062" w14:textId="77777777" w:rsidR="006E50FF" w:rsidRPr="006E50FF" w:rsidRDefault="006E50FF" w:rsidP="006E50FF">
            <w:pPr>
              <w:spacing w:line="256" w:lineRule="auto"/>
              <w:jc w:val="both"/>
              <w:rPr>
                <w:sz w:val="16"/>
                <w:szCs w:val="16"/>
              </w:rPr>
            </w:pPr>
            <w:r w:rsidRPr="006E50FF">
              <w:rPr>
                <w:sz w:val="16"/>
                <w:szCs w:val="16"/>
              </w:rPr>
              <w:t>Major Collector Urban</w:t>
            </w:r>
          </w:p>
        </w:tc>
        <w:tc>
          <w:tcPr>
            <w:tcW w:w="1143" w:type="dxa"/>
            <w:vAlign w:val="center"/>
            <w:hideMark/>
          </w:tcPr>
          <w:p w14:paraId="2B341C0F" w14:textId="77777777" w:rsidR="006E50FF" w:rsidRPr="006E50FF" w:rsidRDefault="006E50FF" w:rsidP="006E50FF">
            <w:pPr>
              <w:spacing w:line="256" w:lineRule="auto"/>
              <w:jc w:val="center"/>
              <w:rPr>
                <w:sz w:val="16"/>
                <w:szCs w:val="16"/>
              </w:rPr>
            </w:pPr>
            <w:r w:rsidRPr="006E50FF">
              <w:rPr>
                <w:sz w:val="16"/>
                <w:szCs w:val="16"/>
              </w:rPr>
              <w:t>$525</w:t>
            </w:r>
          </w:p>
        </w:tc>
        <w:tc>
          <w:tcPr>
            <w:tcW w:w="1710" w:type="dxa"/>
            <w:vAlign w:val="center"/>
            <w:hideMark/>
          </w:tcPr>
          <w:p w14:paraId="09253A0D" w14:textId="77777777" w:rsidR="006E50FF" w:rsidRPr="006E50FF" w:rsidRDefault="006E50FF" w:rsidP="006E50FF">
            <w:pPr>
              <w:spacing w:line="256" w:lineRule="auto"/>
              <w:jc w:val="center"/>
              <w:rPr>
                <w:sz w:val="16"/>
                <w:szCs w:val="16"/>
              </w:rPr>
            </w:pPr>
            <w:r w:rsidRPr="006E50FF">
              <w:rPr>
                <w:sz w:val="16"/>
                <w:szCs w:val="16"/>
              </w:rPr>
              <w:t>$462.50</w:t>
            </w:r>
          </w:p>
        </w:tc>
      </w:tr>
      <w:tr w:rsidR="006E50FF" w:rsidRPr="006E50FF" w14:paraId="1866A871" w14:textId="77777777" w:rsidTr="0088638B">
        <w:trPr>
          <w:cantSplit/>
          <w:tblHeader/>
          <w:jc w:val="center"/>
        </w:trPr>
        <w:tc>
          <w:tcPr>
            <w:tcW w:w="2097" w:type="dxa"/>
            <w:hideMark/>
          </w:tcPr>
          <w:p w14:paraId="0F338A61" w14:textId="77777777" w:rsidR="006E50FF" w:rsidRPr="006E50FF" w:rsidRDefault="006E50FF" w:rsidP="006E50FF">
            <w:pPr>
              <w:spacing w:line="256" w:lineRule="auto"/>
              <w:jc w:val="both"/>
              <w:rPr>
                <w:sz w:val="16"/>
                <w:szCs w:val="16"/>
              </w:rPr>
            </w:pPr>
            <w:r w:rsidRPr="006E50FF">
              <w:rPr>
                <w:sz w:val="16"/>
                <w:szCs w:val="16"/>
              </w:rPr>
              <w:t>Major Collector Rural</w:t>
            </w:r>
          </w:p>
        </w:tc>
        <w:tc>
          <w:tcPr>
            <w:tcW w:w="1143" w:type="dxa"/>
            <w:vAlign w:val="center"/>
            <w:hideMark/>
          </w:tcPr>
          <w:p w14:paraId="475067B5" w14:textId="77777777" w:rsidR="006E50FF" w:rsidRPr="006E50FF" w:rsidRDefault="006E50FF" w:rsidP="006E50FF">
            <w:pPr>
              <w:spacing w:line="256" w:lineRule="auto"/>
              <w:jc w:val="center"/>
              <w:rPr>
                <w:sz w:val="16"/>
                <w:szCs w:val="16"/>
              </w:rPr>
            </w:pPr>
            <w:r w:rsidRPr="006E50FF">
              <w:rPr>
                <w:sz w:val="16"/>
                <w:szCs w:val="16"/>
              </w:rPr>
              <w:t>$210</w:t>
            </w:r>
          </w:p>
        </w:tc>
        <w:tc>
          <w:tcPr>
            <w:tcW w:w="1710" w:type="dxa"/>
            <w:vAlign w:val="center"/>
            <w:hideMark/>
          </w:tcPr>
          <w:p w14:paraId="72A754A1" w14:textId="77777777" w:rsidR="006E50FF" w:rsidRPr="006E50FF" w:rsidRDefault="006E50FF" w:rsidP="006E50FF">
            <w:pPr>
              <w:spacing w:line="256" w:lineRule="auto"/>
              <w:jc w:val="center"/>
              <w:rPr>
                <w:sz w:val="16"/>
                <w:szCs w:val="16"/>
              </w:rPr>
            </w:pPr>
            <w:r w:rsidRPr="006E50FF">
              <w:rPr>
                <w:sz w:val="16"/>
                <w:szCs w:val="16"/>
              </w:rPr>
              <w:t>$185</w:t>
            </w:r>
          </w:p>
        </w:tc>
      </w:tr>
      <w:tr w:rsidR="006E50FF" w:rsidRPr="006E50FF" w14:paraId="2DBA5ADB" w14:textId="77777777" w:rsidTr="0088638B">
        <w:trPr>
          <w:cantSplit/>
          <w:tblHeader/>
          <w:jc w:val="center"/>
        </w:trPr>
        <w:tc>
          <w:tcPr>
            <w:tcW w:w="2097" w:type="dxa"/>
            <w:hideMark/>
          </w:tcPr>
          <w:p w14:paraId="3558A595" w14:textId="77777777" w:rsidR="006E50FF" w:rsidRPr="006E50FF" w:rsidRDefault="006E50FF" w:rsidP="006E50FF">
            <w:pPr>
              <w:spacing w:line="256" w:lineRule="auto"/>
              <w:jc w:val="both"/>
              <w:rPr>
                <w:sz w:val="16"/>
                <w:szCs w:val="16"/>
              </w:rPr>
            </w:pPr>
            <w:r w:rsidRPr="006E50FF">
              <w:rPr>
                <w:sz w:val="16"/>
                <w:szCs w:val="16"/>
              </w:rPr>
              <w:t>Minor Collector Urban</w:t>
            </w:r>
          </w:p>
        </w:tc>
        <w:tc>
          <w:tcPr>
            <w:tcW w:w="1143" w:type="dxa"/>
            <w:vAlign w:val="center"/>
            <w:hideMark/>
          </w:tcPr>
          <w:p w14:paraId="24D51741" w14:textId="77777777" w:rsidR="006E50FF" w:rsidRPr="006E50FF" w:rsidRDefault="006E50FF" w:rsidP="006E50FF">
            <w:pPr>
              <w:spacing w:line="256" w:lineRule="auto"/>
              <w:jc w:val="center"/>
              <w:rPr>
                <w:sz w:val="16"/>
                <w:szCs w:val="16"/>
              </w:rPr>
            </w:pPr>
            <w:r w:rsidRPr="006E50FF">
              <w:rPr>
                <w:sz w:val="16"/>
                <w:szCs w:val="16"/>
              </w:rPr>
              <w:t>$525</w:t>
            </w:r>
          </w:p>
        </w:tc>
        <w:tc>
          <w:tcPr>
            <w:tcW w:w="1710" w:type="dxa"/>
            <w:vAlign w:val="center"/>
            <w:hideMark/>
          </w:tcPr>
          <w:p w14:paraId="1DE9CF17" w14:textId="77777777" w:rsidR="006E50FF" w:rsidRPr="006E50FF" w:rsidRDefault="006E50FF" w:rsidP="006E50FF">
            <w:pPr>
              <w:spacing w:line="256" w:lineRule="auto"/>
              <w:jc w:val="center"/>
              <w:rPr>
                <w:sz w:val="16"/>
                <w:szCs w:val="16"/>
              </w:rPr>
            </w:pPr>
            <w:r w:rsidRPr="006E50FF">
              <w:rPr>
                <w:sz w:val="16"/>
                <w:szCs w:val="16"/>
              </w:rPr>
              <w:t>$462.50</w:t>
            </w:r>
          </w:p>
        </w:tc>
      </w:tr>
      <w:tr w:rsidR="006E50FF" w:rsidRPr="006E50FF" w14:paraId="1F4B3E8F" w14:textId="77777777" w:rsidTr="0088638B">
        <w:trPr>
          <w:cantSplit/>
          <w:tblHeader/>
          <w:jc w:val="center"/>
        </w:trPr>
        <w:tc>
          <w:tcPr>
            <w:tcW w:w="2097" w:type="dxa"/>
            <w:hideMark/>
          </w:tcPr>
          <w:p w14:paraId="613C518F" w14:textId="77777777" w:rsidR="006E50FF" w:rsidRPr="006E50FF" w:rsidRDefault="006E50FF" w:rsidP="006E50FF">
            <w:pPr>
              <w:spacing w:line="256" w:lineRule="auto"/>
              <w:jc w:val="both"/>
              <w:rPr>
                <w:sz w:val="16"/>
                <w:szCs w:val="16"/>
              </w:rPr>
            </w:pPr>
            <w:r w:rsidRPr="006E50FF">
              <w:rPr>
                <w:sz w:val="16"/>
                <w:szCs w:val="16"/>
              </w:rPr>
              <w:t>Minor Collector Rural</w:t>
            </w:r>
          </w:p>
        </w:tc>
        <w:tc>
          <w:tcPr>
            <w:tcW w:w="1143" w:type="dxa"/>
            <w:vAlign w:val="center"/>
            <w:hideMark/>
          </w:tcPr>
          <w:p w14:paraId="6211B829" w14:textId="77777777" w:rsidR="006E50FF" w:rsidRPr="006E50FF" w:rsidRDefault="006E50FF" w:rsidP="006E50FF">
            <w:pPr>
              <w:spacing w:line="256" w:lineRule="auto"/>
              <w:jc w:val="center"/>
              <w:rPr>
                <w:sz w:val="16"/>
                <w:szCs w:val="16"/>
              </w:rPr>
            </w:pPr>
            <w:r w:rsidRPr="006E50FF">
              <w:rPr>
                <w:sz w:val="16"/>
                <w:szCs w:val="16"/>
              </w:rPr>
              <w:t>$210</w:t>
            </w:r>
          </w:p>
        </w:tc>
        <w:tc>
          <w:tcPr>
            <w:tcW w:w="1710" w:type="dxa"/>
            <w:vAlign w:val="center"/>
            <w:hideMark/>
          </w:tcPr>
          <w:p w14:paraId="5CD2D53C" w14:textId="77777777" w:rsidR="006E50FF" w:rsidRPr="006E50FF" w:rsidRDefault="006E50FF" w:rsidP="006E50FF">
            <w:pPr>
              <w:spacing w:line="256" w:lineRule="auto"/>
              <w:jc w:val="center"/>
              <w:rPr>
                <w:sz w:val="16"/>
                <w:szCs w:val="16"/>
              </w:rPr>
            </w:pPr>
            <w:r w:rsidRPr="006E50FF">
              <w:rPr>
                <w:sz w:val="16"/>
                <w:szCs w:val="16"/>
              </w:rPr>
              <w:t>$185</w:t>
            </w:r>
          </w:p>
        </w:tc>
      </w:tr>
    </w:tbl>
    <w:p w14:paraId="24ABAC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90C09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All permit fees must be paid to the department by check, money order, or approved alternative. The department will not accept cash.</w:t>
      </w:r>
    </w:p>
    <w:p w14:paraId="0DCA6E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department may reduce fees in exchange for shared resources.</w:t>
      </w:r>
    </w:p>
    <w:p w14:paraId="2A0996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department may reduce fees for those applicants who erect facilities, attachments or cameras for the use of the department or other state agencies or political subdivisions to conduct departmental or state work.</w:t>
      </w:r>
    </w:p>
    <w:p w14:paraId="4CEFBD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24464C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25:98 (January 1999), amended LR 30:272 (February 2004), amended by the Department of Transportation and Development, Office of Secretary, LR 48:2189 (August 2022), amended by the Department of Transportation and Development, Office of Project Delivery, LR 52:1525 (September 2026).</w:t>
      </w:r>
    </w:p>
    <w:p w14:paraId="37EC7CB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§1509.</w:t>
      </w:r>
      <w:r w:rsidRPr="006E50FF">
        <w:rPr>
          <w:b/>
          <w:kern w:val="2"/>
        </w:rPr>
        <w:tab/>
        <w:t>Specific Standards for Installation and Operation of Fiber-Optic Facilities</w:t>
      </w:r>
    </w:p>
    <w:p w14:paraId="0678D4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Repeater boxes shall be placed outside of the right-of-way, unless otherwise approved by the department.</w:t>
      </w:r>
    </w:p>
    <w:p w14:paraId="648EDD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Parallel installations shall be located on a uniform alignment to the right-of-way line and within 6 inches of the approved alignment.</w:t>
      </w:r>
    </w:p>
    <w:p w14:paraId="57E0B62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Cables Installed Parallel to the Highway</w:t>
      </w:r>
    </w:p>
    <w:p w14:paraId="62B9C3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 addition to the requirements enumerated above, the following requirements shall apply to cables installed parallel to the highway.</w:t>
      </w:r>
    </w:p>
    <w:p w14:paraId="0BA0095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Installations shall occupy available space within the back 10 feet of the right-of-way (located on the side most distant from the traveled roadway), except where, upon </w:t>
      </w:r>
      <w:r w:rsidRPr="006E50FF">
        <w:rPr>
          <w:kern w:val="2"/>
        </w:rPr>
        <w:t>showing of actual necessity, a permit is issued for another location.</w:t>
      </w:r>
    </w:p>
    <w:p w14:paraId="1592247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Installations shall have a minimum earth cover of 36 inches.</w:t>
      </w:r>
    </w:p>
    <w:p w14:paraId="228CEFD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Installations shall have a minimum clearance of 24 inches below existing or proposed drainage structures, unless otherwise approved by the department.</w:t>
      </w:r>
    </w:p>
    <w:p w14:paraId="13DA27C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There shall be no installation of cable within the median.</w:t>
      </w:r>
    </w:p>
    <w:p w14:paraId="3334F6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general, installation of cable shall be as close to the right-of-way line as possible. The order of preferred locations for installing cable shall be:</w:t>
      </w:r>
    </w:p>
    <w:p w14:paraId="11D6EF5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between the control-of-access and the right-of-way;</w:t>
      </w:r>
    </w:p>
    <w:p w14:paraId="7DA9393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between control-of-access right-of-way and shoulder if environmental conditions allow;</w:t>
      </w:r>
    </w:p>
    <w:p w14:paraId="6004036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 longitudinal elevated structure.</w:t>
      </w:r>
    </w:p>
    <w:p w14:paraId="1503C1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Cables Crossing the Highway</w:t>
      </w:r>
    </w:p>
    <w:p w14:paraId="4C296D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Crossings shall have at least 5 feet of cover below the roadway and 24 inches of cover below ditches or drainage structures.</w:t>
      </w:r>
    </w:p>
    <w:p w14:paraId="6C5B94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Crossings shall be made at as nearly right angles to the highway as possible. No existing drainage structure under the highway may be used for this purpose.</w:t>
      </w:r>
    </w:p>
    <w:p w14:paraId="105EF4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Construction methods used shall be in accordance with the following requirements:</w:t>
      </w:r>
    </w:p>
    <w:p w14:paraId="25D61E4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Cutting the surface or tunneling under it is specifically prohibited.</w:t>
      </w:r>
    </w:p>
    <w:p w14:paraId="22544C7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Installation shall be made either by boring or jacking under the highway from ditch bottom to ditch bottom. In the absence of ditches, or along sections of highway with curb or gutter, boring or jacking shall extend beyond the outside edge of the traveled way to a point at least equal to three times the vertical difference between the elevation of the roadway surfacing and the elevation of the top of the cable. Where width of right-of-way is insufficient to enable compliance with this requirement or where it is necessary to make a connection to an existing parallel facility which precludes compliance, the distance shall be computed to the right-of-way line or the parallel facility. Any voids or over breaks resulting from this task shall be backfilled with grout consisting of a cement mortar or a slurry of fine sand or clay, as conditions require. Excavating an open ditch to the edge of the pavement and boring and jacking the remainder of the distance is prohibited. Jacking and boring shall be done in accordance with Section 728 of the </w:t>
      </w:r>
      <w:r w:rsidRPr="006E50FF">
        <w:rPr>
          <w:i/>
          <w:iCs/>
          <w:kern w:val="2"/>
        </w:rPr>
        <w:t>Louisiana Standard Specifications for Roads and Bridges</w:t>
      </w:r>
      <w:r w:rsidRPr="006E50FF">
        <w:rPr>
          <w:kern w:val="2"/>
        </w:rPr>
        <w:t>, January 1, 2026 edition.</w:t>
      </w:r>
    </w:p>
    <w:p w14:paraId="1706D7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7C8590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amended by the Department of Transportation and Development, Office of Project Delivery, LR 52:1526 (September 2026).</w:t>
      </w:r>
    </w:p>
    <w:p w14:paraId="2B12EF1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§1511.</w:t>
      </w:r>
      <w:r w:rsidRPr="006E50FF">
        <w:rPr>
          <w:b/>
          <w:kern w:val="2"/>
        </w:rPr>
        <w:tab/>
        <w:t xml:space="preserve">Fees for Fiber-Optic Facilities Permits </w:t>
      </w:r>
    </w:p>
    <w:p w14:paraId="106BDF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flat fee of $5,000.00 per mile shall apply to fiber optic telecommunications installations placed within state controlled access highway rights-of-way. </w:t>
      </w:r>
    </w:p>
    <w:p w14:paraId="155747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department may reduce fees in exchange for shared resources.</w:t>
      </w:r>
    </w:p>
    <w:p w14:paraId="5068DD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The department may reduce fees for its agents, i.e., those applicants who erect facilities on behalf of the department in order to conduct departmental work.</w:t>
      </w:r>
    </w:p>
    <w:p w14:paraId="61FBEE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18FF95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25:2465 (December 1999), amended by the Department of Transportation and Development, Office of Project Delivery, LR 52:1526 (September 2026).</w:t>
      </w:r>
    </w:p>
    <w:p w14:paraId="20099EC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§1513.</w:t>
      </w:r>
      <w:r w:rsidRPr="006E50FF">
        <w:rPr>
          <w:b/>
          <w:kern w:val="2"/>
        </w:rPr>
        <w:tab/>
        <w:t>Co-Location</w:t>
      </w:r>
    </w:p>
    <w:p w14:paraId="2C1D3F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91B65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2B178D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amended LR 30:272 (February 2004), repealed by the Department of Transportation and Development, Office of Project Delivery, LR 52:1527 (September 2026).</w:t>
      </w:r>
    </w:p>
    <w:p w14:paraId="4195013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§1515.</w:t>
      </w:r>
      <w:r w:rsidRPr="006E50FF">
        <w:rPr>
          <w:b/>
          <w:kern w:val="2"/>
        </w:rPr>
        <w:tab/>
        <w:t>Attachments to Existing Bridge Structures</w:t>
      </w:r>
    </w:p>
    <w:p w14:paraId="0C5C7B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30B81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7B7A9B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repealed by the Department of Transportation and Development, Office of Project Delivery, LR 52:1527 (September 2026).</w:t>
      </w:r>
    </w:p>
    <w:p w14:paraId="29A756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§1517.</w:t>
      </w:r>
      <w:r w:rsidRPr="006E50FF">
        <w:rPr>
          <w:b/>
          <w:kern w:val="2"/>
        </w:rPr>
        <w:tab/>
        <w:t>Access Requirements</w:t>
      </w:r>
    </w:p>
    <w:p w14:paraId="13C01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B7007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23D8C9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repealed by the Department of Transportation and Development, Office of Project Delivery, LR 52:1527 (September 2026).</w:t>
      </w:r>
    </w:p>
    <w:p w14:paraId="4EB00C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§1519.</w:t>
      </w:r>
      <w:r w:rsidRPr="006E50FF">
        <w:rPr>
          <w:b/>
          <w:kern w:val="2"/>
        </w:rPr>
        <w:tab/>
        <w:t>Security Requirements</w:t>
      </w:r>
    </w:p>
    <w:p w14:paraId="52DD8A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81D33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334552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25:100 (January 1999), repealed by the Department of Transportation and Development, Office of Project Delivery, LR 52:1527 (September 2026).</w:t>
      </w:r>
    </w:p>
    <w:p w14:paraId="0582C5C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17.</w:t>
      </w:r>
      <w:r w:rsidRPr="006E50FF">
        <w:rPr>
          <w:b/>
          <w:kern w:val="2"/>
        </w:rPr>
        <w:tab/>
        <w:t>Fiber Optic Permit Rules</w:t>
      </w:r>
    </w:p>
    <w:p w14:paraId="04E9CC2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§1701.</w:t>
      </w:r>
      <w:r w:rsidRPr="006E50FF">
        <w:rPr>
          <w:b/>
          <w:kern w:val="2"/>
        </w:rPr>
        <w:tab/>
        <w:t>General Permit Conditions and Standards</w:t>
      </w:r>
    </w:p>
    <w:p w14:paraId="184956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076E3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7C008B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amended LR 30:272 (February 2004), repealed by the Department of Transportation and Development, Office of Project Delivery, LR 52:1527 (September 2026).</w:t>
      </w:r>
    </w:p>
    <w:p w14:paraId="3BF43D0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1" w:name="_Toc143676822"/>
      <w:bookmarkStart w:id="102" w:name="_Toc180825115"/>
      <w:r w:rsidRPr="006E50FF">
        <w:rPr>
          <w:b/>
          <w:kern w:val="2"/>
        </w:rPr>
        <w:t>§1703.</w:t>
      </w:r>
      <w:r w:rsidRPr="006E50FF">
        <w:rPr>
          <w:b/>
          <w:kern w:val="2"/>
        </w:rPr>
        <w:tab/>
        <w:t>Specific Standards for Installation of Fiber-Optic Cable</w:t>
      </w:r>
      <w:bookmarkEnd w:id="101"/>
      <w:bookmarkEnd w:id="102"/>
    </w:p>
    <w:p w14:paraId="23D566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CCF97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52F4790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25:2464 (December 1999), repealed by the Department of Transportation and Development, Office of Project Delivery, LR 52:1527 (September 2026).</w:t>
      </w:r>
    </w:p>
    <w:p w14:paraId="07D48F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3" w:name="_Toc143676823"/>
      <w:bookmarkStart w:id="104" w:name="_Toc180825116"/>
      <w:r w:rsidRPr="006E50FF">
        <w:rPr>
          <w:b/>
          <w:kern w:val="2"/>
        </w:rPr>
        <w:t>§1705.</w:t>
      </w:r>
      <w:r w:rsidRPr="006E50FF">
        <w:rPr>
          <w:b/>
          <w:kern w:val="2"/>
        </w:rPr>
        <w:tab/>
        <w:t>Cables Installed Parallel to the Highway</w:t>
      </w:r>
      <w:bookmarkEnd w:id="103"/>
      <w:bookmarkEnd w:id="104"/>
    </w:p>
    <w:p w14:paraId="00A0B8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30DB99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7399CC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25:2465 (December 1999), repealed by the Department of Transportation and Development, Office of Project Delivery, LR 52:1527 (September 2026).</w:t>
      </w:r>
    </w:p>
    <w:p w14:paraId="6E598B1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5" w:name="_Toc143676824"/>
      <w:bookmarkStart w:id="106" w:name="_Toc180825117"/>
      <w:r w:rsidRPr="006E50FF">
        <w:rPr>
          <w:b/>
          <w:kern w:val="2"/>
        </w:rPr>
        <w:t>§1707.</w:t>
      </w:r>
      <w:r w:rsidRPr="006E50FF">
        <w:rPr>
          <w:b/>
          <w:kern w:val="2"/>
        </w:rPr>
        <w:tab/>
        <w:t>Cables Crossing the Highway</w:t>
      </w:r>
      <w:bookmarkEnd w:id="105"/>
      <w:bookmarkEnd w:id="106"/>
    </w:p>
    <w:p w14:paraId="7C3ADC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92B37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09EED2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25:2465 (December 1999), repealed by the Department of Transportation and Development, Office of Project Delivery, LR 52:1527 (September 2026).</w:t>
      </w:r>
    </w:p>
    <w:p w14:paraId="2A03711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7" w:name="_Toc143676825"/>
      <w:bookmarkStart w:id="108" w:name="_Toc180825118"/>
      <w:r w:rsidRPr="006E50FF">
        <w:rPr>
          <w:b/>
          <w:kern w:val="2"/>
        </w:rPr>
        <w:t>§1709.</w:t>
      </w:r>
      <w:r w:rsidRPr="006E50FF">
        <w:rPr>
          <w:b/>
          <w:kern w:val="2"/>
        </w:rPr>
        <w:tab/>
        <w:t>Fees</w:t>
      </w:r>
      <w:bookmarkEnd w:id="107"/>
      <w:bookmarkEnd w:id="108"/>
    </w:p>
    <w:p w14:paraId="6116EC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77EC6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65901E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25:2465 (December 1999), repealed by the Department of Transportation and Development, Office of Project Delivery, LR 52:1527 (September 2026).</w:t>
      </w:r>
    </w:p>
    <w:p w14:paraId="64DE48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3E8D0D55" w14:textId="77777777" w:rsidR="006E50FF" w:rsidRPr="006E50FF" w:rsidRDefault="006E50FF" w:rsidP="006E50FF">
      <w:pPr>
        <w:keepNext/>
        <w:ind w:left="2160"/>
        <w:jc w:val="both"/>
      </w:pPr>
      <w:r w:rsidRPr="006E50FF">
        <w:t>Glenn Ledet, Jr.</w:t>
      </w:r>
    </w:p>
    <w:p w14:paraId="44455543" w14:textId="77777777" w:rsidR="006E50FF" w:rsidRPr="006E50FF" w:rsidRDefault="006E50FF" w:rsidP="006E50FF">
      <w:pPr>
        <w:keepNext/>
        <w:ind w:left="2160"/>
        <w:jc w:val="both"/>
      </w:pPr>
      <w:r w:rsidRPr="006E50FF">
        <w:t>Secretary</w:t>
      </w:r>
    </w:p>
    <w:p w14:paraId="32E4CDF2" w14:textId="77777777" w:rsidR="006E50FF" w:rsidRPr="006E50FF" w:rsidRDefault="006E50FF" w:rsidP="006E50FF">
      <w:pPr>
        <w:rPr>
          <w:noProof/>
          <w:sz w:val="16"/>
        </w:rPr>
      </w:pPr>
      <w:r w:rsidRPr="006E50FF">
        <w:rPr>
          <w:noProof/>
          <w:sz w:val="16"/>
        </w:rPr>
        <w:t>2609#004</w:t>
      </w:r>
    </w:p>
    <w:p w14:paraId="0EBD9841" w14:textId="77777777" w:rsidR="006E50FF" w:rsidRPr="006E50FF" w:rsidRDefault="006E50FF" w:rsidP="006E50FF"/>
    <w:p w14:paraId="1A86B934" w14:textId="77777777" w:rsidR="006E50FF" w:rsidRPr="006E50FF" w:rsidRDefault="006E50FF" w:rsidP="006E50FF">
      <w:pPr>
        <w:keepNext/>
        <w:tabs>
          <w:tab w:val="left" w:pos="-1440"/>
        </w:tabs>
        <w:spacing w:after="120"/>
        <w:jc w:val="center"/>
        <w:rPr>
          <w:b/>
          <w:noProof/>
        </w:rPr>
      </w:pPr>
      <w:bookmarkStart w:id="109" w:name="_Toc77921109"/>
      <w:r w:rsidRPr="006E50FF">
        <w:rPr>
          <w:b/>
          <w:noProof/>
        </w:rPr>
        <w:t>RULE</w:t>
      </w:r>
    </w:p>
    <w:p w14:paraId="3D7BAD39" w14:textId="77777777" w:rsidR="006E50FF" w:rsidRPr="006E50FF" w:rsidRDefault="006E50FF" w:rsidP="006E50FF">
      <w:pPr>
        <w:keepNext/>
        <w:jc w:val="center"/>
        <w:rPr>
          <w:b/>
          <w:noProof/>
        </w:rPr>
      </w:pPr>
      <w:r w:rsidRPr="006E50FF">
        <w:rPr>
          <w:b/>
          <w:noProof/>
        </w:rPr>
        <w:t>Department of Wildlife and Fisheries</w:t>
      </w:r>
    </w:p>
    <w:p w14:paraId="4CB1396D" w14:textId="77777777" w:rsidR="006E50FF" w:rsidRPr="006E50FF" w:rsidRDefault="006E50FF" w:rsidP="006E50FF">
      <w:pPr>
        <w:keepNext/>
        <w:jc w:val="center"/>
        <w:rPr>
          <w:b/>
          <w:noProof/>
        </w:rPr>
      </w:pPr>
      <w:r w:rsidRPr="006E50FF">
        <w:rPr>
          <w:b/>
          <w:noProof/>
        </w:rPr>
        <w:t>Wildlife and Fisheries Commission</w:t>
      </w:r>
    </w:p>
    <w:p w14:paraId="45F4DCA5" w14:textId="77777777" w:rsidR="006E50FF" w:rsidRPr="006E50FF" w:rsidRDefault="006E50FF" w:rsidP="006E50FF">
      <w:pPr>
        <w:keepNext/>
        <w:spacing w:before="240" w:after="240"/>
        <w:jc w:val="center"/>
        <w:rPr>
          <w:noProof/>
        </w:rPr>
      </w:pPr>
      <w:r w:rsidRPr="006E50FF">
        <w:rPr>
          <w:noProof/>
        </w:rPr>
        <w:t>Freshwater and Saltwater Passive Hooked Fishing Gear Regulations (LAC 76:VII.116 and 389)</w:t>
      </w:r>
    </w:p>
    <w:p w14:paraId="5DC17B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Wildlife and Fisheries and the Wildlife and Fisheries Commission do hereby amend the rules for marking, setting, and tending requirements to freshwater and saltwater recreational and commercial passive hooked gear (LAC 76:VII.116 and 389). The Rule modification is intended to extend the time allowance for rebaiting yo-yos, trigger devices, trotlines, limb lines, jugs, or other passive fishing devices containing a hook or hooks, whether recreational or commercial, from at least once every 24 hours to at least once every 48 hours. This change is being made upon consultation with the Louisiana Finfish Task Force in order to account for unforeseen events that may delay the rebaiting of gear such as weather and mechanical breakdowns. This Rule is hereby adopted on the day of promulgation. </w:t>
      </w:r>
    </w:p>
    <w:p w14:paraId="62B7942E" w14:textId="77777777" w:rsidR="006E50FF" w:rsidRPr="006E50FF" w:rsidRDefault="006E50FF" w:rsidP="006E50FF">
      <w:pPr>
        <w:keepNext/>
        <w:jc w:val="center"/>
        <w:rPr>
          <w:b/>
          <w:kern w:val="28"/>
        </w:rPr>
      </w:pPr>
      <w:r w:rsidRPr="006E50FF">
        <w:rPr>
          <w:b/>
          <w:kern w:val="28"/>
        </w:rPr>
        <w:t>Title 76</w:t>
      </w:r>
    </w:p>
    <w:p w14:paraId="37BC9CB3" w14:textId="77777777" w:rsidR="006E50FF" w:rsidRPr="006E50FF" w:rsidRDefault="006E50FF" w:rsidP="006E50FF">
      <w:pPr>
        <w:keepNext/>
        <w:jc w:val="center"/>
        <w:rPr>
          <w:b/>
          <w:kern w:val="28"/>
        </w:rPr>
      </w:pPr>
      <w:r w:rsidRPr="006E50FF">
        <w:rPr>
          <w:b/>
          <w:kern w:val="28"/>
        </w:rPr>
        <w:t>WILDLIFE AND FISHERIES</w:t>
      </w:r>
    </w:p>
    <w:p w14:paraId="59D45FC2" w14:textId="77777777" w:rsidR="006E50FF" w:rsidRPr="006E50FF" w:rsidRDefault="006E50FF" w:rsidP="006E50FF">
      <w:pPr>
        <w:keepNext/>
        <w:jc w:val="center"/>
        <w:rPr>
          <w:b/>
          <w:noProof/>
        </w:rPr>
      </w:pPr>
      <w:r w:rsidRPr="006E50FF">
        <w:rPr>
          <w:b/>
          <w:noProof/>
        </w:rPr>
        <w:t>Part VII.  Fish and Other Aquatic life</w:t>
      </w:r>
    </w:p>
    <w:p w14:paraId="436A826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Freshwater Sports and Commercial Fishing</w:t>
      </w:r>
    </w:p>
    <w:p w14:paraId="681A471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§116.</w:t>
      </w:r>
      <w:r w:rsidRPr="006E50FF">
        <w:rPr>
          <w:b/>
          <w:kern w:val="2"/>
        </w:rPr>
        <w:tab/>
        <w:t xml:space="preserve">Freshwater Yo-Yos, Trigger Devices, Trotlines, Limb Lines, Jugs, and all Passive Fishing Devices Containing a Hook or Hooks </w:t>
      </w:r>
    </w:p>
    <w:p w14:paraId="53273A97" w14:textId="77777777" w:rsidR="006E50FF" w:rsidRPr="006E50FF" w:rsidRDefault="006E50FF" w:rsidP="006E50FF">
      <w:pPr>
        <w:tabs>
          <w:tab w:val="left" w:pos="144"/>
          <w:tab w:val="left" w:pos="187"/>
          <w:tab w:val="left" w:pos="540"/>
          <w:tab w:val="left" w:pos="1080"/>
        </w:tabs>
        <w:ind w:firstLine="187"/>
        <w:jc w:val="both"/>
        <w:outlineLvl w:val="3"/>
        <w:rPr>
          <w:kern w:val="2"/>
        </w:rPr>
      </w:pPr>
      <w:r w:rsidRPr="006E50FF">
        <w:rPr>
          <w:kern w:val="2"/>
        </w:rPr>
        <w:t>A. - A.3.</w:t>
      </w:r>
      <w:r w:rsidRPr="006E50FF">
        <w:rPr>
          <w:kern w:val="2"/>
        </w:rPr>
        <w:tab/>
        <w:t>…</w:t>
      </w:r>
    </w:p>
    <w:p w14:paraId="22FF93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41D94D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 xml:space="preserve">Each yo-yo, trigger device, trotline, limb line, jug, or other passive fishing device containing a hook or hooks, whether recreational or commercial, shall be rebaited at least once every 48 hours, and all fish and any other animal caught, entangled, ensnared, or hooked, shall be immediately removed from the device. </w:t>
      </w:r>
    </w:p>
    <w:p w14:paraId="488F24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A.5. - B.</w:t>
      </w:r>
      <w:r w:rsidRPr="006E50FF">
        <w:rPr>
          <w:kern w:val="2"/>
        </w:rPr>
        <w:tab/>
        <w:t>…</w:t>
      </w:r>
    </w:p>
    <w:p w14:paraId="366A1E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56:6, R.S. 56:8, and R.S. 56:320.</w:t>
      </w:r>
    </w:p>
    <w:p w14:paraId="20228D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37:355 (January 2011), amended LR 48:2610 (October 2022), LR 50:1504 (October 2024), LR 52:1527 (September 2026).</w:t>
      </w:r>
    </w:p>
    <w:p w14:paraId="689904C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Saltwater Sport and Commercial Fishery</w:t>
      </w:r>
    </w:p>
    <w:p w14:paraId="515A74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§389.</w:t>
      </w:r>
      <w:bookmarkEnd w:id="109"/>
      <w:r w:rsidRPr="006E50FF">
        <w:rPr>
          <w:b/>
          <w:kern w:val="2"/>
        </w:rPr>
        <w:tab/>
        <w:t xml:space="preserve">Passive Saltwater Hooked Fishing Gear Regulations </w:t>
      </w:r>
    </w:p>
    <w:p w14:paraId="16327EA1"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 - A.3.</w:t>
      </w:r>
      <w:r w:rsidRPr="006E50FF">
        <w:rPr>
          <w:kern w:val="2"/>
        </w:rPr>
        <w:tab/>
        <w:t>…</w:t>
      </w:r>
    </w:p>
    <w:p w14:paraId="2A309CF6"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kern w:val="2"/>
        </w:rPr>
        <w:t>4.</w:t>
      </w:r>
      <w:r w:rsidRPr="006E50FF">
        <w:rPr>
          <w:kern w:val="2"/>
        </w:rPr>
        <w:tab/>
        <w:t xml:space="preserve">Each yo-yo, trigger device, trotline, limb line, jug, or other passive fishing device containing a hook or hooks, whether recreational or commercial, shall be rebaited at least once every </w:t>
      </w:r>
      <w:r w:rsidRPr="006E50FF">
        <w:rPr>
          <w:color w:val="000000"/>
          <w:kern w:val="2"/>
        </w:rPr>
        <w:t xml:space="preserve">48 hours, and all fish and any other animal caught, entangled, ensnared, or hooked, shall be immediately removed from the device. </w:t>
      </w:r>
    </w:p>
    <w:p w14:paraId="2602653B"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A.5. - B.</w:t>
      </w:r>
      <w:r w:rsidRPr="006E50FF">
        <w:rPr>
          <w:kern w:val="2"/>
        </w:rPr>
        <w:tab/>
        <w:t>…</w:t>
      </w:r>
    </w:p>
    <w:p w14:paraId="44F256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56:6, R.S. 56:8, and R.S. 56:320.</w:t>
      </w:r>
    </w:p>
    <w:p w14:paraId="1FEABD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50:1505 (October 2024), amended LR 52:1528 (September 2026).</w:t>
      </w:r>
    </w:p>
    <w:p w14:paraId="0B760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A4856EE" w14:textId="77777777" w:rsidR="006E50FF" w:rsidRPr="006E50FF" w:rsidRDefault="006E50FF" w:rsidP="006E50FF">
      <w:pPr>
        <w:keepNext/>
        <w:ind w:left="2160"/>
        <w:jc w:val="both"/>
      </w:pPr>
      <w:r w:rsidRPr="006E50FF">
        <w:t>Tyler M. Bosworth</w:t>
      </w:r>
    </w:p>
    <w:p w14:paraId="543BC78B" w14:textId="77777777" w:rsidR="006E50FF" w:rsidRPr="006E50FF" w:rsidRDefault="006E50FF" w:rsidP="006E50FF">
      <w:pPr>
        <w:keepNext/>
        <w:ind w:left="2160"/>
        <w:jc w:val="both"/>
      </w:pPr>
      <w:r w:rsidRPr="006E50FF">
        <w:t>Secretary</w:t>
      </w:r>
    </w:p>
    <w:p w14:paraId="14630C98" w14:textId="77777777" w:rsidR="006E50FF" w:rsidRPr="006E50FF" w:rsidRDefault="006E50FF" w:rsidP="006E50FF">
      <w:pPr>
        <w:rPr>
          <w:noProof/>
          <w:sz w:val="16"/>
        </w:rPr>
      </w:pPr>
      <w:r w:rsidRPr="006E50FF">
        <w:rPr>
          <w:noProof/>
          <w:sz w:val="16"/>
        </w:rPr>
        <w:t>2609#030</w:t>
      </w:r>
    </w:p>
    <w:p w14:paraId="36E6E8AE" w14:textId="77777777" w:rsidR="006E50FF" w:rsidRPr="006E50FF" w:rsidRDefault="006E50FF" w:rsidP="006E50FF"/>
    <w:p w14:paraId="53791D4C" w14:textId="77777777" w:rsidR="006E50FF" w:rsidRPr="006E50FF" w:rsidRDefault="006E50FF" w:rsidP="006E50FF">
      <w:pPr>
        <w:keepNext/>
        <w:tabs>
          <w:tab w:val="left" w:pos="-1440"/>
        </w:tabs>
        <w:spacing w:after="120"/>
        <w:jc w:val="center"/>
        <w:rPr>
          <w:b/>
          <w:noProof/>
        </w:rPr>
      </w:pPr>
      <w:r w:rsidRPr="006E50FF">
        <w:rPr>
          <w:b/>
          <w:noProof/>
        </w:rPr>
        <w:t>RULE</w:t>
      </w:r>
    </w:p>
    <w:p w14:paraId="6865CE63" w14:textId="77777777" w:rsidR="006E50FF" w:rsidRPr="006E50FF" w:rsidRDefault="006E50FF" w:rsidP="006E50FF">
      <w:pPr>
        <w:keepNext/>
        <w:jc w:val="center"/>
        <w:rPr>
          <w:b/>
          <w:noProof/>
        </w:rPr>
      </w:pPr>
      <w:r w:rsidRPr="006E50FF">
        <w:rPr>
          <w:b/>
          <w:noProof/>
        </w:rPr>
        <w:t>Department of Wildlife and Fisheries</w:t>
      </w:r>
    </w:p>
    <w:p w14:paraId="24ABADBE" w14:textId="77777777" w:rsidR="006E50FF" w:rsidRPr="006E50FF" w:rsidRDefault="006E50FF" w:rsidP="006E50FF">
      <w:pPr>
        <w:keepNext/>
        <w:jc w:val="center"/>
        <w:rPr>
          <w:b/>
          <w:noProof/>
        </w:rPr>
      </w:pPr>
      <w:r w:rsidRPr="006E50FF">
        <w:rPr>
          <w:b/>
          <w:noProof/>
        </w:rPr>
        <w:t>Wildlife and Fisheries Commission</w:t>
      </w:r>
    </w:p>
    <w:p w14:paraId="69351C93" w14:textId="77777777" w:rsidR="006E50FF" w:rsidRPr="006E50FF" w:rsidRDefault="006E50FF" w:rsidP="006E50FF">
      <w:pPr>
        <w:keepNext/>
        <w:spacing w:before="240" w:after="240"/>
        <w:jc w:val="center"/>
        <w:rPr>
          <w:noProof/>
        </w:rPr>
      </w:pPr>
      <w:r w:rsidRPr="006E50FF">
        <w:rPr>
          <w:noProof/>
        </w:rPr>
        <w:t>Saline-Larto Complex Black Bass and Crappie Regulations</w:t>
      </w:r>
      <w:r w:rsidRPr="006E50FF">
        <w:rPr>
          <w:noProof/>
        </w:rPr>
        <w:br/>
        <w:t>(LAC 76:VII.118)</w:t>
      </w:r>
    </w:p>
    <w:p w14:paraId="359629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Wildlife and Fisheries and the Wildlife and Fisheries Commission do modify the daily take of black bass and crappie in the Saline-Larto Complex. The new daily take for black bass will be 8 fish per person with a minimum length of 14 inches, and the new daily take for crappie will be 25 fish per person with a minimum length of 10 inches, with a possession limit of twice the daily creel limit for both. This Rule is hereby adopted on the day of promulgation. </w:t>
      </w:r>
    </w:p>
    <w:p w14:paraId="5CBCC4B2" w14:textId="77777777" w:rsidR="006E50FF" w:rsidRPr="006E50FF" w:rsidRDefault="006E50FF" w:rsidP="006E50FF">
      <w:pPr>
        <w:keepNext/>
        <w:jc w:val="center"/>
        <w:rPr>
          <w:b/>
          <w:kern w:val="28"/>
        </w:rPr>
      </w:pPr>
      <w:r w:rsidRPr="006E50FF">
        <w:rPr>
          <w:b/>
          <w:kern w:val="28"/>
        </w:rPr>
        <w:t>Title 76</w:t>
      </w:r>
    </w:p>
    <w:p w14:paraId="50D2D58D" w14:textId="77777777" w:rsidR="006E50FF" w:rsidRPr="006E50FF" w:rsidRDefault="006E50FF" w:rsidP="006E50FF">
      <w:pPr>
        <w:keepNext/>
        <w:jc w:val="center"/>
        <w:rPr>
          <w:b/>
          <w:kern w:val="28"/>
        </w:rPr>
      </w:pPr>
      <w:r w:rsidRPr="006E50FF">
        <w:rPr>
          <w:b/>
          <w:kern w:val="28"/>
        </w:rPr>
        <w:t>WILDLIFE AND FISHERIES</w:t>
      </w:r>
    </w:p>
    <w:p w14:paraId="435769D9" w14:textId="77777777" w:rsidR="006E50FF" w:rsidRPr="006E50FF" w:rsidRDefault="006E50FF" w:rsidP="006E50FF">
      <w:pPr>
        <w:keepNext/>
        <w:jc w:val="center"/>
        <w:rPr>
          <w:b/>
          <w:noProof/>
        </w:rPr>
      </w:pPr>
      <w:r w:rsidRPr="006E50FF">
        <w:rPr>
          <w:b/>
          <w:noProof/>
        </w:rPr>
        <w:t>Part VII.  Fish and Other Aquatic Life</w:t>
      </w:r>
    </w:p>
    <w:p w14:paraId="0B848BB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Freshwater Sports and Commercial Fishing</w:t>
      </w:r>
    </w:p>
    <w:p w14:paraId="76EFC1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§118.</w:t>
      </w:r>
      <w:r w:rsidRPr="006E50FF">
        <w:rPr>
          <w:b/>
          <w:kern w:val="2"/>
        </w:rPr>
        <w:tab/>
        <w:t>Saline-Larto Complex Black Bass and Crappie Regulations</w:t>
      </w:r>
    </w:p>
    <w:p w14:paraId="66D82D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Saline-Larto Complex (Catahoula, LaSalle, Avoyelles, and Rapides Parishes) including Saline Lake, Larto Lake, Shad Lake, and all associated waterbodies located south of southern bank of the Diversion Canal between Highway 28 </w:t>
      </w:r>
      <w:r w:rsidRPr="006E50FF">
        <w:rPr>
          <w:kern w:val="2"/>
        </w:rPr>
        <w:br w:type="column"/>
      </w:r>
      <w:r w:rsidRPr="006E50FF">
        <w:rPr>
          <w:kern w:val="2"/>
        </w:rPr>
        <w:t xml:space="preserve">and the Black River, east of Highway 28 and Highway 115, north of the protective levee that borders the south end of the Complex from Highway 115 east to Larto Lake Dam, north of Larto Lake Road to Highway 124, and west of Highway 124 from Larto Lake Road to the southern bank of the Diversion Canal. </w:t>
      </w:r>
    </w:p>
    <w:p w14:paraId="0E4BB3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Black Bass (</w:t>
      </w:r>
      <w:r w:rsidRPr="006E50FF">
        <w:rPr>
          <w:i/>
          <w:kern w:val="2"/>
        </w:rPr>
        <w:t xml:space="preserve">Micropterus </w:t>
      </w:r>
      <w:r w:rsidRPr="006E50FF">
        <w:rPr>
          <w:kern w:val="2"/>
        </w:rPr>
        <w:t>spp.)</w:t>
      </w:r>
    </w:p>
    <w:p w14:paraId="0938069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Daily Limit—8 fish per person with a minimum size of 14 inches;</w:t>
      </w:r>
    </w:p>
    <w:p w14:paraId="4562223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 water possession—twice the daily limit per person.</w:t>
      </w:r>
    </w:p>
    <w:p w14:paraId="60C7F4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Crappie (</w:t>
      </w:r>
      <w:r w:rsidRPr="006E50FF">
        <w:rPr>
          <w:i/>
          <w:kern w:val="2"/>
        </w:rPr>
        <w:t xml:space="preserve">Pomoxis </w:t>
      </w:r>
      <w:r w:rsidRPr="006E50FF">
        <w:rPr>
          <w:kern w:val="2"/>
        </w:rPr>
        <w:t>spp.)</w:t>
      </w:r>
    </w:p>
    <w:p w14:paraId="71FE554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Daily Limit—25 fish per person with a minimum size of 10 inches;</w:t>
      </w:r>
    </w:p>
    <w:p w14:paraId="451ABFF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 water possession—twice the daily limit per person.</w:t>
      </w:r>
    </w:p>
    <w:p w14:paraId="2E4336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9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56:6(25).</w:t>
      </w:r>
    </w:p>
    <w:p w14:paraId="639583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9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in accordance with Department of Wildlife and Fisheries, Wildlife and Fisheries Commission, LR 52:1528 (September 2026).</w:t>
      </w:r>
    </w:p>
    <w:p w14:paraId="79ED6FF0" w14:textId="77777777" w:rsidR="006E50FF" w:rsidRPr="006E50FF" w:rsidRDefault="006E50FF" w:rsidP="006E50FF">
      <w:pPr>
        <w:keepNext/>
        <w:ind w:left="2160"/>
        <w:jc w:val="both"/>
      </w:pPr>
    </w:p>
    <w:p w14:paraId="24EC33B0" w14:textId="77777777" w:rsidR="006E50FF" w:rsidRPr="006E50FF" w:rsidRDefault="006E50FF" w:rsidP="006E50FF">
      <w:pPr>
        <w:keepNext/>
        <w:ind w:left="2160"/>
        <w:jc w:val="both"/>
      </w:pPr>
      <w:r w:rsidRPr="006E50FF">
        <w:t>Tyler M. Bosworth</w:t>
      </w:r>
    </w:p>
    <w:p w14:paraId="1487B730" w14:textId="77777777" w:rsidR="006E50FF" w:rsidRPr="006E50FF" w:rsidRDefault="006E50FF" w:rsidP="006E50FF">
      <w:pPr>
        <w:keepNext/>
        <w:ind w:left="2160"/>
        <w:jc w:val="both"/>
      </w:pPr>
      <w:r w:rsidRPr="006E50FF">
        <w:t>Secretary</w:t>
      </w:r>
    </w:p>
    <w:p w14:paraId="358B7485" w14:textId="77777777" w:rsidR="006E50FF" w:rsidRPr="006E50FF" w:rsidRDefault="006E50FF" w:rsidP="006E50FF">
      <w:pPr>
        <w:rPr>
          <w:noProof/>
          <w:sz w:val="16"/>
        </w:rPr>
      </w:pPr>
      <w:r w:rsidRPr="006E50FF">
        <w:rPr>
          <w:noProof/>
          <w:sz w:val="16"/>
        </w:rPr>
        <w:t>2609#012</w:t>
      </w:r>
    </w:p>
    <w:p w14:paraId="4201E21E" w14:textId="77777777" w:rsidR="006E50FF" w:rsidRPr="006E50FF" w:rsidRDefault="006E50FF" w:rsidP="006E50FF"/>
    <w:p w14:paraId="5D4C5D88" w14:textId="77777777" w:rsidR="006E50FF" w:rsidRPr="006E50FF" w:rsidRDefault="006E50FF" w:rsidP="006E50FF">
      <w:pPr>
        <w:keepNext/>
        <w:tabs>
          <w:tab w:val="left" w:pos="-1440"/>
        </w:tabs>
        <w:spacing w:after="120"/>
        <w:jc w:val="center"/>
        <w:rPr>
          <w:b/>
          <w:noProof/>
        </w:rPr>
      </w:pPr>
      <w:r w:rsidRPr="006E50FF">
        <w:rPr>
          <w:b/>
          <w:noProof/>
        </w:rPr>
        <w:t>RULE</w:t>
      </w:r>
    </w:p>
    <w:p w14:paraId="55AD12EE" w14:textId="77777777" w:rsidR="006E50FF" w:rsidRPr="006E50FF" w:rsidRDefault="006E50FF" w:rsidP="006E50FF">
      <w:pPr>
        <w:keepNext/>
        <w:jc w:val="center"/>
        <w:rPr>
          <w:b/>
          <w:noProof/>
        </w:rPr>
      </w:pPr>
      <w:r w:rsidRPr="006E50FF">
        <w:rPr>
          <w:b/>
          <w:noProof/>
        </w:rPr>
        <w:t>Department of Wildlife and Fisheries</w:t>
      </w:r>
    </w:p>
    <w:p w14:paraId="6BBC1D35" w14:textId="77777777" w:rsidR="006E50FF" w:rsidRPr="006E50FF" w:rsidRDefault="006E50FF" w:rsidP="006E50FF">
      <w:pPr>
        <w:keepNext/>
        <w:jc w:val="center"/>
        <w:rPr>
          <w:b/>
          <w:noProof/>
        </w:rPr>
      </w:pPr>
      <w:r w:rsidRPr="006E50FF">
        <w:rPr>
          <w:b/>
          <w:noProof/>
        </w:rPr>
        <w:t>Wildlife and Fisheries Commission</w:t>
      </w:r>
    </w:p>
    <w:p w14:paraId="2AB977E9" w14:textId="77777777" w:rsidR="006E50FF" w:rsidRPr="006E50FF" w:rsidRDefault="006E50FF" w:rsidP="006E50FF">
      <w:pPr>
        <w:keepNext/>
        <w:spacing w:before="240" w:after="240"/>
        <w:jc w:val="center"/>
        <w:rPr>
          <w:noProof/>
        </w:rPr>
      </w:pPr>
      <w:r w:rsidRPr="006E50FF">
        <w:rPr>
          <w:noProof/>
        </w:rPr>
        <w:t>Special Bait Dealer’s Permit (LAC 76:VII.329)</w:t>
      </w:r>
    </w:p>
    <w:p w14:paraId="2839F0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Administrative Procedure Act, R.S. 49:961 et seq., and through the authority granted in R.S. 56:497(C), that the Wildlife and Fisheries Commission does hereby amend a Rule, LAC 76:VII.329, which provides for a special bait dealer’s permit program. The amendment removes the sunset provision of the current rule and establishes the use of commercial fishing gear during closed seasons when fishing under a valid special bait dealer’s permit provided by the department. Previous regulatory action allowed for larger commercial nets to be fished under this permit during closed shrimp seasons to adequately provide live bait for recreational fishermen, while allowing uninterrupted operation for the commercial establishments that sell live bait. The use of this expanded gear was originally authorized through the 2023 commercial license year, and then extended through the 2026 commercial license year, to allow for the effects of the regulation to be evaluated. The effects of the regulation were evaluated, with no indication of negative impacts on the resource or industry. This Rule is hereby adopted on the day of promulgation. </w:t>
      </w:r>
    </w:p>
    <w:p w14:paraId="51D1E353" w14:textId="77777777" w:rsidR="006E50FF" w:rsidRPr="006E50FF" w:rsidRDefault="006E50FF" w:rsidP="006E50FF">
      <w:pPr>
        <w:keepNext/>
        <w:jc w:val="center"/>
        <w:rPr>
          <w:b/>
          <w:kern w:val="28"/>
        </w:rPr>
      </w:pPr>
      <w:r w:rsidRPr="006E50FF">
        <w:rPr>
          <w:b/>
          <w:kern w:val="28"/>
        </w:rPr>
        <w:t>Title 76</w:t>
      </w:r>
    </w:p>
    <w:p w14:paraId="7C0ACAE1" w14:textId="77777777" w:rsidR="006E50FF" w:rsidRPr="006E50FF" w:rsidRDefault="006E50FF" w:rsidP="006E50FF">
      <w:pPr>
        <w:keepNext/>
        <w:jc w:val="center"/>
        <w:rPr>
          <w:b/>
          <w:kern w:val="28"/>
        </w:rPr>
      </w:pPr>
      <w:r w:rsidRPr="006E50FF">
        <w:rPr>
          <w:b/>
          <w:kern w:val="28"/>
        </w:rPr>
        <w:t>WILDLIFE AND FISHERIES</w:t>
      </w:r>
    </w:p>
    <w:p w14:paraId="451610E0" w14:textId="77777777" w:rsidR="006E50FF" w:rsidRPr="006E50FF" w:rsidRDefault="006E50FF" w:rsidP="006E50FF">
      <w:pPr>
        <w:keepNext/>
        <w:jc w:val="center"/>
        <w:rPr>
          <w:b/>
          <w:noProof/>
        </w:rPr>
      </w:pPr>
      <w:r w:rsidRPr="006E50FF">
        <w:rPr>
          <w:b/>
          <w:noProof/>
        </w:rPr>
        <w:t>Part VII.  Fish and Other Aquatic Life</w:t>
      </w:r>
    </w:p>
    <w:p w14:paraId="7A92340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Saltwater Sport and Commercial Fishery</w:t>
      </w:r>
    </w:p>
    <w:p w14:paraId="55E28B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§329.</w:t>
      </w:r>
      <w:r w:rsidRPr="006E50FF">
        <w:rPr>
          <w:b/>
          <w:kern w:val="2"/>
        </w:rPr>
        <w:tab/>
        <w:t>Special Bait Dealer's Permit</w:t>
      </w:r>
    </w:p>
    <w:p w14:paraId="6EFDF0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C.7.</w:t>
      </w:r>
      <w:r w:rsidRPr="006E50FF">
        <w:rPr>
          <w:kern w:val="2"/>
        </w:rPr>
        <w:tab/>
        <w:t>…</w:t>
      </w:r>
    </w:p>
    <w:p w14:paraId="1F0807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Permitted gear when operating under the special bait dealer’s permit is as follows:</w:t>
      </w:r>
    </w:p>
    <w:p w14:paraId="1225D81C" w14:textId="77777777" w:rsidR="006E50FF" w:rsidRPr="006E50FF" w:rsidRDefault="006E50FF" w:rsidP="006E50FF">
      <w:pPr>
        <w:tabs>
          <w:tab w:val="left" w:pos="907"/>
        </w:tabs>
        <w:ind w:firstLine="547"/>
        <w:jc w:val="both"/>
        <w:outlineLvl w:val="5"/>
        <w:rPr>
          <w:kern w:val="2"/>
        </w:rPr>
      </w:pPr>
      <w:r w:rsidRPr="006E50FF">
        <w:rPr>
          <w:kern w:val="2"/>
        </w:rPr>
        <w:br w:type="page"/>
      </w:r>
    </w:p>
    <w:p w14:paraId="50E0740D"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 xml:space="preserve">one trawl measuring 50 feet long or less along the cork line and 66 feet long or less along the lead line. Mesh size must be at least 5/8-inch bar or 1-1/4 inches stretched and 3/4-inch bar or 1-1/2 inches stretched during the fall inshore shrimp season from the western shore of Vermilion Bay and Southwest Pass at Marsh Island to the Atchafalaya River. </w:t>
      </w:r>
    </w:p>
    <w:p w14:paraId="4DD0F44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double skimmer nets may have an opening circumference of no more than 72 feet for each net and a maximum lead line length of 33 feet. Skimmer nets may be mounted to the horizontal net frame at any distance from the gunwale of the vessel as long as the mounting distance and horizontal length of the net frame does not exceed 20 feet from the gunwale. Mesh size must be at least 5/8-inch bar or 1-1/4 inches stretched and 3/4-inch bar or 1-1/2 inches stretched during the fall inshore shrimp season from the western shore of Vermilion Bay and Southwest Pass at Marsh Island to the Atchafalaya River. </w:t>
      </w:r>
    </w:p>
    <w:p w14:paraId="64394F8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These are the only commercial fishing gears which can be used or carried aboard the permitted vessel while the vessel is operating under the permit; no other commercial fishing gear other than unserviceable crab traps as described in R.S. 56:322(G) may be on the vessel when it is being used under the special bait dealer’s permit.</w:t>
      </w:r>
    </w:p>
    <w:p w14:paraId="05AC6C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Bait shrimp or croaker may be taken only from official sunrise to official sunset; however, the department at its discretion, may designate the areas and hours of night time operations under the permit provided permitted vessels are equipped with a working vessel monitoring system as described in LAC 76:VII.371.</w:t>
      </w:r>
    </w:p>
    <w:p w14:paraId="42CA18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 xml:space="preserve">Each time the permit is used the permittee must notify the department by contacting the Communications Section on the designated toll free telephone number provided on the permit and recording the confirmation number received. Before the vessel departs the dock under the permit, the department must be advised of the time of departure and </w:t>
      </w:r>
      <w:r w:rsidRPr="006E50FF">
        <w:rPr>
          <w:kern w:val="2"/>
        </w:rPr>
        <w:t>the sub-basin code corresponding to the department’s trip ticket sub-basin map in which trawling or skimming will take place; immediately after the permitted vessel returns to the dock the department must be notified of the time of return by contacting the Communications Section on the designated toll free telephone number provided on the permit.</w:t>
      </w:r>
    </w:p>
    <w:p w14:paraId="5E1CB4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The permittee shall maintain an up-to-date record of the activities conducted under the permit on forms provided by the department for that purpose. These records shall be kept onboard the vessel and made available for inspection by agents of the department upon request by said agents at any time and shall include the permittee’s name and permit number, date, departure time, fishing location, gear used, confirmation number, return time, and number of live shrimp or live croaker harvested. All applicable record information shall be completed before fishing operations begin. In addition, any agent of the department shall be allowed to make an onsite inspection of any facilities or vessels operating under the permit, at any time. Nothing herein this Section shall exempt the permittee from trip ticket reporting requirements as provided for in R.S. 56:306.4.</w:t>
      </w:r>
    </w:p>
    <w:p w14:paraId="0E4D7B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w:t>
      </w:r>
      <w:r w:rsidRPr="006E50FF">
        <w:rPr>
          <w:kern w:val="2"/>
        </w:rPr>
        <w:tab/>
        <w:t>…</w:t>
      </w:r>
    </w:p>
    <w:p w14:paraId="4D8D0E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LA R.S. 56:326.3 and R.S. 56:497(C).</w:t>
      </w:r>
    </w:p>
    <w:p w14:paraId="37601F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3:210 (April 1977), amended LR 15:867 (October 1989), LR 19:215 (February 1993), LR 23:86 (January 1997), LR 33:864 (May 2007), LR 36:77 (January 2010), LR 38:3250 (December 2012)</w:t>
      </w:r>
      <w:r w:rsidRPr="006E50FF">
        <w:rPr>
          <w:color w:val="000000"/>
          <w:kern w:val="2"/>
          <w:sz w:val="18"/>
        </w:rPr>
        <w:t>, LR 47:1651 (November 2021</w:t>
      </w:r>
      <w:r w:rsidRPr="006E50FF">
        <w:rPr>
          <w:kern w:val="2"/>
          <w:sz w:val="18"/>
        </w:rPr>
        <w:t>), LR 49:2118 (December 2023), LR 52:374 (March 2026), LR 52:1528 (September 2026).</w:t>
      </w:r>
    </w:p>
    <w:p w14:paraId="7DA070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F173AC3" w14:textId="77777777" w:rsidR="006E50FF" w:rsidRPr="006E50FF" w:rsidRDefault="006E50FF" w:rsidP="006E50FF">
      <w:pPr>
        <w:keepNext/>
        <w:ind w:left="2160"/>
        <w:jc w:val="both"/>
      </w:pPr>
      <w:r w:rsidRPr="006E50FF">
        <w:t>Tyler M. Bosworth</w:t>
      </w:r>
    </w:p>
    <w:p w14:paraId="09360836" w14:textId="77777777" w:rsidR="006E50FF" w:rsidRPr="006E50FF" w:rsidRDefault="006E50FF" w:rsidP="006E50FF">
      <w:pPr>
        <w:keepNext/>
        <w:ind w:left="2160"/>
        <w:jc w:val="both"/>
      </w:pPr>
      <w:r w:rsidRPr="006E50FF">
        <w:t>Secretary</w:t>
      </w:r>
    </w:p>
    <w:p w14:paraId="78E5AA06" w14:textId="77777777" w:rsidR="006E50FF" w:rsidRPr="006E50FF" w:rsidRDefault="006E50FF" w:rsidP="006E50FF">
      <w:pPr>
        <w:rPr>
          <w:noProof/>
          <w:sz w:val="16"/>
        </w:rPr>
      </w:pPr>
      <w:r w:rsidRPr="006E50FF">
        <w:rPr>
          <w:noProof/>
          <w:sz w:val="16"/>
        </w:rPr>
        <w:t>2609#031</w:t>
      </w:r>
    </w:p>
    <w:p w14:paraId="1DB8A10B" w14:textId="77777777" w:rsidR="006E50FF" w:rsidRPr="006E50FF" w:rsidRDefault="006E50FF" w:rsidP="006E50FF"/>
    <w:p w14:paraId="4F06D606" w14:textId="77777777" w:rsidR="006E50FF" w:rsidRPr="006E50FF" w:rsidRDefault="006E50FF" w:rsidP="006E50FF">
      <w:pPr>
        <w:sectPr w:rsidR="006E50FF" w:rsidRPr="006E50FF" w:rsidSect="006E50FF">
          <w:type w:val="continuous"/>
          <w:pgSz w:w="12240" w:h="15840" w:code="1"/>
          <w:pgMar w:top="720" w:right="864" w:bottom="317" w:left="864" w:header="576" w:footer="432" w:gutter="0"/>
          <w:cols w:num="2" w:space="720"/>
        </w:sectPr>
      </w:pPr>
    </w:p>
    <w:p w14:paraId="544D7267" w14:textId="77777777" w:rsidR="006E50FF" w:rsidRPr="006E50FF" w:rsidRDefault="006E50FF" w:rsidP="006E50FF"/>
    <w:p w14:paraId="3E17E08C" w14:textId="77777777" w:rsidR="006E50FF" w:rsidRDefault="006E50FF">
      <w:pPr>
        <w:sectPr w:rsidR="006E50FF" w:rsidSect="006E50FF">
          <w:type w:val="continuous"/>
          <w:pgSz w:w="12240" w:h="15840" w:code="1"/>
          <w:pgMar w:top="720" w:right="864" w:bottom="317" w:left="864" w:header="576" w:footer="432" w:gutter="0"/>
          <w:cols w:num="2" w:space="720"/>
        </w:sectPr>
      </w:pPr>
    </w:p>
    <w:p w14:paraId="6E73EF1E" w14:textId="77777777" w:rsidR="006E50FF" w:rsidRPr="006E50FF" w:rsidRDefault="006E50FF" w:rsidP="006E50FF">
      <w:pPr>
        <w:jc w:val="center"/>
        <w:rPr>
          <w:rFonts w:ascii="Arial" w:hAnsi="Arial"/>
          <w:b/>
          <w:noProof/>
          <w:sz w:val="48"/>
        </w:rPr>
      </w:pPr>
      <w:r w:rsidRPr="006E50FF">
        <w:rPr>
          <w:rFonts w:ascii="Arial" w:hAnsi="Arial"/>
          <w:b/>
          <w:noProof/>
          <w:sz w:val="48"/>
        </w:rPr>
        <w:lastRenderedPageBreak/>
        <w:t>Notices of Intent</w:t>
      </w:r>
    </w:p>
    <w:p w14:paraId="70A95013" w14:textId="77777777" w:rsidR="006E50FF" w:rsidRPr="006E50FF" w:rsidRDefault="006E50FF" w:rsidP="006E50FF"/>
    <w:p w14:paraId="2A71E49C" w14:textId="77777777" w:rsidR="006E50FF" w:rsidRPr="006E50FF" w:rsidRDefault="006E50FF" w:rsidP="006E50FF"/>
    <w:p w14:paraId="6E5C0A50" w14:textId="77777777" w:rsidR="006E50FF" w:rsidRPr="006E50FF" w:rsidRDefault="006E50FF" w:rsidP="006E50FF">
      <w:pPr>
        <w:sectPr w:rsidR="006E50FF" w:rsidRPr="006E50FF" w:rsidSect="006E50FF">
          <w:footerReference w:type="even" r:id="rId16"/>
          <w:footerReference w:type="default" r:id="rId17"/>
          <w:pgSz w:w="12240" w:h="15840"/>
          <w:pgMar w:top="720" w:right="864" w:bottom="864" w:left="864" w:header="576" w:footer="432" w:gutter="0"/>
          <w:pgNumType w:start="1530"/>
          <w:cols w:space="720"/>
          <w:docGrid w:linePitch="272"/>
        </w:sectPr>
      </w:pPr>
    </w:p>
    <w:p w14:paraId="5C04908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6287F01" w14:textId="77777777" w:rsidR="006E50FF" w:rsidRPr="006E50FF" w:rsidRDefault="006E50FF" w:rsidP="006E50FF">
      <w:pPr>
        <w:keepNext/>
        <w:jc w:val="center"/>
        <w:rPr>
          <w:b/>
          <w:noProof/>
        </w:rPr>
      </w:pPr>
      <w:r w:rsidRPr="006E50FF">
        <w:rPr>
          <w:b/>
          <w:noProof/>
        </w:rPr>
        <w:t>Department of Agriculture and Forestry</w:t>
      </w:r>
    </w:p>
    <w:p w14:paraId="4A9D108B" w14:textId="77777777" w:rsidR="006E50FF" w:rsidRPr="006E50FF" w:rsidRDefault="006E50FF" w:rsidP="006E50FF">
      <w:pPr>
        <w:keepNext/>
        <w:jc w:val="center"/>
        <w:rPr>
          <w:b/>
          <w:noProof/>
        </w:rPr>
      </w:pPr>
      <w:r w:rsidRPr="006E50FF">
        <w:rPr>
          <w:b/>
          <w:noProof/>
        </w:rPr>
        <w:t>Board of Veterinary Medicine</w:t>
      </w:r>
    </w:p>
    <w:p w14:paraId="069093C5" w14:textId="77777777" w:rsidR="006E50FF" w:rsidRPr="006E50FF" w:rsidRDefault="006E50FF" w:rsidP="006E50FF">
      <w:pPr>
        <w:keepNext/>
        <w:spacing w:before="240" w:after="240"/>
        <w:jc w:val="center"/>
        <w:rPr>
          <w:noProof/>
        </w:rPr>
      </w:pPr>
      <w:r w:rsidRPr="006E50FF">
        <w:rPr>
          <w:noProof/>
        </w:rPr>
        <w:t>Licensing Procedures</w:t>
      </w:r>
      <w:r w:rsidRPr="006E50FF">
        <w:rPr>
          <w:noProof/>
        </w:rPr>
        <w:br/>
        <w:t>(LAC 46:LXXXV.309 and 807)</w:t>
      </w:r>
    </w:p>
    <w:p w14:paraId="738195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Administrative Procedure Act (R.S. 49:950 et seq.), the 2022 </w:t>
      </w:r>
      <w:r w:rsidRPr="006E50FF">
        <w:rPr>
          <w:i/>
          <w:iCs/>
          <w:kern w:val="2"/>
        </w:rPr>
        <w:t>Louisiana Administrative Code</w:t>
      </w:r>
      <w:r w:rsidRPr="006E50FF">
        <w:rPr>
          <w:kern w:val="2"/>
        </w:rPr>
        <w:t xml:space="preserve"> Review, and the JML Executive Order No. 25-038, the Board (“Board”) of Veterinary Medicine has conducted a comprehensive review of Rules 309 and 807 and has amended the rules to establish a clearer and more streamlined process for out of state veterinarians and veterinary technicians to register with the board and practice veterinary medicine in the state of Louisiana during a gubernatorial-declared emergency. The historical notes shall be updated to reflect the review of these rules. This Rule is hereby adopted on the date of promulgation.</w:t>
      </w:r>
    </w:p>
    <w:p w14:paraId="4D618920" w14:textId="77777777" w:rsidR="006E50FF" w:rsidRPr="006E50FF" w:rsidRDefault="006E50FF" w:rsidP="006E50FF">
      <w:pPr>
        <w:keepNext/>
        <w:jc w:val="center"/>
        <w:rPr>
          <w:b/>
          <w:kern w:val="28"/>
        </w:rPr>
      </w:pPr>
      <w:r w:rsidRPr="006E50FF">
        <w:rPr>
          <w:b/>
          <w:kern w:val="28"/>
        </w:rPr>
        <w:t>Title 46</w:t>
      </w:r>
    </w:p>
    <w:p w14:paraId="31D67D59" w14:textId="77777777" w:rsidR="006E50FF" w:rsidRPr="006E50FF" w:rsidRDefault="006E50FF" w:rsidP="006E50FF">
      <w:pPr>
        <w:keepNext/>
        <w:jc w:val="center"/>
        <w:rPr>
          <w:b/>
          <w:kern w:val="28"/>
        </w:rPr>
      </w:pPr>
      <w:r w:rsidRPr="006E50FF">
        <w:rPr>
          <w:b/>
          <w:kern w:val="28"/>
        </w:rPr>
        <w:t>PROFESSIONAL AND OCCUPATIONAL STANDARDS</w:t>
      </w:r>
    </w:p>
    <w:p w14:paraId="0C938851" w14:textId="77777777" w:rsidR="006E50FF" w:rsidRPr="006E50FF" w:rsidRDefault="006E50FF" w:rsidP="006E50FF">
      <w:pPr>
        <w:keepNext/>
        <w:jc w:val="center"/>
        <w:rPr>
          <w:b/>
          <w:noProof/>
        </w:rPr>
      </w:pPr>
      <w:r w:rsidRPr="006E50FF">
        <w:rPr>
          <w:b/>
          <w:noProof/>
        </w:rPr>
        <w:t>Part LXXXV.  Veterinarians</w:t>
      </w:r>
    </w:p>
    <w:p w14:paraId="12E13BC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10" w:name="TOC_Chap3"/>
      <w:bookmarkStart w:id="111" w:name="_Toc222490981"/>
      <w:bookmarkStart w:id="112" w:name="_Toc236297466"/>
      <w:bookmarkStart w:id="113" w:name="_Toc222490986"/>
      <w:bookmarkStart w:id="114" w:name="_Toc236297471"/>
      <w:r w:rsidRPr="006E50FF">
        <w:rPr>
          <w:b/>
          <w:kern w:val="2"/>
        </w:rPr>
        <w:t>Chapter 3.</w:t>
      </w:r>
      <w:bookmarkStart w:id="115" w:name="TOCT_Chap3"/>
      <w:bookmarkEnd w:id="110"/>
      <w:r w:rsidRPr="006E50FF">
        <w:rPr>
          <w:b/>
          <w:kern w:val="2"/>
        </w:rPr>
        <w:tab/>
        <w:t>Licensure Procedures</w:t>
      </w:r>
      <w:bookmarkEnd w:id="111"/>
      <w:bookmarkEnd w:id="112"/>
      <w:bookmarkEnd w:id="115"/>
    </w:p>
    <w:p w14:paraId="65BE3B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Temporary Registration during a Declared Public Health Emergency</w:t>
      </w:r>
      <w:bookmarkEnd w:id="113"/>
      <w:bookmarkEnd w:id="114"/>
    </w:p>
    <w:p w14:paraId="4DEB1B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29:769(E), during any period in which a public health emergency has been lawfully declared by the governor of Louisiana, the board, through its emergency rule-making authority, may issue a temporary registration to out-of-state veterinarians who are licensed in another jurisdiction of the United States and whose licenses are current, unrestricted, and in good standing in such jurisdictions.</w:t>
      </w:r>
    </w:p>
    <w:p w14:paraId="4F97C5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Emergency Rule implemented by the board pursuant to the provisions of the Administrative Procedure Act shall address the necessity for such an Emergency Rule and the specificity necessary to address the needs of the particular declared emergency at issue. Such information will be posted on the board's</w:t>
      </w:r>
      <w:r w:rsidRPr="006E50FF">
        <w:rPr>
          <w:strike/>
          <w:kern w:val="2"/>
        </w:rPr>
        <w:t xml:space="preserve"> </w:t>
      </w:r>
      <w:r w:rsidRPr="006E50FF">
        <w:rPr>
          <w:kern w:val="2"/>
        </w:rPr>
        <w:t>website and included in the expedited application for temporary registration for veterinarians.</w:t>
      </w:r>
    </w:p>
    <w:p w14:paraId="0C8444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cs="Shruti"/>
          <w:kern w:val="2"/>
        </w:rPr>
        <w:t>C.</w:t>
      </w:r>
      <w:r w:rsidRPr="006E50FF">
        <w:rPr>
          <w:rFonts w:cs="Shruti"/>
          <w:kern w:val="2"/>
        </w:rPr>
        <w:tab/>
      </w:r>
      <w:r w:rsidRPr="006E50FF">
        <w:rPr>
          <w:kern w:val="2"/>
        </w:rPr>
        <w:t xml:space="preserve">Temporary registrations may be granted to veterinarians </w:t>
      </w:r>
      <w:r w:rsidRPr="006E50FF">
        <w:rPr>
          <w:rFonts w:cs="Shruti"/>
          <w:kern w:val="2"/>
        </w:rPr>
        <w:t>for a period of time not to exceed 60 days</w:t>
      </w:r>
      <w:r w:rsidRPr="006E50FF">
        <w:rPr>
          <w:kern w:val="2"/>
        </w:rPr>
        <w:t xml:space="preserve"> at the discretion of the board, with the potential extension of up to two additional periods not to exceed 60 days for each extension as determined appropriate and necessary by the board.</w:t>
      </w:r>
    </w:p>
    <w:p w14:paraId="494FDAC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cs="Shruti"/>
          <w:kern w:val="2"/>
        </w:rPr>
      </w:pPr>
      <w:r w:rsidRPr="006E50FF">
        <w:rPr>
          <w:kern w:val="2"/>
        </w:rPr>
        <w:t>D.</w:t>
      </w:r>
      <w:r w:rsidRPr="006E50FF">
        <w:rPr>
          <w:kern w:val="2"/>
        </w:rPr>
        <w:tab/>
        <w:t>All out-of-state veterinarians seeking temporary registration from the board shall</w:t>
      </w:r>
      <w:r w:rsidRPr="006E50FF">
        <w:rPr>
          <w:rFonts w:cs="Shruti"/>
          <w:kern w:val="2"/>
        </w:rPr>
        <w:t>:</w:t>
      </w:r>
    </w:p>
    <w:p w14:paraId="178956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complete and submit an application for temporary registration, which includes the disclosure of all licenses currently held in a state, territory, or district of the United States; and,</w:t>
      </w:r>
    </w:p>
    <w:p w14:paraId="0AC140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provide licensure verification from all United States jurisdictions in which licenses are currently held.</w:t>
      </w:r>
    </w:p>
    <w:p w14:paraId="32D7883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E.</w:t>
      </w:r>
      <w:r w:rsidRPr="006E50FF">
        <w:rPr>
          <w:kern w:val="2"/>
        </w:rPr>
        <w:tab/>
        <w:t>A temporary registration must be issued by the board prior to an out-of-state veterinarian rendering any veterinary services in Louisiana.</w:t>
      </w:r>
    </w:p>
    <w:p w14:paraId="1190A7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veterinarian holding a valid temporary registration shall comply with the Louisiana Veterinary Practice Act, board rules, and other applicable laws.</w:t>
      </w:r>
    </w:p>
    <w:p w14:paraId="7576C2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If a veterinarian holding a valid temporary registration issued by the board fails to comply with the conditions established by this Rule, the board may terminate the registration upon notice and hearing.</w:t>
      </w:r>
    </w:p>
    <w:p w14:paraId="6809C8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Any out-of-state licensed veterinarian practicing veterinary medicine in Louisiana without a valid temporary registration issued by the board shall be deemed to be engaged in the unlawful practice of veterinary medicine and shall be subject to prosecution and to any other remedies available under the law.</w:t>
      </w:r>
    </w:p>
    <w:p w14:paraId="5A5A51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55F41C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32:1900 (October 2006), amended by the Department of Agriculture and Forestry, Board of Veterinary Medicine, LR 52:</w:t>
      </w:r>
    </w:p>
    <w:p w14:paraId="10F9CF4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16" w:name="_Toc222491017"/>
      <w:bookmarkStart w:id="117" w:name="_Toc236297502"/>
      <w:bookmarkStart w:id="118" w:name="_Toc222491022"/>
      <w:bookmarkStart w:id="119" w:name="_Toc236297507"/>
      <w:r w:rsidRPr="006E50FF">
        <w:rPr>
          <w:b/>
          <w:kern w:val="2"/>
        </w:rPr>
        <w:t>Chapter 8.</w:t>
      </w:r>
      <w:bookmarkStart w:id="120" w:name="TOCT_Chap12"/>
      <w:bookmarkStart w:id="121" w:name="TOCT_Chap13"/>
      <w:bookmarkStart w:id="122" w:name="TOCT_Chap14"/>
      <w:r w:rsidRPr="006E50FF">
        <w:rPr>
          <w:b/>
          <w:kern w:val="2"/>
        </w:rPr>
        <w:tab/>
        <w:t>Registered Veterinary Technicians</w:t>
      </w:r>
      <w:bookmarkEnd w:id="116"/>
      <w:bookmarkEnd w:id="117"/>
      <w:bookmarkEnd w:id="120"/>
      <w:bookmarkEnd w:id="121"/>
      <w:bookmarkEnd w:id="122"/>
    </w:p>
    <w:p w14:paraId="5A92C63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§807.</w:t>
      </w:r>
      <w:r w:rsidRPr="006E50FF">
        <w:rPr>
          <w:b/>
          <w:kern w:val="2"/>
        </w:rPr>
        <w:tab/>
        <w:t xml:space="preserve">Temporary </w:t>
      </w:r>
      <w:bookmarkEnd w:id="118"/>
      <w:bookmarkEnd w:id="119"/>
      <w:r w:rsidRPr="006E50FF">
        <w:rPr>
          <w:b/>
          <w:kern w:val="2"/>
        </w:rPr>
        <w:t>Registration during a Declared Public Health Emergency</w:t>
      </w:r>
    </w:p>
    <w:p w14:paraId="4BCC09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29:769(E), during any period in which a public health emergency has been lawfully declared by the governor of Louisiana, the board, through its emergency rule-making authority, may issue a temporary registration to out-of-state veterinary technicians who are licensed, certified, or registered in another jurisdiction of the United States and whose licenses, certificates, or registrations are current, unrestricted, and in good standing in such jurisdictions.</w:t>
      </w:r>
    </w:p>
    <w:p w14:paraId="6D905A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Emergency Rule implemented by the board pursuant to the provisions of the Administrative Procedure Act shall address the necessity for such an Emergency Rule and the specificity necessary to address the needs of the particular declared emergency at issue. Such information will be posted on the board's website and included in the expedited application for temporary registration for veterinary technicians.</w:t>
      </w:r>
    </w:p>
    <w:p w14:paraId="55FEFE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cs="Shruti"/>
          <w:kern w:val="2"/>
        </w:rPr>
        <w:t>C.</w:t>
      </w:r>
      <w:r w:rsidRPr="006E50FF">
        <w:rPr>
          <w:rFonts w:cs="Shruti"/>
          <w:kern w:val="2"/>
        </w:rPr>
        <w:tab/>
      </w:r>
      <w:r w:rsidRPr="006E50FF">
        <w:rPr>
          <w:kern w:val="2"/>
        </w:rPr>
        <w:t xml:space="preserve">Temporary registrations may be granted to veterinary technicians </w:t>
      </w:r>
      <w:r w:rsidRPr="006E50FF">
        <w:rPr>
          <w:rFonts w:cs="Shruti"/>
          <w:kern w:val="2"/>
        </w:rPr>
        <w:t>for a period of time not to exceed 60 days</w:t>
      </w:r>
      <w:r w:rsidRPr="006E50FF">
        <w:rPr>
          <w:kern w:val="2"/>
        </w:rPr>
        <w:t xml:space="preserve"> at the discretion of the board, with the potential extension of up to two additional periods not to exceed 60 days for each extension as determined appropriate and necessary by the board.</w:t>
      </w:r>
    </w:p>
    <w:p w14:paraId="3263A729"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cs="Shruti"/>
          <w:kern w:val="2"/>
        </w:rPr>
      </w:pPr>
      <w:r w:rsidRPr="006E50FF">
        <w:rPr>
          <w:kern w:val="2"/>
        </w:rPr>
        <w:t>D.</w:t>
      </w:r>
      <w:r w:rsidRPr="006E50FF">
        <w:rPr>
          <w:kern w:val="2"/>
        </w:rPr>
        <w:tab/>
        <w:t>All out-of-state veterinary technicians seeking temporary registration from the board shall</w:t>
      </w:r>
      <w:r w:rsidRPr="006E50FF">
        <w:rPr>
          <w:rFonts w:cs="Shruti"/>
          <w:kern w:val="2"/>
        </w:rPr>
        <w:t>:</w:t>
      </w:r>
    </w:p>
    <w:p w14:paraId="3410A3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complete and submit an application for temporary registration, which includes the disclosure of all licenses, certificates, or registrations currently held in a state, territory, or district of the United States; and,</w:t>
      </w:r>
    </w:p>
    <w:p w14:paraId="7D524E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provide licensure verification from all United States jurisdictions in which licenses, certificates, or registrations are currently held.</w:t>
      </w:r>
    </w:p>
    <w:p w14:paraId="598FA0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6202A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A temporary registration must be issued by the board prior to an out-of-state veterinary technician rendering any veterinary medical assistance in Louisiana. Veterinary medical assistance shall be performed under the direct supervision, as defined in R.S. §1542(3) of a veterinarian licensed to practice in Louisiana, except that no registered veterinary technician shall perform animal diagnosis, the prescribing of treatment or medications, or any surgical procedures.</w:t>
      </w:r>
    </w:p>
    <w:p w14:paraId="4B1613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veterinary technician holding a valid temporary registration shall comply with the Louisiana Veterinary Practice Act, board rules, and other applicable laws.</w:t>
      </w:r>
    </w:p>
    <w:p w14:paraId="29033F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If a veterinary technician holding a valid temporary registration issued by the board fails to comply with the conditions established by this Rule, the board may terminate the registration upon notice and hearing.</w:t>
      </w:r>
    </w:p>
    <w:p w14:paraId="7C996E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Any out-of-state licensed veterinary technician practicing veterinary medicine in Louisiana without a valid temporary registration issued by the board shall be deemed to be engaged in the unlawful practice of veterinary medicine and shall be subject to prosecution and to any other remedies available under the law.</w:t>
      </w:r>
    </w:p>
    <w:p w14:paraId="2529DC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37:1549.</w:t>
      </w:r>
    </w:p>
    <w:p w14:paraId="51EB31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16:227 (March 1990), repromulgated by the Department of Agriculture and Forestry, Board of Veterinary Medicine, LR 51:950 (July 2025), amended by the Department of Agriculture and Forestry, Board of Veterinary Medicine, LR 52:</w:t>
      </w:r>
    </w:p>
    <w:p w14:paraId="46D86708" w14:textId="77777777" w:rsidR="006E50FF" w:rsidRPr="006E50FF" w:rsidRDefault="006E50FF" w:rsidP="006E50FF">
      <w:pPr>
        <w:keepNext/>
        <w:jc w:val="center"/>
        <w:rPr>
          <w:b/>
          <w:kern w:val="28"/>
        </w:rPr>
      </w:pPr>
      <w:bookmarkStart w:id="123" w:name="_Hlk96585891"/>
      <w:r w:rsidRPr="006E50FF">
        <w:rPr>
          <w:b/>
          <w:kern w:val="28"/>
        </w:rPr>
        <w:t>Family Impact Statement</w:t>
      </w:r>
    </w:p>
    <w:p w14:paraId="76F566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family formation, stability, and autonomy. In particular, the proposed Rule has no known or foreseeable impact on: </w:t>
      </w:r>
    </w:p>
    <w:p w14:paraId="3F7BC9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stability of the family; </w:t>
      </w:r>
    </w:p>
    <w:p w14:paraId="0ADBED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authority and rights of persons regarding the education and supervision of their children; </w:t>
      </w:r>
    </w:p>
    <w:p w14:paraId="32325C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functioning of the family; </w:t>
      </w:r>
    </w:p>
    <w:p w14:paraId="51194B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527C2A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006B76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359C281D" w14:textId="77777777" w:rsidR="006E50FF" w:rsidRPr="006E50FF" w:rsidRDefault="006E50FF" w:rsidP="006E50FF">
      <w:pPr>
        <w:keepNext/>
        <w:jc w:val="center"/>
        <w:rPr>
          <w:b/>
          <w:kern w:val="28"/>
        </w:rPr>
      </w:pPr>
      <w:r w:rsidRPr="006E50FF">
        <w:rPr>
          <w:b/>
          <w:kern w:val="28"/>
        </w:rPr>
        <w:t>Poverty Impact Statement</w:t>
      </w:r>
    </w:p>
    <w:p w14:paraId="42BBA9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any child, individual or family as defined by R.S. 49:973(B). In particular, there should be no known or foreseeable effect on: </w:t>
      </w:r>
    </w:p>
    <w:p w14:paraId="3454AF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2FE76B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C181A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23AE87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79869A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3BEF94C8" w14:textId="77777777" w:rsidR="006E50FF" w:rsidRPr="006E50FF" w:rsidRDefault="006E50FF" w:rsidP="006E50FF">
      <w:pPr>
        <w:keepNext/>
        <w:jc w:val="center"/>
        <w:rPr>
          <w:b/>
          <w:kern w:val="28"/>
        </w:rPr>
      </w:pPr>
      <w:r w:rsidRPr="006E50FF">
        <w:rPr>
          <w:b/>
          <w:kern w:val="28"/>
        </w:rPr>
        <w:t xml:space="preserve">Small Business Analysis </w:t>
      </w:r>
    </w:p>
    <w:p w14:paraId="712B92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have no adverse impact on small businesses as defined in the Regulatory Flexibility Act.</w:t>
      </w:r>
    </w:p>
    <w:p w14:paraId="2FA3DE89" w14:textId="77777777" w:rsidR="006E50FF" w:rsidRPr="006E50FF" w:rsidRDefault="006E50FF" w:rsidP="006E50FF">
      <w:pPr>
        <w:keepNext/>
        <w:jc w:val="center"/>
        <w:rPr>
          <w:b/>
          <w:kern w:val="28"/>
        </w:rPr>
      </w:pPr>
      <w:r w:rsidRPr="006E50FF">
        <w:rPr>
          <w:b/>
          <w:kern w:val="28"/>
        </w:rPr>
        <w:t>Provider Impact Statement</w:t>
      </w:r>
    </w:p>
    <w:p w14:paraId="3C9CF7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providers as defined by HCR 170 of the </w:t>
      </w:r>
      <w:r w:rsidRPr="006E50FF">
        <w:rPr>
          <w:kern w:val="2"/>
        </w:rPr>
        <w:t>2014 Regular Legislative Session. In particular, there should be no known or foreseeable effect on:</w:t>
      </w:r>
    </w:p>
    <w:p w14:paraId="6CCCD9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09B859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006095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overall effect on the ability of the provider to provide the same level of service. </w:t>
      </w:r>
    </w:p>
    <w:p w14:paraId="1464713A" w14:textId="77777777" w:rsidR="006E50FF" w:rsidRPr="006E50FF" w:rsidRDefault="006E50FF" w:rsidP="006E50FF">
      <w:pPr>
        <w:keepNext/>
        <w:jc w:val="center"/>
        <w:rPr>
          <w:b/>
          <w:kern w:val="28"/>
        </w:rPr>
      </w:pPr>
      <w:r w:rsidRPr="006E50FF">
        <w:rPr>
          <w:b/>
          <w:kern w:val="28"/>
        </w:rPr>
        <w:t>Public Comments</w:t>
      </w:r>
    </w:p>
    <w:p w14:paraId="6C5886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parties may submit written comments to the Louisiana Board of Veterinary Medicine, Attention: Jared B. Granier, Executive Director, via U.S Mail at 5825 Florida Blvd, Baton Rouge, LA 70806 or via e-mail attachment to director@lsbvm.org or via hand delivery. Comments will be accepted until 3 p.m. on Saturday, October 10, 2026. All written comments must be dated and must include the first and last name, email address, mailing address, phone number, and the original signature of the person submitting the comments.</w:t>
      </w:r>
    </w:p>
    <w:p w14:paraId="1B2DC3B1" w14:textId="77777777" w:rsidR="006E50FF" w:rsidRPr="006E50FF" w:rsidRDefault="006E50FF" w:rsidP="006E50FF">
      <w:pPr>
        <w:keepNext/>
        <w:jc w:val="center"/>
        <w:rPr>
          <w:b/>
          <w:kern w:val="28"/>
        </w:rPr>
      </w:pPr>
      <w:r w:rsidRPr="006E50FF">
        <w:rPr>
          <w:b/>
          <w:kern w:val="28"/>
        </w:rPr>
        <w:t>Public Hearing</w:t>
      </w:r>
    </w:p>
    <w:p w14:paraId="45B910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parties may submit a written request to conduct a public hearing to the Louisiana Board of Veterinary Medicine, Attention: Jared B. Granier, Executive Director, via U.S Mail at 5825 Florida Blvd, Baton Rouge, LA 70806 or via e-mail attachment to director@lsbvm.org or via hand delivery; however, such request must be received by no later than 3 p.m. on Saturday, October 10, 2026. If the criteria set forth in R.S. 49:953(A)(2)(a) are satisfied, a public hearing will be conducted at 1 p.m. on Monday, October 26, 2026 at 5825 Florida Blvd, Baton Rouge, LA 70806. To confirm whether or not a public hearing will be held, interested parties should visit the board’s website at www.lsbvm.org/rulemaking-projects after Saturday, October 10, 2026. If a public hearing is to be held, all interested parties are invited to attend and present data, views, comments, or arguments, orally or in writing. In the event of a hearing, parking is available to the public in front of the Department of Agriculture and Forestry Building at 5825 Florida Blvd, Baton Rouge, LA 70806.</w:t>
      </w:r>
    </w:p>
    <w:p w14:paraId="67B9F4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bookmarkEnd w:id="123"/>
    <w:p w14:paraId="63E4FC8E" w14:textId="77777777" w:rsidR="006E50FF" w:rsidRPr="006E50FF" w:rsidRDefault="006E50FF" w:rsidP="006E50FF">
      <w:pPr>
        <w:keepNext/>
        <w:ind w:left="2160"/>
        <w:jc w:val="both"/>
      </w:pPr>
      <w:r w:rsidRPr="006E50FF">
        <w:t>Jared B. Granier</w:t>
      </w:r>
    </w:p>
    <w:p w14:paraId="62B9C6AD" w14:textId="77777777" w:rsidR="006E50FF" w:rsidRPr="006E50FF" w:rsidRDefault="006E50FF" w:rsidP="006E50FF">
      <w:pPr>
        <w:keepNext/>
        <w:ind w:left="2160"/>
        <w:jc w:val="both"/>
      </w:pPr>
      <w:r w:rsidRPr="006E50FF">
        <w:t>Executive Director</w:t>
      </w:r>
    </w:p>
    <w:p w14:paraId="0C07B4B1" w14:textId="77777777" w:rsidR="006E50FF" w:rsidRPr="006E50FF" w:rsidRDefault="006E50FF" w:rsidP="006E50FF">
      <w:pPr>
        <w:keepNext/>
        <w:jc w:val="center"/>
        <w:rPr>
          <w:b/>
        </w:rPr>
      </w:pPr>
    </w:p>
    <w:p w14:paraId="1EAB959D" w14:textId="77777777" w:rsidR="006E50FF" w:rsidRPr="006E50FF" w:rsidRDefault="006E50FF" w:rsidP="006E50FF">
      <w:pPr>
        <w:keepNext/>
        <w:jc w:val="center"/>
        <w:rPr>
          <w:b/>
        </w:rPr>
      </w:pPr>
      <w:r w:rsidRPr="006E50FF">
        <w:rPr>
          <w:b/>
        </w:rPr>
        <w:t>FISCAL AND ECONOMIC IMPACT STATEMENT FOR ADMINISTRATIVE RULES</w:t>
      </w:r>
    </w:p>
    <w:p w14:paraId="37975B10" w14:textId="77777777" w:rsidR="006E50FF" w:rsidRPr="006E50FF" w:rsidRDefault="006E50FF" w:rsidP="006E50FF">
      <w:pPr>
        <w:keepNext/>
        <w:jc w:val="center"/>
        <w:rPr>
          <w:b/>
          <w:noProof/>
        </w:rPr>
      </w:pPr>
      <w:r w:rsidRPr="006E50FF">
        <w:rPr>
          <w:b/>
          <w:noProof/>
        </w:rPr>
        <w:t xml:space="preserve">RULE TITLE:  </w:t>
      </w:r>
      <w:bookmarkStart w:id="124" w:name="FE2"/>
      <w:bookmarkEnd w:id="124"/>
      <w:r w:rsidRPr="006E50FF">
        <w:rPr>
          <w:b/>
          <w:noProof/>
        </w:rPr>
        <w:t>Licensing Procedures</w:t>
      </w:r>
    </w:p>
    <w:p w14:paraId="448D430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A51A262"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8CF7BF2" w14:textId="77777777" w:rsidR="006E50FF" w:rsidRPr="006E50FF" w:rsidRDefault="006E50FF" w:rsidP="006E50FF">
      <w:pPr>
        <w:ind w:left="288" w:firstLine="288"/>
        <w:jc w:val="both"/>
        <w:rPr>
          <w:sz w:val="18"/>
          <w:szCs w:val="18"/>
        </w:rPr>
      </w:pPr>
      <w:r w:rsidRPr="006E50FF">
        <w:rPr>
          <w:sz w:val="18"/>
          <w:szCs w:val="18"/>
        </w:rPr>
        <w:t xml:space="preserve">There are no anticipated costs or savings to state or local governmental units resulting from the proposed rule change, except for the cost associated with publishing, which is included in the annual operating budget of the Board of Veterinary Medicine (Board). </w:t>
      </w:r>
    </w:p>
    <w:p w14:paraId="3AD2AD95" w14:textId="77777777" w:rsidR="006E50FF" w:rsidRPr="006E50FF" w:rsidRDefault="006E50FF" w:rsidP="006E50FF">
      <w:pPr>
        <w:ind w:left="288" w:firstLine="288"/>
        <w:jc w:val="both"/>
        <w:rPr>
          <w:sz w:val="18"/>
          <w:szCs w:val="18"/>
        </w:rPr>
      </w:pPr>
      <w:r w:rsidRPr="006E50FF">
        <w:rPr>
          <w:sz w:val="18"/>
          <w:szCs w:val="18"/>
        </w:rPr>
        <w:t>The proposed rule change will establish a clearer, more streamlined process for out-of-state veterinarians and veterinary technicians to register with the Board and practice veterinary medicine in Louisiana during a gubernatorial-declared emergency.</w:t>
      </w:r>
    </w:p>
    <w:p w14:paraId="3F5A0F9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D14BAE4" w14:textId="77777777" w:rsidR="006E50FF" w:rsidRPr="006E50FF" w:rsidRDefault="006E50FF" w:rsidP="006E50FF">
      <w:pPr>
        <w:ind w:left="288" w:firstLine="288"/>
        <w:jc w:val="both"/>
        <w:rPr>
          <w:sz w:val="18"/>
          <w:szCs w:val="18"/>
        </w:rPr>
      </w:pPr>
      <w:r w:rsidRPr="006E50FF">
        <w:rPr>
          <w:sz w:val="18"/>
          <w:szCs w:val="18"/>
        </w:rPr>
        <w:t>The proposed rule change is not anticipated to impact revenue collections of state or local governmental units.</w:t>
      </w:r>
    </w:p>
    <w:p w14:paraId="1F52AF05" w14:textId="77777777" w:rsidR="006E50FF" w:rsidRPr="006E50FF" w:rsidRDefault="006E50FF" w:rsidP="006E50FF">
      <w:pPr>
        <w:ind w:left="288" w:hanging="288"/>
        <w:jc w:val="both"/>
        <w:rPr>
          <w:spacing w:val="-10"/>
          <w:sz w:val="18"/>
        </w:rPr>
      </w:pPr>
      <w:r w:rsidRPr="006E50FF">
        <w:rPr>
          <w:spacing w:val="-10"/>
          <w:sz w:val="18"/>
        </w:rPr>
        <w:lastRenderedPageBreak/>
        <w:t>III.</w:t>
      </w:r>
      <w:r w:rsidRPr="006E50FF">
        <w:rPr>
          <w:spacing w:val="-10"/>
          <w:sz w:val="18"/>
        </w:rPr>
        <w:tab/>
        <w:t>ESTIMATED COSTS AND/OR ECONOMIC BENEFITS TO DIRECTLY AFFECTED PERSONS, SMALL BUSINESSES, OR NONGOVERNMENTAL GROUPS (Summary)</w:t>
      </w:r>
    </w:p>
    <w:p w14:paraId="421125C3" w14:textId="77777777" w:rsidR="006E50FF" w:rsidRPr="006E50FF" w:rsidRDefault="006E50FF" w:rsidP="006E50FF">
      <w:pPr>
        <w:ind w:left="288" w:firstLine="288"/>
        <w:jc w:val="both"/>
        <w:rPr>
          <w:sz w:val="18"/>
          <w:szCs w:val="18"/>
        </w:rPr>
      </w:pPr>
      <w:r w:rsidRPr="006E50FF">
        <w:rPr>
          <w:sz w:val="18"/>
          <w:szCs w:val="18"/>
        </w:rPr>
        <w:t>The proposed rule change is not anticipated to cost or provide an economic benefit to any affected persons, small businesses, or non-governmental groups. The proposed rule change will establish a clearer, more streamlined process for out-of-state veterinarians and veterinary technicians to register with the Board and practice veterinary medicine in Louisiana during a gubernatorial-declared emergency.</w:t>
      </w:r>
    </w:p>
    <w:p w14:paraId="26E2869A"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B5296D6" w14:textId="77777777" w:rsidR="006E50FF" w:rsidRPr="006E50FF" w:rsidRDefault="006E50FF" w:rsidP="006E50FF">
      <w:pPr>
        <w:ind w:left="288" w:firstLine="288"/>
        <w:jc w:val="both"/>
        <w:rPr>
          <w:sz w:val="18"/>
          <w:szCs w:val="18"/>
        </w:rPr>
      </w:pPr>
      <w:r w:rsidRPr="006E50FF">
        <w:rPr>
          <w:sz w:val="18"/>
          <w:szCs w:val="18"/>
        </w:rPr>
        <w:t>The proposed rule change is not anticipated to impact competition or employment in either the public or private sector.</w:t>
      </w:r>
    </w:p>
    <w:p w14:paraId="0A71883B" w14:textId="77777777" w:rsidR="006E50FF" w:rsidRPr="006E50FF" w:rsidRDefault="006E50FF" w:rsidP="006E50FF">
      <w:pPr>
        <w:ind w:left="288" w:firstLine="288"/>
        <w:jc w:val="both"/>
        <w:rPr>
          <w:sz w:val="18"/>
        </w:rPr>
      </w:pPr>
    </w:p>
    <w:p w14:paraId="4083F5E8" w14:textId="77777777" w:rsidR="006E50FF" w:rsidRPr="006E50FF" w:rsidRDefault="006E50FF" w:rsidP="006E50FF">
      <w:pPr>
        <w:tabs>
          <w:tab w:val="left" w:pos="2880"/>
          <w:tab w:val="decimal" w:pos="3078"/>
        </w:tabs>
        <w:ind w:left="108"/>
        <w:outlineLvl w:val="8"/>
        <w:rPr>
          <w:kern w:val="2"/>
          <w:sz w:val="18"/>
        </w:rPr>
      </w:pPr>
      <w:r w:rsidRPr="006E50FF">
        <w:rPr>
          <w:kern w:val="2"/>
          <w:sz w:val="18"/>
        </w:rPr>
        <w:t>Jared B. Granier</w:t>
      </w:r>
      <w:r w:rsidRPr="006E50FF">
        <w:rPr>
          <w:kern w:val="2"/>
          <w:sz w:val="18"/>
        </w:rPr>
        <w:tab/>
        <w:t>Patrice Thomas</w:t>
      </w:r>
    </w:p>
    <w:p w14:paraId="217DA125" w14:textId="77777777" w:rsidR="006E50FF" w:rsidRPr="006E50FF" w:rsidRDefault="006E50FF" w:rsidP="006E50FF">
      <w:pPr>
        <w:tabs>
          <w:tab w:val="left" w:pos="2880"/>
          <w:tab w:val="decimal" w:pos="3078"/>
        </w:tabs>
        <w:ind w:left="108"/>
        <w:outlineLvl w:val="8"/>
        <w:rPr>
          <w:kern w:val="2"/>
          <w:sz w:val="18"/>
        </w:rPr>
      </w:pPr>
      <w:r w:rsidRPr="006E50FF">
        <w:rPr>
          <w:kern w:val="2"/>
          <w:sz w:val="18"/>
        </w:rPr>
        <w:t>Executive Director</w:t>
      </w:r>
      <w:r w:rsidRPr="006E50FF">
        <w:rPr>
          <w:kern w:val="2"/>
          <w:sz w:val="18"/>
        </w:rPr>
        <w:tab/>
        <w:t>Deputy Fiscal Officer</w:t>
      </w:r>
    </w:p>
    <w:p w14:paraId="6B9BD670" w14:textId="77777777" w:rsidR="006E50FF" w:rsidRPr="006E50FF" w:rsidRDefault="006E50FF" w:rsidP="006E50FF">
      <w:pPr>
        <w:tabs>
          <w:tab w:val="left" w:pos="2880"/>
          <w:tab w:val="decimal" w:pos="3078"/>
        </w:tabs>
        <w:ind w:left="108"/>
        <w:outlineLvl w:val="8"/>
        <w:rPr>
          <w:kern w:val="2"/>
          <w:sz w:val="18"/>
        </w:rPr>
      </w:pPr>
      <w:bookmarkStart w:id="125" w:name="FE1"/>
      <w:bookmarkEnd w:id="125"/>
      <w:r w:rsidRPr="006E50FF">
        <w:rPr>
          <w:noProof/>
          <w:sz w:val="16"/>
        </w:rPr>
        <w:t>2609#008</w:t>
      </w:r>
      <w:r w:rsidRPr="006E50FF">
        <w:rPr>
          <w:kern w:val="2"/>
        </w:rPr>
        <w:tab/>
      </w:r>
      <w:r w:rsidRPr="006E50FF">
        <w:rPr>
          <w:kern w:val="2"/>
          <w:sz w:val="18"/>
        </w:rPr>
        <w:t>Legislative Fiscal Office</w:t>
      </w:r>
    </w:p>
    <w:p w14:paraId="547E8A43" w14:textId="77777777" w:rsidR="006E50FF" w:rsidRPr="006E50FF" w:rsidRDefault="006E50FF" w:rsidP="006E50FF"/>
    <w:p w14:paraId="158B04AF"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13F66F9" w14:textId="77777777" w:rsidR="006E50FF" w:rsidRPr="006E50FF" w:rsidRDefault="006E50FF" w:rsidP="006E50FF">
      <w:pPr>
        <w:keepNext/>
        <w:jc w:val="center"/>
        <w:rPr>
          <w:b/>
          <w:noProof/>
        </w:rPr>
      </w:pPr>
      <w:r w:rsidRPr="006E50FF">
        <w:rPr>
          <w:b/>
          <w:noProof/>
        </w:rPr>
        <w:t>Department of Agriculture and Forestry</w:t>
      </w:r>
    </w:p>
    <w:p w14:paraId="485E172D" w14:textId="77777777" w:rsidR="006E50FF" w:rsidRPr="006E50FF" w:rsidRDefault="006E50FF" w:rsidP="006E50FF">
      <w:pPr>
        <w:keepNext/>
        <w:jc w:val="center"/>
        <w:rPr>
          <w:b/>
          <w:noProof/>
        </w:rPr>
      </w:pPr>
      <w:r w:rsidRPr="006E50FF">
        <w:rPr>
          <w:b/>
          <w:noProof/>
        </w:rPr>
        <w:t>Office of Agricultural and Environmental Sciences</w:t>
      </w:r>
    </w:p>
    <w:p w14:paraId="5CAC0671" w14:textId="77777777" w:rsidR="006E50FF" w:rsidRPr="006E50FF" w:rsidRDefault="006E50FF" w:rsidP="006E50FF">
      <w:pPr>
        <w:keepNext/>
        <w:jc w:val="center"/>
        <w:rPr>
          <w:b/>
          <w:noProof/>
        </w:rPr>
      </w:pPr>
      <w:r w:rsidRPr="006E50FF">
        <w:rPr>
          <w:b/>
          <w:noProof/>
        </w:rPr>
        <w:t>Structural Pest Control Commission</w:t>
      </w:r>
    </w:p>
    <w:p w14:paraId="4E8008DF" w14:textId="77777777" w:rsidR="006E50FF" w:rsidRPr="006E50FF" w:rsidRDefault="006E50FF" w:rsidP="006E50FF">
      <w:pPr>
        <w:keepNext/>
        <w:spacing w:before="240" w:after="240"/>
        <w:jc w:val="center"/>
        <w:rPr>
          <w:noProof/>
        </w:rPr>
      </w:pPr>
      <w:r w:rsidRPr="006E50FF">
        <w:rPr>
          <w:noProof/>
        </w:rPr>
        <w:t>Structural Pest Control Commission</w:t>
      </w:r>
      <w:r w:rsidRPr="006E50FF">
        <w:rPr>
          <w:noProof/>
        </w:rPr>
        <w:br/>
        <w:t>(LAC 7:XXV.Chapter 1)</w:t>
      </w:r>
    </w:p>
    <w:p w14:paraId="20E13B77" w14:textId="77777777" w:rsidR="006E50FF" w:rsidRPr="006E50FF" w:rsidRDefault="006E50FF" w:rsidP="006E50FF">
      <w:pPr>
        <w:spacing w:after="120"/>
        <w:ind w:left="432" w:right="432"/>
        <w:jc w:val="both"/>
        <w:rPr>
          <w:kern w:val="2"/>
          <w:sz w:val="16"/>
        </w:rPr>
      </w:pPr>
      <w:r w:rsidRPr="006E50FF">
        <w:rPr>
          <w:kern w:val="2"/>
          <w:sz w:val="16"/>
        </w:rPr>
        <w:t xml:space="preserve">Editor's Note: This Notice of Intent is being reprinted because of an obvious typographical error upon submission in the year of the Public Comments paragraph. The original Notice of Intent can be viewed in its entirety on page 1200-1203 of the July 20, 2026 </w:t>
      </w:r>
      <w:r w:rsidRPr="006E50FF">
        <w:rPr>
          <w:i/>
          <w:kern w:val="2"/>
          <w:sz w:val="16"/>
        </w:rPr>
        <w:t>Louisiana Register</w:t>
      </w:r>
      <w:r w:rsidRPr="006E50FF">
        <w:rPr>
          <w:kern w:val="2"/>
          <w:sz w:val="16"/>
        </w:rPr>
        <w:t>.</w:t>
      </w:r>
    </w:p>
    <w:p w14:paraId="7BB2FF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Agriculture and Forestry, Office of Agricultural and Environmental Sciences, Structural Pest Control Commission, proposes to amend </w:t>
      </w:r>
      <w:r w:rsidRPr="006E50FF">
        <w:rPr>
          <w:bCs/>
          <w:kern w:val="2"/>
        </w:rPr>
        <w:t>LAC 7:XXV.107, 113, 117, 141, 147, and 163</w:t>
      </w:r>
      <w:r w:rsidRPr="006E50FF">
        <w:rPr>
          <w:kern w:val="2"/>
        </w:rPr>
        <w:t>. The proposed Rule is promulgated in accordance with the provisions of the Administrative Procedure Act, R.S. 49:950 et seq. The proposed Rule change is made in accordance with R.S. 3:3366, which gives the Structural Pest Control Commission the authority to adopt rules and regulations. This proposed Rule is written in plain language in an effort to increase transparency.</w:t>
      </w:r>
    </w:p>
    <w:p w14:paraId="1D065E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removes language that applicants must have “four years of experience within the last six years” and replaces it with “four years of experience within the last ten years.” The proposed Rule clarifies language for attempting to add additional phases for the structural pest control license. The proposed Rule adds language that requires testing within 90 days of employment. The proposed Rule changes the requirements for submitting termination notices to the department from 5 days to 10 days. The proposed Rule clarifies the requirements for record keeping that the place of business's ID number be maintained. The proposed Rule removes the call-in option for reporting pre-treatment notifications. The proposed Rule change clarifies how structural fumigation notification must be reported, using online forms already in place. Lastly, the proposed Rule removes the requirement that structural pest control work may only be donated in the month of June, and that a plan must be approved by the department 30 days prior to the donation of work. </w:t>
      </w:r>
    </w:p>
    <w:p w14:paraId="186C8366" w14:textId="77777777" w:rsidR="006E50FF" w:rsidRPr="006E50FF" w:rsidRDefault="006E50FF" w:rsidP="006E50FF">
      <w:pPr>
        <w:keepNext/>
        <w:jc w:val="center"/>
        <w:rPr>
          <w:b/>
          <w:kern w:val="28"/>
        </w:rPr>
      </w:pPr>
      <w:r w:rsidRPr="006E50FF">
        <w:rPr>
          <w:b/>
          <w:kern w:val="28"/>
        </w:rPr>
        <w:t>Title 7</w:t>
      </w:r>
    </w:p>
    <w:p w14:paraId="15F9AFA2" w14:textId="77777777" w:rsidR="006E50FF" w:rsidRPr="006E50FF" w:rsidRDefault="006E50FF" w:rsidP="006E50FF">
      <w:pPr>
        <w:keepNext/>
        <w:jc w:val="center"/>
        <w:rPr>
          <w:b/>
          <w:kern w:val="28"/>
        </w:rPr>
      </w:pPr>
      <w:r w:rsidRPr="006E50FF">
        <w:rPr>
          <w:b/>
          <w:kern w:val="28"/>
        </w:rPr>
        <w:t>AGRICULTURE AND ANIMALS</w:t>
      </w:r>
    </w:p>
    <w:p w14:paraId="26D38995" w14:textId="77777777" w:rsidR="006E50FF" w:rsidRPr="006E50FF" w:rsidRDefault="006E50FF" w:rsidP="006E50FF">
      <w:pPr>
        <w:keepNext/>
        <w:jc w:val="center"/>
        <w:rPr>
          <w:b/>
          <w:noProof/>
        </w:rPr>
      </w:pPr>
      <w:r w:rsidRPr="006E50FF">
        <w:rPr>
          <w:b/>
          <w:noProof/>
        </w:rPr>
        <w:t>Part XXV.  Structural Pest Control</w:t>
      </w:r>
    </w:p>
    <w:p w14:paraId="1C51E7A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 Structural Pest Control Commission</w:t>
      </w:r>
    </w:p>
    <w:p w14:paraId="0D30D94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§107.</w:t>
      </w:r>
      <w:r w:rsidRPr="006E50FF">
        <w:rPr>
          <w:b/>
          <w:kern w:val="2"/>
        </w:rPr>
        <w:tab/>
        <w:t>License to Engage in Structural Pest Control Work Required</w:t>
      </w:r>
    </w:p>
    <w:p w14:paraId="260CF4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9FD6B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B.1.a.</w:t>
      </w:r>
      <w:r w:rsidRPr="006E50FF">
        <w:rPr>
          <w:kern w:val="2"/>
        </w:rPr>
        <w:tab/>
        <w:t xml:space="preserve">… </w:t>
      </w:r>
    </w:p>
    <w:p w14:paraId="6A1E6A7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degree from an accredited four-year college or university with at least 12 semester hours or the equivalent in quarter hours of course work in entomology and at least one year or experience within the last ten years as a registered technician under the supervision of a licensee in the licensee phase for which the applicant desires to take the examination: or</w:t>
      </w:r>
    </w:p>
    <w:p w14:paraId="2BE68DB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four years of experience within the last ten years as a registered technician under the supervision of a licensee in the licensee phase for which the applicant desires to take the examination; or</w:t>
      </w:r>
    </w:p>
    <w:p w14:paraId="46D7EB2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four years of experience within the last ten years as a technician under the supervision of a structural pest control operator in another state in the licensee phase for which the individual desires to take the examinations. Experience with an out-of-state structural pest control operator shall be substantiated by evidence acceptable to the commission or commission staff;</w:t>
      </w:r>
    </w:p>
    <w:p w14:paraId="6464A4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B.2.a.</w:t>
      </w:r>
      <w:r w:rsidRPr="006E50FF">
        <w:rPr>
          <w:kern w:val="2"/>
        </w:rPr>
        <w:tab/>
        <w:t>…</w:t>
      </w:r>
    </w:p>
    <w:p w14:paraId="040246E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 degree from an accredited four-year college or university with at least 12 semester hours or the equivalent in quarter hours of course work in entomology and at least one year of experience within the last ten years as a registered technician under the supervision of a licensee in the licensee phase for which the applicant desires to take the examination and complete a commission approved comprehensive termite program; or </w:t>
      </w:r>
    </w:p>
    <w:p w14:paraId="66679BF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four years of experience within the last ten years as a registered technician under the supervision of a licensee in the licensee phase for which the applicant desires to take the examination and complete a commission approved comprehensive termite program; or</w:t>
      </w:r>
    </w:p>
    <w:p w14:paraId="2FD7DAA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four years of experience within the last ten years as a technician under the supervision of a structural pest control operator in another state in the licensee phase for which the individual desires to take the examinations and complete a commission approved comprehensive termite program. Experience with an out-of-state structural pest control operator shall be substantiated by evidence acceptable to the commission or commission staff;</w:t>
      </w:r>
    </w:p>
    <w:p w14:paraId="06EB22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058F358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 degree from an accredited four-year college or university with a major in entomology and having completed 30 jobs in structural fumigation within the last ten years, as a registered technician under the supervision of a licensee in structural fumigation; or</w:t>
      </w:r>
    </w:p>
    <w:p w14:paraId="6204F17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 degree from an accredited four-year college or university with at least 12 semester hours or the equivalent in quarter hours of course work in entomology and at least </w:t>
      </w:r>
      <w:r w:rsidRPr="006E50FF">
        <w:rPr>
          <w:kern w:val="2"/>
        </w:rPr>
        <w:br w:type="page"/>
      </w:r>
      <w:r w:rsidRPr="006E50FF">
        <w:rPr>
          <w:kern w:val="2"/>
        </w:rPr>
        <w:lastRenderedPageBreak/>
        <w:t xml:space="preserve">one year of experience within the last ten years, having completed 30 jobs in structural fumigation as a registered technician under the supervision of a licensee in structural fumigation; or </w:t>
      </w:r>
    </w:p>
    <w:p w14:paraId="72B0BE1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four years of experience within the last ten years, having completed 30 jobs in structural fumigation as a technician under the supervision of a licensee in structural fumigation; or</w:t>
      </w:r>
    </w:p>
    <w:p w14:paraId="01788FD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four years of experience within the last ten years, having completed 30 jobs in structural fumigation as a technician under the supervision of a structural pest control operator in another state in the licensee phase for which the individual desires to take the examinations. Experience with an out-of-state structural pest control operator shall be substantiated by evidence acceptable to the commission or commission staff.</w:t>
      </w:r>
    </w:p>
    <w:p w14:paraId="0932A9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C.1.</w:t>
      </w:r>
      <w:r w:rsidRPr="006E50FF">
        <w:rPr>
          <w:kern w:val="2"/>
        </w:rPr>
        <w:tab/>
        <w:t>...</w:t>
      </w:r>
    </w:p>
    <w:p w14:paraId="7798E7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degree from an accredited four-year college or university with at least 12 semester hours or the equivalent in quarter hours of course work in entomology and at least one year of experience, having completed 200 jobs in ship fumigation within the last ten years as a registered technician under the supervision of a licensee in ship fumigation; or</w:t>
      </w:r>
    </w:p>
    <w:p w14:paraId="3FFAAD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experience as a registered technician having completed 200 jobs in ship fumigation, working under the supervision of a licensee in ship fumigation, during a two-year period within the last ten years; or</w:t>
      </w:r>
    </w:p>
    <w:p w14:paraId="0EF1C8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four years of experience, having completed 200 jobs in ship fumigation within the last ten years as a technician under the supervision of a structural pest control operator in another state in ship fumigation. Experience with an out-of-state structural pest control operator shall be substantiated by evidence acceptable to the commission or commission staff.</w:t>
      </w:r>
    </w:p>
    <w:p w14:paraId="6CB177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F.3.</w:t>
      </w:r>
      <w:r w:rsidRPr="006E50FF">
        <w:rPr>
          <w:kern w:val="2"/>
        </w:rPr>
        <w:tab/>
        <w:t>…</w:t>
      </w:r>
    </w:p>
    <w:p w14:paraId="6F3D97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Out-of-state applicants for licensure shall meet the educational requirements shown in Paragraph B.1 of this Section or produce evidence satisfactory to the commission or commission staff of four years of experience within the last ten</w:t>
      </w:r>
      <w:r w:rsidRPr="006E50FF">
        <w:rPr>
          <w:color w:val="EE0000"/>
          <w:kern w:val="2"/>
        </w:rPr>
        <w:t xml:space="preserve"> </w:t>
      </w:r>
      <w:r w:rsidRPr="006E50FF">
        <w:rPr>
          <w:kern w:val="2"/>
        </w:rPr>
        <w:t xml:space="preserve">years, under the supervision of a recognized and reputable pest control operator. Experience in pest control work in another state will be verified with the appropriate regulatory agency of the other state before out-of-state applicant will be allowed to take the examination for licensure in Louisiana. </w:t>
      </w:r>
    </w:p>
    <w:p w14:paraId="28E382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O.</w:t>
      </w:r>
      <w:r w:rsidRPr="006E50FF">
        <w:rPr>
          <w:kern w:val="2"/>
        </w:rPr>
        <w:tab/>
        <w:t>…</w:t>
      </w:r>
    </w:p>
    <w:p w14:paraId="3B1814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A licensee approved in one phase of pest control work may be licensed in additional phases by successfully meeting the requirements set forth in §107 and completing the examination for the additional phase. </w:t>
      </w:r>
    </w:p>
    <w:p w14:paraId="25D209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 - S.</w:t>
      </w:r>
      <w:r w:rsidRPr="006E50FF">
        <w:rPr>
          <w:kern w:val="2"/>
        </w:rPr>
        <w:tab/>
        <w:t>…</w:t>
      </w:r>
    </w:p>
    <w:p w14:paraId="05C36B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 and 3:3368.</w:t>
      </w:r>
    </w:p>
    <w:p w14:paraId="350F9F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Agriculture, Structural Pest Control Commission, LR 11:326 (April 1985), amended by the Department of Agriculture and Forestry, Structural Pest Control Commission, LR 15:955 (November 1989), LR 19:1009 (August 1993), LR 23:855 (July 1997), LR 23:1493 (November 1997), amended by the Department of Agriculture and Forestry, Office of Agricultural and Environmental Sciences, Structural Pest Control Commission, LR 31:2761 (November 2005), amended by the Department of Agriculture and Forestry, </w:t>
      </w:r>
      <w:r w:rsidRPr="006E50FF">
        <w:rPr>
          <w:kern w:val="2"/>
          <w:sz w:val="18"/>
        </w:rPr>
        <w:br w:type="column"/>
      </w:r>
      <w:r w:rsidRPr="006E50FF">
        <w:rPr>
          <w:kern w:val="2"/>
          <w:sz w:val="18"/>
        </w:rPr>
        <w:t xml:space="preserve">Structural Pest Control Commission, LR 32:796 (May 2006), </w:t>
      </w:r>
      <w:r w:rsidRPr="006E50FF">
        <w:rPr>
          <w:kern w:val="2"/>
          <w:sz w:val="18"/>
          <w:szCs w:val="18"/>
        </w:rPr>
        <w:t>repromulgated</w:t>
      </w:r>
      <w:r w:rsidRPr="006E50FF">
        <w:rPr>
          <w:kern w:val="2"/>
          <w:sz w:val="18"/>
        </w:rPr>
        <w:t xml:space="preserve"> LR 32:1016 (June 2006), amended LR 37:276 (January 2011), amended by the Department of Agriculture and Forestry, Office of Agricultural and Environmental Sciences, Structural Pest Control Commission, LR 42:213 (February 2016), LR 44:1235 (July 2018), LR 48:2728 (November 2022), LR 49:2075 (December 2023), repromulgated LR 50:774 (June 2024), amended LR 52:</w:t>
      </w:r>
    </w:p>
    <w:p w14:paraId="336744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w:t>
      </w:r>
      <w:r w:rsidRPr="006E50FF">
        <w:rPr>
          <w:b/>
          <w:kern w:val="2"/>
        </w:rPr>
        <w:tab/>
        <w:t>Registration of Employees; Duties of Licensee and Registered Employee with Respect to Registration</w:t>
      </w:r>
    </w:p>
    <w:p w14:paraId="1BBE89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permittee or primary licensee shall: </w:t>
      </w:r>
    </w:p>
    <w:p w14:paraId="779BB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register, on a form to be provided by the commission, every employee under the supervision of a licensee with the commission within 30 days after the commencement of the employee’s employment; and </w:t>
      </w:r>
    </w:p>
    <w:p w14:paraId="2B1314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every registered employee shall test within 90 days of employment, as required by R.S. 3:3369.H.</w:t>
      </w:r>
    </w:p>
    <w:p w14:paraId="160184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J.</w:t>
      </w:r>
      <w:r w:rsidRPr="006E50FF">
        <w:rPr>
          <w:kern w:val="2"/>
        </w:rPr>
        <w:tab/>
        <w:t>…</w:t>
      </w:r>
    </w:p>
    <w:p w14:paraId="5354B6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Upon termination of a registered employee, the licensee shall secure the employee’s registration certificate, notify the department of the employee’s termination and return the registration certificate to the department within ten working days after the termination.</w:t>
      </w:r>
    </w:p>
    <w:p w14:paraId="73F9E1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If the licensee is unable to retrieve the registration certificate of a terminated employee, the licensee shall notify the department of the employee’s termination within ten working days after the termination and provide written reasons for the failure to retrieve the terminated employee’s registration certificate.</w:t>
      </w:r>
    </w:p>
    <w:p w14:paraId="544A42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 - P.3.</w:t>
      </w:r>
      <w:r w:rsidRPr="006E50FF">
        <w:rPr>
          <w:kern w:val="2"/>
        </w:rPr>
        <w:tab/>
        <w:t>…</w:t>
      </w:r>
    </w:p>
    <w:p w14:paraId="3FE721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 3368 and 3369.</w:t>
      </w:r>
    </w:p>
    <w:p w14:paraId="210725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Agriculture, Structural Pest Control Commission, LR 11:327 (April 1985), amended by the Department of Agriculture and Forestry, Structural Pest Control Commission, LR 15:956 (November 1989), LR 32:797 (May 2006), </w:t>
      </w:r>
      <w:r w:rsidRPr="006E50FF">
        <w:rPr>
          <w:kern w:val="2"/>
          <w:sz w:val="18"/>
          <w:szCs w:val="18"/>
        </w:rPr>
        <w:t>repromulgated</w:t>
      </w:r>
      <w:r w:rsidRPr="006E50FF">
        <w:rPr>
          <w:kern w:val="2"/>
          <w:sz w:val="18"/>
        </w:rPr>
        <w:t xml:space="preserve"> LR 32:1016 (June 2006), amended LR 35:207 (February 2009), LR 37:279 (January 2011), amended by the Department of Agriculture and Forestry, Office of Agricultural and Environmental Sciences, Structural Pest Control Commission, LR 39:301 (February 2013), LR 42:213 (February 2016), LR 44:1236 (July 2018), LR 51:776 (June 2025), LR 52:</w:t>
      </w:r>
    </w:p>
    <w:p w14:paraId="2A2A52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§117.</w:t>
      </w:r>
      <w:r w:rsidRPr="006E50FF">
        <w:rPr>
          <w:b/>
          <w:kern w:val="2"/>
        </w:rPr>
        <w:tab/>
        <w:t>Obligations of the Licensee/Permittee</w:t>
      </w:r>
    </w:p>
    <w:p w14:paraId="34B60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H.1.</w:t>
      </w:r>
      <w:r w:rsidRPr="006E50FF">
        <w:rPr>
          <w:kern w:val="2"/>
        </w:rPr>
        <w:tab/>
        <w:t>…</w:t>
      </w:r>
    </w:p>
    <w:p w14:paraId="468864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name, address, and ID number;</w:t>
      </w:r>
    </w:p>
    <w:p w14:paraId="797890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H.1.b. - H.2.</w:t>
      </w:r>
      <w:r w:rsidRPr="006E50FF">
        <w:rPr>
          <w:kern w:val="2"/>
        </w:rPr>
        <w:tab/>
        <w:t>…</w:t>
      </w:r>
    </w:p>
    <w:p w14:paraId="2152433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name, address, and ID number;</w:t>
      </w:r>
    </w:p>
    <w:p w14:paraId="6BEA5C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H.2.b. - H.3.</w:t>
      </w:r>
      <w:r w:rsidRPr="006E50FF">
        <w:rPr>
          <w:kern w:val="2"/>
        </w:rPr>
        <w:tab/>
        <w:t>…</w:t>
      </w:r>
    </w:p>
    <w:p w14:paraId="18F0E57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name, address, and ID number;</w:t>
      </w:r>
    </w:p>
    <w:p w14:paraId="6CA07A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H.3.b. - H.4.</w:t>
      </w:r>
      <w:r w:rsidRPr="006E50FF">
        <w:rPr>
          <w:kern w:val="2"/>
        </w:rPr>
        <w:tab/>
        <w:t>…</w:t>
      </w:r>
    </w:p>
    <w:p w14:paraId="6390D94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address, and ID</w:t>
      </w:r>
      <w:r w:rsidRPr="006E50FF">
        <w:rPr>
          <w:color w:val="EE0000"/>
          <w:kern w:val="2"/>
        </w:rPr>
        <w:t xml:space="preserve"> </w:t>
      </w:r>
      <w:r w:rsidRPr="006E50FF">
        <w:rPr>
          <w:kern w:val="2"/>
        </w:rPr>
        <w:t>number;</w:t>
      </w:r>
    </w:p>
    <w:p w14:paraId="46EC837C" w14:textId="77777777" w:rsidR="006E50FF" w:rsidRPr="006E50FF" w:rsidRDefault="006E50FF" w:rsidP="006E50FF">
      <w:pPr>
        <w:tabs>
          <w:tab w:val="left" w:pos="144"/>
          <w:tab w:val="left" w:pos="187"/>
          <w:tab w:val="left" w:pos="540"/>
          <w:tab w:val="left" w:pos="1170"/>
        </w:tabs>
        <w:ind w:firstLine="187"/>
        <w:jc w:val="both"/>
        <w:outlineLvl w:val="3"/>
        <w:rPr>
          <w:kern w:val="2"/>
        </w:rPr>
      </w:pPr>
      <w:r w:rsidRPr="006E50FF">
        <w:rPr>
          <w:kern w:val="2"/>
        </w:rPr>
        <w:t>H.4.b. - Q.</w:t>
      </w:r>
      <w:r w:rsidRPr="006E50FF">
        <w:rPr>
          <w:kern w:val="2"/>
        </w:rPr>
        <w:tab/>
        <w:t>…</w:t>
      </w:r>
    </w:p>
    <w:p w14:paraId="7A7D0E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 and 3:3368.</w:t>
      </w:r>
    </w:p>
    <w:p w14:paraId="2A96B8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Agriculture, Structural Pest Control Commission, LR 11:327 (April 1985), amended by the Department of Agriculture and Forestry, Structural Pest Control Commission, LR 15:956 (November 1989), LR 21:930 (September 1995), LR 23:855 (July 1997), LR 26:2437 (November 2000), LR 29:1062 (July 2003), amended by the </w:t>
      </w:r>
      <w:r w:rsidRPr="006E50FF">
        <w:rPr>
          <w:kern w:val="2"/>
          <w:sz w:val="18"/>
        </w:rPr>
        <w:br w:type="page"/>
      </w:r>
      <w:r w:rsidRPr="006E50FF">
        <w:rPr>
          <w:kern w:val="2"/>
          <w:sz w:val="18"/>
        </w:rPr>
        <w:lastRenderedPageBreak/>
        <w:t>Department of Agriculture and Forestry, Office of Agricultural and Environmental Sciences, Structural Pest Control Commission, LR 30:196 (February 2004), LR 31:2761 (November 2005), LR 35:1468 (August 2009), LR 37:280 (January 2011), LR 39:301 (February 2013), LR 42:214 (February 2016), LR 44:1236 (July 2018), LR 46:1541 (November 2020), LR 49:2076 (December 2023), repromulgated LR 50:776 (June 2024), amended LR 51:777 (June 2025), LR 52:349 (March 2026), LR 52:</w:t>
      </w:r>
    </w:p>
    <w:p w14:paraId="733BAD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§141.</w:t>
      </w:r>
      <w:r w:rsidRPr="006E50FF">
        <w:rPr>
          <w:b/>
          <w:kern w:val="2"/>
        </w:rPr>
        <w:tab/>
        <w:t>Minimum Specifications for Termite Control Work</w:t>
      </w:r>
    </w:p>
    <w:p w14:paraId="536A5769"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 - E.3.</w:t>
      </w:r>
      <w:r w:rsidRPr="006E50FF">
        <w:rPr>
          <w:kern w:val="2"/>
        </w:rPr>
        <w:tab/>
        <w:t>…</w:t>
      </w:r>
    </w:p>
    <w:p w14:paraId="31A83D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All pre-treatment of slabs or pier type construction shall be submitted by online form a minimum of one hour prior to beginning the application of termiticides. The information provided shall include treatment company name; treatment structure street address, city , zip code, parish; if available; and/or directions to the property being pre-treated; date and time of beginning the application of termiticides to the property; estimated square or linear footage of each structure to be treated; and number of reported structures. All pest control operators shall keep a log of all pretreats including the information noted. </w:t>
      </w:r>
    </w:p>
    <w:p w14:paraId="1E5A6E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L.4.</w:t>
      </w:r>
      <w:r w:rsidRPr="006E50FF">
        <w:rPr>
          <w:kern w:val="2"/>
        </w:rPr>
        <w:tab/>
        <w:t>…</w:t>
      </w:r>
    </w:p>
    <w:p w14:paraId="0E6033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treatments of structures required in this Section shall be submitted by online form a minimum of one hour prior to beginning the application for termiticides. The information provided shall include: treatment company name; treatment structure street address; city, parish; directions to the property being pre-treated; date and time of beginning the application of termiticides to the property; square or linear footage of each structure to be treated; and number of structures. Permitees or licensees shall keep a log of all pretreats including the information noted. </w:t>
      </w:r>
    </w:p>
    <w:p w14:paraId="1BB4F3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 - M.4</w:t>
      </w:r>
      <w:r w:rsidRPr="006E50FF">
        <w:rPr>
          <w:kern w:val="2"/>
        </w:rPr>
        <w:tab/>
        <w:t>…</w:t>
      </w:r>
    </w:p>
    <w:p w14:paraId="07EA63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w:t>
      </w:r>
    </w:p>
    <w:p w14:paraId="460752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Structural Pest Control Commission, LR 11:330 (April 1985), amended by the Department of Agriculture and Forestry, Structural Pest Control Commission, LR 15:958 (November 1989), LR 20:644 (June 1994), LR 21:931 (September 1995), LR 23:1285 (October 1997), LR 25:235 (February 1999), LR 25:1620 (September 1999), LR 26:2437 (November 2000), LR 27:1180 (August 2001), LR 29:1063 (July 2003), LR 30:1145 (June 2004), repromulgated LR 30:1614 (August 2004), amended LR 35:207 (February 2009), LR 35:1469 (August 2009), repromulgated LR 35:1872 (September 2009), amended, LR 37:286 (January 2011), amended by the Department of Agriculture and Forestry, Office of Agricultural and Environmental Sciences, Structural Pest Control Commission, LR 39:301 (February 2013), amended by the Department of Agriculture and Forestry, Office of Agricultural and Environmental Sciences, Structural Pest Control Commission, LR 39:1413 (June 2013), LR 41:333 (February 2015), LR 42:214 (February 2016), LR 46:1542 (November 2020)</w:t>
      </w:r>
      <w:r w:rsidRPr="006E50FF">
        <w:rPr>
          <w:color w:val="000000"/>
          <w:kern w:val="2"/>
          <w:sz w:val="18"/>
        </w:rPr>
        <w:t>, LR 47:1100 (August 2021), LR 48:994 (April 2022)</w:t>
      </w:r>
      <w:r w:rsidRPr="006E50FF">
        <w:rPr>
          <w:rFonts w:eastAsia="Calibri"/>
          <w:kern w:val="2"/>
          <w:sz w:val="18"/>
        </w:rPr>
        <w:t>, LR 48:994 (April 2022</w:t>
      </w:r>
      <w:r w:rsidRPr="006E50FF">
        <w:rPr>
          <w:kern w:val="2"/>
          <w:sz w:val="18"/>
        </w:rPr>
        <w:t>), LR 48:2729 (November 2022), LR 49:2077 (December 2023), repromulgated LR 50:777 (June 2024), amended LR 52:</w:t>
      </w:r>
    </w:p>
    <w:p w14:paraId="21E9AB6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§147.</w:t>
      </w:r>
      <w:r w:rsidRPr="006E50FF">
        <w:rPr>
          <w:b/>
          <w:kern w:val="2"/>
        </w:rPr>
        <w:tab/>
        <w:t>Fumigation</w:t>
      </w:r>
    </w:p>
    <w:p w14:paraId="1C6224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7C2C98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permittee or primary licensee shall give notice by online form, to be received by the department at least 24 hours prior to structural fumigation. Notice to the department shall include the following items:</w:t>
      </w:r>
    </w:p>
    <w:p w14:paraId="55D541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B.1.a. - B.1.g.</w:t>
      </w:r>
      <w:r w:rsidRPr="006E50FF">
        <w:rPr>
          <w:kern w:val="2"/>
        </w:rPr>
        <w:tab/>
        <w:t>…</w:t>
      </w:r>
    </w:p>
    <w:p w14:paraId="713E6366" w14:textId="77777777" w:rsidR="006E50FF" w:rsidRPr="006E50FF" w:rsidRDefault="006E50FF" w:rsidP="006E50FF">
      <w:pPr>
        <w:tabs>
          <w:tab w:val="left" w:pos="144"/>
          <w:tab w:val="left" w:pos="187"/>
          <w:tab w:val="left" w:pos="630"/>
          <w:tab w:val="left" w:pos="907"/>
          <w:tab w:val="left" w:pos="1080"/>
        </w:tabs>
        <w:ind w:firstLine="187"/>
        <w:jc w:val="both"/>
        <w:outlineLvl w:val="3"/>
        <w:rPr>
          <w:kern w:val="2"/>
        </w:rPr>
      </w:pPr>
      <w:r w:rsidRPr="006E50FF">
        <w:rPr>
          <w:kern w:val="2"/>
        </w:rPr>
        <w:br w:type="column"/>
      </w:r>
      <w:r w:rsidRPr="006E50FF">
        <w:rPr>
          <w:kern w:val="2"/>
        </w:rPr>
        <w:t>B.2.</w:t>
      </w:r>
      <w:r w:rsidRPr="006E50FF">
        <w:rPr>
          <w:kern w:val="2"/>
        </w:rPr>
        <w:tab/>
        <w:t>Repealed.</w:t>
      </w:r>
    </w:p>
    <w:p w14:paraId="01783E17" w14:textId="77777777" w:rsidR="006E50FF" w:rsidRPr="006E50FF" w:rsidRDefault="006E50FF" w:rsidP="006E50FF">
      <w:pPr>
        <w:tabs>
          <w:tab w:val="left" w:pos="144"/>
          <w:tab w:val="left" w:pos="187"/>
          <w:tab w:val="left" w:pos="540"/>
          <w:tab w:val="left" w:pos="907"/>
          <w:tab w:val="left" w:pos="1260"/>
        </w:tabs>
        <w:ind w:firstLine="187"/>
        <w:jc w:val="both"/>
        <w:outlineLvl w:val="3"/>
        <w:rPr>
          <w:kern w:val="2"/>
        </w:rPr>
      </w:pPr>
      <w:r w:rsidRPr="006E50FF">
        <w:rPr>
          <w:kern w:val="2"/>
        </w:rPr>
        <w:t>B.3. - D.5.</w:t>
      </w:r>
      <w:r w:rsidRPr="006E50FF">
        <w:rPr>
          <w:kern w:val="2"/>
        </w:rPr>
        <w:tab/>
        <w:t>...</w:t>
      </w:r>
    </w:p>
    <w:p w14:paraId="7CF299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3:3306.</w:t>
      </w:r>
    </w:p>
    <w:p w14:paraId="01F97B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Structural Pest Control Commission, LR 11:332 (April 1985), amended LR 17:251 (March 1991), LR 37:293 (January 2011), LR 44:1237 (July 2018), LR 46:1542 (November 2020), LR 49:2079 (December 2023), repromulgated LR 50:778 (June 2024), amended LR 52:</w:t>
      </w:r>
    </w:p>
    <w:p w14:paraId="5B07D65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§163.</w:t>
      </w:r>
      <w:r w:rsidRPr="006E50FF">
        <w:rPr>
          <w:b/>
          <w:kern w:val="2"/>
        </w:rPr>
        <w:tab/>
        <w:t>Donation of Structural Pest Control Work</w:t>
      </w:r>
    </w:p>
    <w:p w14:paraId="56B639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27C3CE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w:t>
      </w:r>
    </w:p>
    <w:p w14:paraId="1DDE678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Agricultural and Environmental Sciences, Structural Pest Control Commission, LR 24:1262 (July 1998), amended LR 37:295 (January 2011), LR 52:</w:t>
      </w:r>
    </w:p>
    <w:p w14:paraId="7837459D" w14:textId="77777777" w:rsidR="006E50FF" w:rsidRPr="006E50FF" w:rsidRDefault="006E50FF" w:rsidP="006E50FF">
      <w:pPr>
        <w:keepNext/>
        <w:jc w:val="center"/>
        <w:rPr>
          <w:b/>
          <w:kern w:val="28"/>
        </w:rPr>
      </w:pPr>
      <w:r w:rsidRPr="006E50FF">
        <w:rPr>
          <w:b/>
          <w:kern w:val="28"/>
        </w:rPr>
        <w:t>Family Impact Statement</w:t>
      </w:r>
    </w:p>
    <w:p w14:paraId="7B769D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family formation, stability, and autonomy. In particular, the proposed Rule has no known or foreseeable impact on:</w:t>
      </w:r>
    </w:p>
    <w:p w14:paraId="108464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stability of the family; </w:t>
      </w:r>
    </w:p>
    <w:p w14:paraId="421DF2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persons regarding the education and supervision of their children;</w:t>
      </w:r>
    </w:p>
    <w:p w14:paraId="11DC14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4314C1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0E4D24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407E1B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40E9C917" w14:textId="77777777" w:rsidR="006E50FF" w:rsidRPr="006E50FF" w:rsidRDefault="006E50FF" w:rsidP="006E50FF">
      <w:pPr>
        <w:keepNext/>
        <w:jc w:val="center"/>
        <w:rPr>
          <w:b/>
          <w:kern w:val="28"/>
        </w:rPr>
      </w:pPr>
      <w:r w:rsidRPr="006E50FF">
        <w:rPr>
          <w:b/>
          <w:kern w:val="28"/>
        </w:rPr>
        <w:t>Poverty Impact Statement</w:t>
      </w:r>
    </w:p>
    <w:p w14:paraId="63D43D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any child, individual, or family as defined by R.S. 49:973(B). In particular, there should be no known or foreseeable impact on:</w:t>
      </w:r>
    </w:p>
    <w:p w14:paraId="60505E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0644AB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13766C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413AFA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0EABE4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736E6DF7" w14:textId="77777777" w:rsidR="006E50FF" w:rsidRPr="006E50FF" w:rsidRDefault="006E50FF" w:rsidP="006E50FF">
      <w:pPr>
        <w:keepNext/>
        <w:jc w:val="center"/>
        <w:rPr>
          <w:b/>
          <w:kern w:val="28"/>
        </w:rPr>
      </w:pPr>
      <w:r w:rsidRPr="006E50FF">
        <w:rPr>
          <w:b/>
          <w:kern w:val="28"/>
        </w:rPr>
        <w:t>Small Business Analysis</w:t>
      </w:r>
    </w:p>
    <w:p w14:paraId="6E7DA4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have no adverse impact on small business as defined in the Regulatory Flexibility Act. </w:t>
      </w:r>
    </w:p>
    <w:p w14:paraId="651CA16F" w14:textId="77777777" w:rsidR="006E50FF" w:rsidRPr="006E50FF" w:rsidRDefault="006E50FF" w:rsidP="006E50FF">
      <w:pPr>
        <w:keepNext/>
        <w:jc w:val="center"/>
        <w:rPr>
          <w:b/>
          <w:kern w:val="28"/>
        </w:rPr>
      </w:pPr>
      <w:r w:rsidRPr="006E50FF">
        <w:rPr>
          <w:b/>
          <w:kern w:val="28"/>
        </w:rPr>
        <w:t>Provider Impact Statement</w:t>
      </w:r>
    </w:p>
    <w:p w14:paraId="1669FE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the 2014 Regular Legislative Session. In particular, there should be no known or foreseeable effect on:</w:t>
      </w:r>
    </w:p>
    <w:p w14:paraId="7B5788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staffing level requirements or qualifications required to provide the same level of </w:t>
      </w:r>
      <w:bookmarkStart w:id="126" w:name="_Int_0YKC3rEN"/>
      <w:r w:rsidRPr="006E50FF">
        <w:rPr>
          <w:kern w:val="2"/>
        </w:rPr>
        <w:t>service;</w:t>
      </w:r>
      <w:bookmarkEnd w:id="126"/>
    </w:p>
    <w:p w14:paraId="6820F8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53FC78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1798126E" w14:textId="77777777" w:rsidR="006E50FF" w:rsidRPr="006E50FF" w:rsidRDefault="006E50FF" w:rsidP="006E50FF">
      <w:pPr>
        <w:keepNext/>
        <w:jc w:val="center"/>
        <w:rPr>
          <w:b/>
          <w:kern w:val="28"/>
        </w:rPr>
      </w:pPr>
      <w:r w:rsidRPr="006E50FF">
        <w:rPr>
          <w:b/>
          <w:kern w:val="28"/>
        </w:rPr>
        <w:t>Public Comments</w:t>
      </w:r>
    </w:p>
    <w:p w14:paraId="4007B4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data, opinions and arguments regarding the proposed Rule via U.S. Mail or hand delivery. Written submissions must be </w:t>
      </w:r>
      <w:r w:rsidRPr="006E50FF">
        <w:rPr>
          <w:kern w:val="2"/>
        </w:rPr>
        <w:br w:type="page"/>
      </w:r>
      <w:r w:rsidRPr="006E50FF">
        <w:rPr>
          <w:kern w:val="2"/>
        </w:rPr>
        <w:lastRenderedPageBreak/>
        <w:t xml:space="preserve">directed to Kelly Moore, Director, Structural Pest Control, Louisiana Department of Agriculture and Forestry, 5825 Florida Blvd., Suite 3000, LA 70806, and must be received no later than 4 p.m. on August 10, 2026. All written comments must be signed and dated. </w:t>
      </w:r>
    </w:p>
    <w:p w14:paraId="0292D8AD" w14:textId="77777777" w:rsidR="006E50FF" w:rsidRPr="006E50FF" w:rsidRDefault="006E50FF" w:rsidP="006E50FF">
      <w:pPr>
        <w:keepNext/>
        <w:jc w:val="center"/>
        <w:rPr>
          <w:b/>
          <w:kern w:val="28"/>
        </w:rPr>
      </w:pPr>
      <w:r w:rsidRPr="006E50FF">
        <w:rPr>
          <w:b/>
          <w:kern w:val="28"/>
        </w:rPr>
        <w:t xml:space="preserve">Public Hearing </w:t>
      </w:r>
    </w:p>
    <w:p w14:paraId="568F0D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public hearing will be held on August 27, 2026, from 8:30 a.m. – 12:30 p.m. in the Veterans’ Auditorium at the Louisiana Department of Agriculture and Forestry, 5825 Florida Blvd., Baton Rouge, LA 70806. Interested persons are invited to attend and submit oral comments on the proposed amendments. Should individuals with a disability need an accommodation in order to participate, contact Kelly Moore at the address given above in the Public Comments section or at (225) 952-8042.</w:t>
      </w:r>
    </w:p>
    <w:p w14:paraId="490CCC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B024793" w14:textId="77777777" w:rsidR="006E50FF" w:rsidRPr="006E50FF" w:rsidRDefault="006E50FF" w:rsidP="006E50FF">
      <w:pPr>
        <w:keepNext/>
        <w:ind w:left="2160"/>
        <w:jc w:val="both"/>
      </w:pPr>
      <w:r w:rsidRPr="006E50FF">
        <w:t>Mike Strain, DVM</w:t>
      </w:r>
    </w:p>
    <w:p w14:paraId="718088B9" w14:textId="77777777" w:rsidR="006E50FF" w:rsidRPr="006E50FF" w:rsidRDefault="006E50FF" w:rsidP="006E50FF">
      <w:pPr>
        <w:keepNext/>
        <w:ind w:left="2160"/>
        <w:jc w:val="both"/>
      </w:pPr>
      <w:r w:rsidRPr="006E50FF">
        <w:t>Commissioner</w:t>
      </w:r>
    </w:p>
    <w:p w14:paraId="6B0A157E" w14:textId="77777777" w:rsidR="006E50FF" w:rsidRPr="006E50FF" w:rsidRDefault="006E50FF" w:rsidP="006E50FF">
      <w:pPr>
        <w:keepNext/>
        <w:jc w:val="center"/>
        <w:rPr>
          <w:b/>
        </w:rPr>
      </w:pPr>
    </w:p>
    <w:p w14:paraId="7CE77F60" w14:textId="77777777" w:rsidR="006E50FF" w:rsidRPr="006E50FF" w:rsidRDefault="006E50FF" w:rsidP="006E50FF">
      <w:pPr>
        <w:keepNext/>
        <w:jc w:val="center"/>
        <w:rPr>
          <w:b/>
        </w:rPr>
      </w:pPr>
      <w:r w:rsidRPr="006E50FF">
        <w:rPr>
          <w:b/>
        </w:rPr>
        <w:t>FISCAL AND ECONOMIC IMPACT STATEMENT FOR ADMINISTRATIVE RULES</w:t>
      </w:r>
    </w:p>
    <w:p w14:paraId="580E88C6" w14:textId="77777777" w:rsidR="006E50FF" w:rsidRPr="006E50FF" w:rsidRDefault="006E50FF" w:rsidP="006E50FF">
      <w:pPr>
        <w:keepNext/>
        <w:jc w:val="center"/>
        <w:rPr>
          <w:b/>
          <w:noProof/>
        </w:rPr>
      </w:pPr>
      <w:r w:rsidRPr="006E50FF">
        <w:rPr>
          <w:b/>
          <w:noProof/>
        </w:rPr>
        <w:t>RULE TITLE:  Structural Pest Control Commission</w:t>
      </w:r>
    </w:p>
    <w:p w14:paraId="40A1FA5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10E5A84"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EB32B2E" w14:textId="77777777" w:rsidR="006E50FF" w:rsidRPr="006E50FF" w:rsidRDefault="006E50FF" w:rsidP="006E50FF">
      <w:pPr>
        <w:ind w:left="288" w:firstLine="288"/>
        <w:jc w:val="both"/>
        <w:rPr>
          <w:noProof/>
          <w:sz w:val="18"/>
        </w:rPr>
      </w:pPr>
      <w:r w:rsidRPr="006E50FF">
        <w:rPr>
          <w:noProof/>
          <w:sz w:val="18"/>
        </w:rPr>
        <w:t xml:space="preserve">The proposed rule changes are not anticipated to result in any costs or savings to the Louisiana Department of Agriculture and Forestry (LDAF), other than the cost of promulgation for FY 27. The cost of promulgation is included in the agency's annual operating budget. </w:t>
      </w:r>
    </w:p>
    <w:p w14:paraId="7A8C6A82" w14:textId="77777777" w:rsidR="006E50FF" w:rsidRPr="006E50FF" w:rsidRDefault="006E50FF" w:rsidP="006E50FF">
      <w:pPr>
        <w:ind w:left="288" w:firstLine="288"/>
        <w:jc w:val="both"/>
        <w:rPr>
          <w:noProof/>
          <w:sz w:val="18"/>
        </w:rPr>
      </w:pPr>
      <w:r w:rsidRPr="006E50FF">
        <w:rPr>
          <w:noProof/>
          <w:sz w:val="18"/>
        </w:rPr>
        <w:t>The proposed rule changes primarily update licensing, notification, reporting, and administrative requirements for structural pest control to improve clarity, align regulations with existing law, and reduce unnecessary burdens on the industry. Specifically, the proposed rule changes make the following changes:</w:t>
      </w:r>
    </w:p>
    <w:p w14:paraId="77DF0585" w14:textId="77777777" w:rsidR="006E50FF" w:rsidRPr="006E50FF" w:rsidRDefault="006E50FF" w:rsidP="006E50FF">
      <w:pPr>
        <w:numPr>
          <w:ilvl w:val="0"/>
          <w:numId w:val="22"/>
        </w:numPr>
        <w:ind w:left="630"/>
        <w:jc w:val="both"/>
        <w:rPr>
          <w:noProof/>
          <w:sz w:val="18"/>
        </w:rPr>
      </w:pPr>
      <w:r w:rsidRPr="006E50FF">
        <w:rPr>
          <w:noProof/>
          <w:sz w:val="18"/>
        </w:rPr>
        <w:t>Expands the timeframe for qualifying structural technician experience. Currently, the rules require four (4) years of experience within the last six (6) years. The proposed rule expands this requirement to four (4) years of experience within the last 10 years.</w:t>
      </w:r>
    </w:p>
    <w:p w14:paraId="41E3A8BE" w14:textId="77777777" w:rsidR="006E50FF" w:rsidRPr="006E50FF" w:rsidRDefault="006E50FF" w:rsidP="006E50FF">
      <w:pPr>
        <w:numPr>
          <w:ilvl w:val="0"/>
          <w:numId w:val="22"/>
        </w:numPr>
        <w:ind w:left="630"/>
        <w:jc w:val="both"/>
        <w:rPr>
          <w:noProof/>
          <w:sz w:val="18"/>
        </w:rPr>
      </w:pPr>
      <w:r w:rsidRPr="006E50FF">
        <w:rPr>
          <w:noProof/>
          <w:sz w:val="18"/>
        </w:rPr>
        <w:t>Clarifies that applicants seeking to add phases to their license must meet the established requirements.</w:t>
      </w:r>
    </w:p>
    <w:p w14:paraId="55CD4A61" w14:textId="77777777" w:rsidR="006E50FF" w:rsidRPr="006E50FF" w:rsidRDefault="006E50FF" w:rsidP="006E50FF">
      <w:pPr>
        <w:numPr>
          <w:ilvl w:val="0"/>
          <w:numId w:val="22"/>
        </w:numPr>
        <w:ind w:left="630"/>
        <w:jc w:val="both"/>
        <w:rPr>
          <w:noProof/>
          <w:sz w:val="18"/>
        </w:rPr>
      </w:pPr>
      <w:r w:rsidRPr="006E50FF">
        <w:rPr>
          <w:noProof/>
          <w:sz w:val="18"/>
        </w:rPr>
        <w:t>Aligns rules with state law requiring technicians to complete testing within 90 days of employment, for consistency.</w:t>
      </w:r>
    </w:p>
    <w:p w14:paraId="3FAB3E69" w14:textId="77777777" w:rsidR="006E50FF" w:rsidRPr="006E50FF" w:rsidRDefault="006E50FF" w:rsidP="006E50FF">
      <w:pPr>
        <w:numPr>
          <w:ilvl w:val="0"/>
          <w:numId w:val="22"/>
        </w:numPr>
        <w:ind w:left="630"/>
        <w:jc w:val="both"/>
        <w:rPr>
          <w:noProof/>
          <w:sz w:val="18"/>
        </w:rPr>
      </w:pPr>
      <w:r w:rsidRPr="006E50FF">
        <w:rPr>
          <w:noProof/>
          <w:sz w:val="18"/>
        </w:rPr>
        <w:t>Extends the deadline for employers to report the termination of a registered technician from five (5) days to 10 days, aligning the rule with existing law.</w:t>
      </w:r>
    </w:p>
    <w:p w14:paraId="27860D73" w14:textId="77777777" w:rsidR="006E50FF" w:rsidRPr="006E50FF" w:rsidRDefault="006E50FF" w:rsidP="006E50FF">
      <w:pPr>
        <w:numPr>
          <w:ilvl w:val="0"/>
          <w:numId w:val="22"/>
        </w:numPr>
        <w:ind w:left="630"/>
        <w:jc w:val="both"/>
        <w:rPr>
          <w:noProof/>
          <w:sz w:val="18"/>
        </w:rPr>
      </w:pPr>
      <w:r w:rsidRPr="006E50FF">
        <w:rPr>
          <w:noProof/>
          <w:sz w:val="18"/>
        </w:rPr>
        <w:t>Clarifies that businesses must maintain their place of business ID number.</w:t>
      </w:r>
    </w:p>
    <w:p w14:paraId="5CBEBD4E" w14:textId="77777777" w:rsidR="006E50FF" w:rsidRPr="006E50FF" w:rsidRDefault="006E50FF" w:rsidP="006E50FF">
      <w:pPr>
        <w:numPr>
          <w:ilvl w:val="0"/>
          <w:numId w:val="22"/>
        </w:numPr>
        <w:ind w:left="630"/>
        <w:jc w:val="both"/>
        <w:rPr>
          <w:noProof/>
          <w:sz w:val="18"/>
        </w:rPr>
      </w:pPr>
      <w:r w:rsidRPr="006E50FF">
        <w:rPr>
          <w:noProof/>
          <w:sz w:val="18"/>
        </w:rPr>
        <w:t>Requires fumigation notifications to be submitted using the existing online forms and removes the alternative call-in reporting option.</w:t>
      </w:r>
    </w:p>
    <w:p w14:paraId="1C7152F2" w14:textId="77777777" w:rsidR="006E50FF" w:rsidRPr="006E50FF" w:rsidRDefault="006E50FF" w:rsidP="006E50FF">
      <w:pPr>
        <w:numPr>
          <w:ilvl w:val="0"/>
          <w:numId w:val="22"/>
        </w:numPr>
        <w:ind w:left="630"/>
        <w:jc w:val="both"/>
        <w:rPr>
          <w:sz w:val="18"/>
        </w:rPr>
      </w:pPr>
      <w:r w:rsidRPr="006E50FF">
        <w:rPr>
          <w:sz w:val="18"/>
        </w:rPr>
        <w:t xml:space="preserve">Removes restrictions limiting donated structural pest control work </w:t>
      </w:r>
      <w:r w:rsidRPr="006E50FF">
        <w:rPr>
          <w:noProof/>
          <w:sz w:val="18"/>
        </w:rPr>
        <w:t>to</w:t>
      </w:r>
      <w:r w:rsidRPr="006E50FF">
        <w:rPr>
          <w:sz w:val="18"/>
        </w:rPr>
        <w:t xml:space="preserve"> the month of June and eliminates the requirements for departmental approval 30 days in advance, making it easier to provide donated services year-round.</w:t>
      </w:r>
    </w:p>
    <w:p w14:paraId="4287E02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1B055D8" w14:textId="77777777" w:rsidR="006E50FF" w:rsidRPr="006E50FF" w:rsidRDefault="006E50FF" w:rsidP="006E50FF">
      <w:pPr>
        <w:ind w:left="288" w:firstLine="288"/>
        <w:jc w:val="both"/>
        <w:rPr>
          <w:sz w:val="18"/>
        </w:rPr>
      </w:pPr>
      <w:r w:rsidRPr="006E50FF">
        <w:rPr>
          <w:sz w:val="18"/>
        </w:rPr>
        <w:t>The proposed rule changes are not anticipated to impact any revenue collections of state or local governmental units. These proposed rule changes are clarifications and updates to existing rules.</w:t>
      </w:r>
    </w:p>
    <w:p w14:paraId="14DA3974"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2DAE5E5" w14:textId="77777777" w:rsidR="006E50FF" w:rsidRPr="006E50FF" w:rsidRDefault="006E50FF" w:rsidP="006E50FF">
      <w:pPr>
        <w:ind w:left="288" w:firstLine="288"/>
        <w:jc w:val="both"/>
        <w:rPr>
          <w:sz w:val="18"/>
        </w:rPr>
      </w:pPr>
      <w:r w:rsidRPr="006E50FF">
        <w:rPr>
          <w:sz w:val="18"/>
        </w:rPr>
        <w:t>The proposed rule changes may provide an economic benefit to directly affected persons who previously were ineligible to qualify for licensure. To the extent that directly affected persons would now be eligible for licensure, the proposed rule changes would provide an economic benefit to them. Directly affected small businesses may benefit from the proposed rule changes if the expanded licensing eligibility increases the number of licensed structural pest control technicians, making it easier for employers to fill vacant positions. The proposed rule changes are not anticipated to impact any non-governmental groups.</w:t>
      </w:r>
    </w:p>
    <w:p w14:paraId="72B231F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934D921" w14:textId="77777777" w:rsidR="006E50FF" w:rsidRPr="006E50FF" w:rsidRDefault="006E50FF" w:rsidP="006E50FF">
      <w:pPr>
        <w:ind w:left="288" w:firstLine="288"/>
        <w:jc w:val="both"/>
        <w:rPr>
          <w:sz w:val="18"/>
        </w:rPr>
      </w:pPr>
      <w:r w:rsidRPr="006E50FF">
        <w:rPr>
          <w:sz w:val="18"/>
        </w:rPr>
        <w:t>The proposed rule changes to LAC 7:XXV.107.B, C, and G would expand the allowable timeframe for eligible structural technician experience to count. Currently, the rules require four years of experience within the last six years. The proposed rule expands this requirement to four years of experience within the last 10 years. This is anticipated to reduce restrictions on becoming licensed in structural pest control work, making it easier for experienced technicians to qualify for licensure.</w:t>
      </w:r>
    </w:p>
    <w:p w14:paraId="3B7AAA92" w14:textId="77777777" w:rsidR="006E50FF" w:rsidRPr="006E50FF" w:rsidRDefault="006E50FF" w:rsidP="006E50FF">
      <w:pPr>
        <w:ind w:left="288" w:firstLine="288"/>
        <w:jc w:val="both"/>
        <w:rPr>
          <w:sz w:val="18"/>
        </w:rPr>
      </w:pPr>
    </w:p>
    <w:p w14:paraId="6BEE65DF" w14:textId="77777777" w:rsidR="006E50FF" w:rsidRPr="006E50FF" w:rsidRDefault="006E50FF" w:rsidP="006E50FF">
      <w:pPr>
        <w:tabs>
          <w:tab w:val="left" w:pos="2880"/>
          <w:tab w:val="decimal" w:pos="2988"/>
        </w:tabs>
        <w:outlineLvl w:val="8"/>
        <w:rPr>
          <w:kern w:val="2"/>
          <w:sz w:val="18"/>
        </w:rPr>
      </w:pPr>
      <w:r w:rsidRPr="006E50FF">
        <w:rPr>
          <w:kern w:val="2"/>
          <w:sz w:val="18"/>
        </w:rPr>
        <w:t>Dane Morgan</w:t>
      </w:r>
      <w:r w:rsidRPr="006E50FF">
        <w:rPr>
          <w:kern w:val="2"/>
          <w:sz w:val="18"/>
        </w:rPr>
        <w:tab/>
        <w:t>Patrice Thomas</w:t>
      </w:r>
    </w:p>
    <w:p w14:paraId="33C71D1D" w14:textId="77777777" w:rsidR="006E50FF" w:rsidRPr="006E50FF" w:rsidRDefault="006E50FF" w:rsidP="006E50FF">
      <w:pPr>
        <w:tabs>
          <w:tab w:val="left" w:pos="2880"/>
          <w:tab w:val="decimal" w:pos="2988"/>
        </w:tabs>
        <w:outlineLvl w:val="8"/>
        <w:rPr>
          <w:kern w:val="2"/>
          <w:sz w:val="18"/>
        </w:rPr>
      </w:pPr>
      <w:r w:rsidRPr="006E50FF">
        <w:rPr>
          <w:kern w:val="2"/>
          <w:sz w:val="18"/>
        </w:rPr>
        <w:t>Assistant Commissioner</w:t>
      </w:r>
      <w:r w:rsidRPr="006E50FF">
        <w:rPr>
          <w:kern w:val="2"/>
          <w:sz w:val="18"/>
        </w:rPr>
        <w:tab/>
        <w:t>Deputy Fiscal Officer</w:t>
      </w:r>
    </w:p>
    <w:p w14:paraId="78B4BA2C" w14:textId="77777777" w:rsidR="006E50FF" w:rsidRPr="006E50FF" w:rsidRDefault="006E50FF" w:rsidP="006E50FF">
      <w:pPr>
        <w:tabs>
          <w:tab w:val="left" w:pos="2880"/>
          <w:tab w:val="decimal" w:pos="2988"/>
        </w:tabs>
        <w:outlineLvl w:val="8"/>
        <w:rPr>
          <w:kern w:val="2"/>
          <w:sz w:val="18"/>
        </w:rPr>
      </w:pPr>
      <w:r w:rsidRPr="006E50FF">
        <w:rPr>
          <w:noProof/>
          <w:sz w:val="16"/>
        </w:rPr>
        <w:t>2607#018</w:t>
      </w:r>
      <w:r w:rsidRPr="006E50FF">
        <w:rPr>
          <w:kern w:val="2"/>
        </w:rPr>
        <w:tab/>
      </w:r>
      <w:r w:rsidRPr="006E50FF">
        <w:rPr>
          <w:kern w:val="2"/>
          <w:sz w:val="18"/>
        </w:rPr>
        <w:t>Legislative Fiscal Office</w:t>
      </w:r>
    </w:p>
    <w:p w14:paraId="4857259E" w14:textId="77777777" w:rsidR="006E50FF" w:rsidRPr="006E50FF" w:rsidRDefault="006E50FF" w:rsidP="006E50FF"/>
    <w:p w14:paraId="524AED26"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F78A0F9" w14:textId="77777777" w:rsidR="006E50FF" w:rsidRPr="006E50FF" w:rsidRDefault="006E50FF" w:rsidP="006E50FF">
      <w:pPr>
        <w:keepNext/>
        <w:jc w:val="center"/>
        <w:rPr>
          <w:b/>
          <w:noProof/>
        </w:rPr>
      </w:pPr>
      <w:r w:rsidRPr="006E50FF">
        <w:rPr>
          <w:b/>
          <w:noProof/>
        </w:rPr>
        <w:t>Department of Agriculture and Forestry</w:t>
      </w:r>
    </w:p>
    <w:p w14:paraId="71C445F3" w14:textId="77777777" w:rsidR="006E50FF" w:rsidRPr="006E50FF" w:rsidRDefault="006E50FF" w:rsidP="006E50FF">
      <w:pPr>
        <w:keepNext/>
        <w:jc w:val="center"/>
        <w:rPr>
          <w:b/>
          <w:noProof/>
        </w:rPr>
      </w:pPr>
      <w:r w:rsidRPr="006E50FF">
        <w:rPr>
          <w:b/>
          <w:noProof/>
        </w:rPr>
        <w:t>Office of Agro-Consumer Services</w:t>
      </w:r>
    </w:p>
    <w:p w14:paraId="11BC5EC9" w14:textId="77777777" w:rsidR="006E50FF" w:rsidRPr="006E50FF" w:rsidRDefault="006E50FF" w:rsidP="006E50FF">
      <w:pPr>
        <w:keepNext/>
        <w:jc w:val="center"/>
        <w:rPr>
          <w:b/>
          <w:noProof/>
        </w:rPr>
      </w:pPr>
      <w:r w:rsidRPr="006E50FF">
        <w:rPr>
          <w:b/>
          <w:noProof/>
        </w:rPr>
        <w:t>Agricultural Commodities Commission</w:t>
      </w:r>
    </w:p>
    <w:p w14:paraId="028D00E4" w14:textId="77777777" w:rsidR="006E50FF" w:rsidRPr="006E50FF" w:rsidRDefault="006E50FF" w:rsidP="006E50FF">
      <w:pPr>
        <w:keepNext/>
        <w:spacing w:before="240" w:after="240"/>
        <w:jc w:val="center"/>
        <w:rPr>
          <w:noProof/>
        </w:rPr>
      </w:pPr>
      <w:r w:rsidRPr="006E50FF">
        <w:rPr>
          <w:noProof/>
        </w:rPr>
        <w:t xml:space="preserve">Grain and Cotton Indemnity Fund </w:t>
      </w:r>
      <w:r w:rsidRPr="006E50FF">
        <w:rPr>
          <w:noProof/>
        </w:rPr>
        <w:br/>
        <w:t>(LAC 7:XXVII.191-215)</w:t>
      </w:r>
    </w:p>
    <w:p w14:paraId="7667E3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49:950 et seq., and through the authority granted in R.S. 3:3412.1, the Department of Agriculture and Forestry (LDAF), Office of Agro-Consumer Services, Louisiana Agricultural Commodities Commission, proposes to amend LAC 7:XXVII. Subchapter O. Grain and Cotton Indemnity Fund, Sections 191, 197, 199, and 215 to update references to statutory authority and the fund’s assessment rate. The department also proposes to repeal LAC 7:XXVII. Subchapter O. Grain and Cotton Indemnity Fund, section 203, because it is no longer necessary. </w:t>
      </w:r>
    </w:p>
    <w:p w14:paraId="0A88BF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Pursuant to R.S. 3:3412.1(B) the Louisiana Agricultural Commodities Commission shall charge an assessment on the value of all agricultural commodities sold to grain dealers and cotton merchants. This assessment was increased from one twenty-fifth of one percent to two twenty-fifths of one percent by Act 156 of the 2026 Regular Session. The proposed Rule changes update the above-mentioned sections to be consistent with law. </w:t>
      </w:r>
    </w:p>
    <w:p w14:paraId="3B217B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agency evaluated the proposed Rule change and determined it was necessary, consistent with law, and aligned with the agency’s mission. The benefits of the Rule outweigh the burdens and costs. The proposed Rule is written in plain language, in an effort to increase transparency. </w:t>
      </w:r>
    </w:p>
    <w:p w14:paraId="0E96F902" w14:textId="77777777" w:rsidR="006E50FF" w:rsidRPr="006E50FF" w:rsidRDefault="006E50FF" w:rsidP="006E50FF">
      <w:pPr>
        <w:keepNext/>
        <w:jc w:val="center"/>
        <w:rPr>
          <w:b/>
          <w:kern w:val="28"/>
        </w:rPr>
      </w:pPr>
      <w:r w:rsidRPr="006E50FF">
        <w:rPr>
          <w:b/>
          <w:kern w:val="28"/>
        </w:rPr>
        <w:lastRenderedPageBreak/>
        <w:t>Title 7</w:t>
      </w:r>
    </w:p>
    <w:p w14:paraId="50DB8888" w14:textId="77777777" w:rsidR="006E50FF" w:rsidRPr="006E50FF" w:rsidRDefault="006E50FF" w:rsidP="006E50FF">
      <w:pPr>
        <w:keepNext/>
        <w:jc w:val="center"/>
        <w:rPr>
          <w:b/>
          <w:kern w:val="28"/>
        </w:rPr>
      </w:pPr>
      <w:r w:rsidRPr="006E50FF">
        <w:rPr>
          <w:b/>
          <w:kern w:val="28"/>
        </w:rPr>
        <w:t>AGRICULTURE AND ANIMALS</w:t>
      </w:r>
    </w:p>
    <w:p w14:paraId="1111BC33" w14:textId="77777777" w:rsidR="006E50FF" w:rsidRPr="006E50FF" w:rsidRDefault="006E50FF" w:rsidP="006E50FF">
      <w:pPr>
        <w:keepNext/>
        <w:jc w:val="center"/>
        <w:rPr>
          <w:b/>
          <w:noProof/>
        </w:rPr>
      </w:pPr>
      <w:r w:rsidRPr="006E50FF">
        <w:rPr>
          <w:b/>
          <w:noProof/>
        </w:rPr>
        <w:t>Part XXVII.  Agricultural Commodity Dealer and Warehouse Law</w:t>
      </w:r>
    </w:p>
    <w:p w14:paraId="706DAE7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Louisiana Agricultural Commodities Commission</w:t>
      </w:r>
    </w:p>
    <w:p w14:paraId="3ACBF9E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O.</w:t>
      </w:r>
      <w:r w:rsidRPr="006E50FF">
        <w:rPr>
          <w:b/>
          <w:kern w:val="2"/>
        </w:rPr>
        <w:tab/>
        <w:t>Grain and Cotton Indemnity Fund</w:t>
      </w:r>
    </w:p>
    <w:p w14:paraId="3E3FF78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§191.</w:t>
      </w:r>
      <w:r w:rsidRPr="006E50FF">
        <w:rPr>
          <w:b/>
          <w:kern w:val="2"/>
        </w:rPr>
        <w:tab/>
        <w:t xml:space="preserve">Creation </w:t>
      </w:r>
    </w:p>
    <w:p w14:paraId="3706D3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Grain and Cotton Indemnity Fund is hereby created pursuant to R.S. 3:3412.1.</w:t>
      </w:r>
    </w:p>
    <w:p w14:paraId="1BF635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4F80BD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35:629 (April 2009), amended by the Department of Agriculture and Forestry, Agricultural Commodities Commission, LR 37:510 (February 2011), amended LR 52:</w:t>
      </w:r>
    </w:p>
    <w:p w14:paraId="18E8A0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§197.</w:t>
      </w:r>
      <w:r w:rsidRPr="006E50FF">
        <w:rPr>
          <w:b/>
          <w:kern w:val="2"/>
        </w:rPr>
        <w:tab/>
        <w:t>Assessments</w:t>
      </w:r>
    </w:p>
    <w:p w14:paraId="2F6A07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commission shall charge an assessment at the rate of 2/25 of one percent on the value of all agricultural commodities regulated under this Chapter which are purchased by grain dealers and cotton merchants licensed in this state.</w:t>
      </w:r>
    </w:p>
    <w:p w14:paraId="11AFED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assessments shall be levied only on commodities which are grown in Louisiana and that are regulated by the commission.</w:t>
      </w:r>
    </w:p>
    <w:p w14:paraId="25262D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assessments shall be due and payable to the commission by the licensee at the first point of sale, except as otherwise provided for under §199 of this Part.</w:t>
      </w:r>
    </w:p>
    <w:p w14:paraId="44AEFA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assessments shall be due to the commission on a monthly basis.</w:t>
      </w:r>
    </w:p>
    <w:p w14:paraId="07D49B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Each grain dealer and cotton merchant shall send a completed copy of the Louisiana Grain and Cotton Indemnity Fund Monthly Assessment Report (supplied by the commission) and assessment to the commission by the fifteenth of each month for the preceding month.</w:t>
      </w:r>
    </w:p>
    <w:p w14:paraId="026C4A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 the event no assessments are collected by the licensee, the licensee shall still submit a report each month to the commission on the approved form.</w:t>
      </w:r>
    </w:p>
    <w:p w14:paraId="0F6A22D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75C864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35:629 (April 2009), amended by the Department of Agriculture and Forestry, Agricultural Commodities Commission, LR 37:510 (February 2011), amended LR 52:</w:t>
      </w:r>
    </w:p>
    <w:p w14:paraId="23C0DE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§199.</w:t>
      </w:r>
      <w:r w:rsidRPr="006E50FF">
        <w:rPr>
          <w:b/>
          <w:kern w:val="2"/>
        </w:rPr>
        <w:tab/>
        <w:t>Cotton Merchants Operating on a Cooperative Basis</w:t>
      </w:r>
    </w:p>
    <w:p w14:paraId="392E0D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Cotton merchants operating on a cooperative basis shall pay the assessment rate of 2/25 of one percent of the value of the commodity at the time of each payment, including any initial advance payment, progress payments and final payment to its members as proceeds of the crop.</w:t>
      </w:r>
    </w:p>
    <w:p w14:paraId="36D024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6A0218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35:629 (April 2009), amended by the Department of Agriculture and Forestry, Agricultural Commodities Commission, LR 37:510 (February 2011), amended LR 52:</w:t>
      </w:r>
    </w:p>
    <w:p w14:paraId="6D85D8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§203.</w:t>
      </w:r>
      <w:r w:rsidRPr="006E50FF">
        <w:rPr>
          <w:b/>
          <w:kern w:val="2"/>
        </w:rPr>
        <w:tab/>
        <w:t>Distribution of Funds for Claims from Prior Insolvency</w:t>
      </w:r>
    </w:p>
    <w:p w14:paraId="42C746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1F04D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R.S.3:3412.1</w:t>
      </w:r>
    </w:p>
    <w:p w14:paraId="2AE070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35:630 (April 2009), amended by the Department of Agriculture and Forestry, Agricultural Commodities Commission, LR 37:511 (February 2011), repealed LR 52:</w:t>
      </w:r>
    </w:p>
    <w:p w14:paraId="7F4DFD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w:t>
      </w:r>
      <w:r w:rsidRPr="006E50FF">
        <w:rPr>
          <w:b/>
          <w:kern w:val="2"/>
        </w:rPr>
        <w:tab/>
        <w:t xml:space="preserve">Adjudicatory Hearings </w:t>
      </w:r>
    </w:p>
    <w:p w14:paraId="6DF19B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Findings of violations and imposition of penalties may be made only by a ruling of the commission based upon an adjudicatory proceeding held in accordance with the provisions of the Administrative Procedure Act.</w:t>
      </w:r>
    </w:p>
    <w:p w14:paraId="68E3F4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Whenever the commissioner has any reason to believe that a violation of R.S. 3:3412.1, or of any rules and regulations adopted pursuant to this Part has occurred, the commissioner may present the alleged violations to the commission for a determination.</w:t>
      </w:r>
    </w:p>
    <w:p w14:paraId="0C1ECE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hearing officer shall be appointed by the office of the attorney general to preside over the hearing.</w:t>
      </w:r>
    </w:p>
    <w:p w14:paraId="14F4A4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Notice of the alleged violation, the date of the adjudicatory hearing, and the conduct of discovery shall be as provided in the Administrative Procedure Act.</w:t>
      </w:r>
    </w:p>
    <w:p w14:paraId="084FE7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ruling of the commission shall be in writing and provided to the person charged with the violation, as provided by the Administrative Procedure Act.</w:t>
      </w:r>
    </w:p>
    <w:p w14:paraId="7C7B93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Any appeal from a ruling of the commission shall be in accordance with the Administrative Procedure Act.</w:t>
      </w:r>
    </w:p>
    <w:p w14:paraId="2BE62A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37FC87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35:631 (April 2009), amended by the Department of Agriculture and Forestry, Agricultural Commodities Commission, LR 37:512 (February 2011), amended LR 52:</w:t>
      </w:r>
    </w:p>
    <w:p w14:paraId="6DE1266A" w14:textId="77777777" w:rsidR="006E50FF" w:rsidRPr="006E50FF" w:rsidRDefault="006E50FF" w:rsidP="006E50FF">
      <w:pPr>
        <w:keepNext/>
        <w:jc w:val="center"/>
        <w:rPr>
          <w:b/>
          <w:kern w:val="28"/>
        </w:rPr>
      </w:pPr>
      <w:r w:rsidRPr="006E50FF">
        <w:rPr>
          <w:b/>
          <w:kern w:val="28"/>
        </w:rPr>
        <w:t>Family Impact Statement</w:t>
      </w:r>
    </w:p>
    <w:p w14:paraId="718B9C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family formation, stability, and autonomy. In particular, the proposed Rule has no known or foreseeable impact on:</w:t>
      </w:r>
    </w:p>
    <w:p w14:paraId="13FEEA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3581DB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persons regarding the education and supervision of their children;</w:t>
      </w:r>
    </w:p>
    <w:p w14:paraId="51C492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7D2861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113ACC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17BD9A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5FE637E6" w14:textId="77777777" w:rsidR="006E50FF" w:rsidRPr="006E50FF" w:rsidRDefault="006E50FF" w:rsidP="006E50FF">
      <w:pPr>
        <w:keepNext/>
        <w:jc w:val="center"/>
        <w:rPr>
          <w:b/>
          <w:kern w:val="28"/>
        </w:rPr>
      </w:pPr>
      <w:r w:rsidRPr="006E50FF">
        <w:rPr>
          <w:b/>
          <w:kern w:val="28"/>
        </w:rPr>
        <w:t>Poverty Impact Statement </w:t>
      </w:r>
    </w:p>
    <w:p w14:paraId="1DFB5A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any child, individual, or family as defined by R.S. 49:973.B. In particular, there is no known or foreseeable effect on:</w:t>
      </w:r>
    </w:p>
    <w:p w14:paraId="4EC538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F0E08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875E7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r w:rsidRPr="006E50FF">
        <w:rPr>
          <w:kern w:val="2"/>
        </w:rPr>
        <w:lastRenderedPageBreak/>
        <w:t>3.</w:t>
      </w:r>
      <w:r w:rsidRPr="006E50FF">
        <w:rPr>
          <w:kern w:val="2"/>
        </w:rPr>
        <w:tab/>
        <w:t>the effect on employment and workforce development;</w:t>
      </w:r>
    </w:p>
    <w:p w14:paraId="3E36CA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571436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3D88FE9F" w14:textId="77777777" w:rsidR="006E50FF" w:rsidRPr="006E50FF" w:rsidRDefault="006E50FF" w:rsidP="006E50FF">
      <w:pPr>
        <w:keepNext/>
        <w:jc w:val="center"/>
        <w:rPr>
          <w:b/>
          <w:kern w:val="28"/>
        </w:rPr>
      </w:pPr>
      <w:r w:rsidRPr="006E50FF">
        <w:rPr>
          <w:b/>
          <w:kern w:val="28"/>
        </w:rPr>
        <w:t>Small Business Analysis</w:t>
      </w:r>
    </w:p>
    <w:p w14:paraId="4B9CE0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R.S. 49:974.6, methods for reduction of the impact on small business, as defined in the Regulatory Flexibility Act, have been considered when creating this proposed Rule.</w:t>
      </w:r>
    </w:p>
    <w:p w14:paraId="5C68AD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is not anticipated to have an adverse impact on small businesses; therefore, a Small Business Economic Impact Statement has not been prepared.</w:t>
      </w:r>
    </w:p>
    <w:p w14:paraId="36C4B03B" w14:textId="77777777" w:rsidR="006E50FF" w:rsidRPr="006E50FF" w:rsidRDefault="006E50FF" w:rsidP="006E50FF">
      <w:pPr>
        <w:keepNext/>
        <w:jc w:val="center"/>
        <w:rPr>
          <w:b/>
          <w:kern w:val="28"/>
        </w:rPr>
      </w:pPr>
      <w:r w:rsidRPr="006E50FF">
        <w:rPr>
          <w:b/>
          <w:kern w:val="28"/>
        </w:rPr>
        <w:t>Provider Impact Statement</w:t>
      </w:r>
    </w:p>
    <w:p w14:paraId="32A9AA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providers as defined by HCR 170 of the 2014 Regular Legislative Session. In particular, there should be no known or foreseeable effect on: </w:t>
      </w:r>
    </w:p>
    <w:p w14:paraId="3206FB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staffing level requirements or qualifications required to provide the same level of service; </w:t>
      </w:r>
    </w:p>
    <w:p w14:paraId="50F6F9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total direct and indirect effect on the cost to the providers to provide the same level of service; or </w:t>
      </w:r>
    </w:p>
    <w:p w14:paraId="2DBD8B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overall effect on the ability of the provider to provide the same level of service. </w:t>
      </w:r>
    </w:p>
    <w:p w14:paraId="5B9E2357" w14:textId="77777777" w:rsidR="006E50FF" w:rsidRPr="006E50FF" w:rsidRDefault="006E50FF" w:rsidP="006E50FF">
      <w:pPr>
        <w:keepNext/>
        <w:jc w:val="center"/>
        <w:rPr>
          <w:b/>
          <w:kern w:val="28"/>
        </w:rPr>
      </w:pPr>
      <w:r w:rsidRPr="006E50FF">
        <w:rPr>
          <w:b/>
          <w:kern w:val="28"/>
        </w:rPr>
        <w:t>Public Comments</w:t>
      </w:r>
    </w:p>
    <w:p w14:paraId="5CBE99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to Gene Cavalier, Director of Agricultural Commodities, 5825 Florida Blvd, Suite 5000 Baton Rouge, LA 70806 or via email to gcavalier@ldaf.state.la.us. Comments will be accepted until 3 p.m. on October 10, 2026. </w:t>
      </w:r>
    </w:p>
    <w:p w14:paraId="17013B8C" w14:textId="77777777" w:rsidR="006E50FF" w:rsidRPr="006E50FF" w:rsidRDefault="006E50FF" w:rsidP="006E50FF">
      <w:pPr>
        <w:keepNext/>
        <w:jc w:val="center"/>
        <w:rPr>
          <w:b/>
          <w:kern w:val="28"/>
        </w:rPr>
      </w:pPr>
      <w:r w:rsidRPr="006E50FF">
        <w:rPr>
          <w:b/>
          <w:kern w:val="28"/>
        </w:rPr>
        <w:t>Public Hearing</w:t>
      </w:r>
    </w:p>
    <w:p w14:paraId="25561E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 public hearing on this proposed Rule has been scheduled. If a public hearing is needed all interested parties will be afforded an opportunity to submit data, views, or arguments either orally or in writing. Interested parties may submit a written request to conduct a public hearing to Gene Cavalier, Director of Agricultural Commodities, 5825 Florida Blvd, Suite 5000 Baton Rouge, LA 70806 or via email attachments to gcavalier@ldaf.state.la.us; such request must be received by no later than 3 p.m. on October 10, 2026.</w:t>
      </w:r>
    </w:p>
    <w:p w14:paraId="73DB5B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16447C2" w14:textId="77777777" w:rsidR="006E50FF" w:rsidRPr="006E50FF" w:rsidRDefault="006E50FF" w:rsidP="006E50FF">
      <w:pPr>
        <w:keepNext/>
        <w:ind w:left="2160"/>
        <w:jc w:val="both"/>
      </w:pPr>
      <w:r w:rsidRPr="006E50FF">
        <w:t>Mike Strain, DVM</w:t>
      </w:r>
    </w:p>
    <w:p w14:paraId="3F21B152" w14:textId="77777777" w:rsidR="006E50FF" w:rsidRPr="006E50FF" w:rsidRDefault="006E50FF" w:rsidP="006E50FF">
      <w:pPr>
        <w:keepNext/>
        <w:ind w:left="2160"/>
        <w:jc w:val="both"/>
      </w:pPr>
      <w:r w:rsidRPr="006E50FF">
        <w:t>Commissioner</w:t>
      </w:r>
    </w:p>
    <w:p w14:paraId="0A9C7A73" w14:textId="77777777" w:rsidR="006E50FF" w:rsidRPr="006E50FF" w:rsidRDefault="006E50FF" w:rsidP="006E50FF">
      <w:pPr>
        <w:keepNext/>
        <w:jc w:val="center"/>
        <w:rPr>
          <w:b/>
        </w:rPr>
      </w:pPr>
    </w:p>
    <w:p w14:paraId="30123138" w14:textId="77777777" w:rsidR="006E50FF" w:rsidRPr="006E50FF" w:rsidRDefault="006E50FF" w:rsidP="006E50FF">
      <w:pPr>
        <w:keepNext/>
        <w:jc w:val="center"/>
        <w:rPr>
          <w:b/>
        </w:rPr>
      </w:pPr>
      <w:r w:rsidRPr="006E50FF">
        <w:rPr>
          <w:b/>
        </w:rPr>
        <w:t>FISCAL AND ECONOMIC IMPACT STATEMENT FOR ADMINISTRATIVE RULES</w:t>
      </w:r>
    </w:p>
    <w:p w14:paraId="44F707F6" w14:textId="77777777" w:rsidR="006E50FF" w:rsidRPr="006E50FF" w:rsidRDefault="006E50FF" w:rsidP="006E50FF">
      <w:pPr>
        <w:keepNext/>
        <w:jc w:val="center"/>
        <w:rPr>
          <w:b/>
          <w:noProof/>
        </w:rPr>
      </w:pPr>
      <w:r w:rsidRPr="006E50FF">
        <w:rPr>
          <w:b/>
          <w:noProof/>
        </w:rPr>
        <w:t>RULE TITLE:  Grain and Cotton Indemnity Fund</w:t>
      </w:r>
    </w:p>
    <w:p w14:paraId="53F9414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C4B3E7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DA8B2CD" w14:textId="77777777" w:rsidR="006E50FF" w:rsidRPr="006E50FF" w:rsidRDefault="006E50FF" w:rsidP="006E50FF">
      <w:pPr>
        <w:ind w:left="288" w:firstLine="288"/>
        <w:jc w:val="both"/>
        <w:rPr>
          <w:noProof/>
          <w:sz w:val="18"/>
        </w:rPr>
      </w:pPr>
      <w:r w:rsidRPr="006E50FF">
        <w:rPr>
          <w:noProof/>
          <w:sz w:val="18"/>
        </w:rPr>
        <w:t>The proposed rule change will have a nominal effect on the expenditures to the Louisiana Department of Agriculture and Forestry (LDAF) to update assessment forms submitted by the licensee at the first point of sale for agricultural commodities. LDAF will be able to absorb these costs in their existing operating budget.</w:t>
      </w:r>
    </w:p>
    <w:p w14:paraId="1BE02C34" w14:textId="77777777" w:rsidR="006E50FF" w:rsidRPr="006E50FF" w:rsidRDefault="006E50FF" w:rsidP="006E50FF">
      <w:pPr>
        <w:ind w:left="288" w:firstLine="288"/>
        <w:jc w:val="both"/>
        <w:rPr>
          <w:noProof/>
          <w:sz w:val="18"/>
        </w:rPr>
      </w:pPr>
      <w:r w:rsidRPr="006E50FF">
        <w:rPr>
          <w:noProof/>
          <w:sz w:val="18"/>
        </w:rPr>
        <w:t xml:space="preserve">The proposed rule change increases the voluntary fee that grain and cotton farmers pay. These funds go into the Grain and Cotton Indemnity Fund to protect farmers from financial losses if a licensed grain dealer or cotton merchant fails financially and cannot pay producers. Act 156 of the 2026 RS </w:t>
      </w:r>
      <w:r w:rsidRPr="006E50FF">
        <w:rPr>
          <w:noProof/>
          <w:sz w:val="18"/>
        </w:rPr>
        <w:br w:type="column"/>
      </w:r>
      <w:r w:rsidRPr="006E50FF">
        <w:rPr>
          <w:noProof/>
          <w:sz w:val="18"/>
        </w:rPr>
        <w:t>doubled the assessment into the fund from one twenty-fifth of 1% to two twenty-fifths of 1%.</w:t>
      </w:r>
    </w:p>
    <w:p w14:paraId="020C968B" w14:textId="77777777" w:rsidR="006E50FF" w:rsidRPr="006E50FF" w:rsidRDefault="006E50FF" w:rsidP="006E50FF">
      <w:pPr>
        <w:ind w:left="288" w:firstLine="288"/>
        <w:jc w:val="both"/>
        <w:rPr>
          <w:sz w:val="18"/>
        </w:rPr>
      </w:pPr>
      <w:r w:rsidRPr="006E50FF">
        <w:rPr>
          <w:sz w:val="18"/>
        </w:rPr>
        <w:t>The proposed rule change also updates references to statutory authority and repeals language that is no longer necessary.</w:t>
      </w:r>
    </w:p>
    <w:p w14:paraId="37F8093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1858D92" w14:textId="77777777" w:rsidR="006E50FF" w:rsidRPr="006E50FF" w:rsidRDefault="006E50FF" w:rsidP="006E50FF">
      <w:pPr>
        <w:ind w:left="288" w:firstLine="288"/>
        <w:jc w:val="both"/>
        <w:rPr>
          <w:sz w:val="18"/>
        </w:rPr>
      </w:pPr>
      <w:r w:rsidRPr="006E50FF">
        <w:rPr>
          <w:sz w:val="18"/>
        </w:rPr>
        <w:t>The proposed rule change will increase Statutory Dedications deposited into the Grain and Cotton Indemnity Fund by an estimated average of $626,130 annually. Act 156 of the 2026 RS doubled the charged assessment that is collected by the LA Agricultural Commodities Commission on all agricultural commodities regulated under the authority at the first point of sale. Over the last five years, the commission has collected on average $626,130 annually for the Grain and Cotton Indemnity Fund. The proposed rule change would align the administrative code with Act 156 of the 2026 RS.</w:t>
      </w:r>
    </w:p>
    <w:p w14:paraId="3B94F2AE"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C2ED27A" w14:textId="77777777" w:rsidR="006E50FF" w:rsidRPr="006E50FF" w:rsidRDefault="006E50FF" w:rsidP="006E50FF">
      <w:pPr>
        <w:ind w:left="288" w:firstLine="288"/>
        <w:jc w:val="both"/>
        <w:rPr>
          <w:sz w:val="18"/>
        </w:rPr>
      </w:pPr>
      <w:r w:rsidRPr="006E50FF">
        <w:rPr>
          <w:sz w:val="18"/>
        </w:rPr>
        <w:t>The proposed rule change will increase costs for grain and cotton farmers who pay into the Grain and Cotton Indemnity Fund. The proposed rule change aligns the administrative code with Act 156 of the 2026 RS, which doubled the rate (from one twenty-fifth of 1% to two twenty-fifths of 1%) at which the Grain and Cotton Indemnity Fund accrues funds. The funds are held in a trust to pay producers for agricultural commodities sold to a licensee of the LA Agriculture Commodities Commission that becomes insolvent.</w:t>
      </w:r>
    </w:p>
    <w:p w14:paraId="0B4D874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84BC3C0"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w:t>
      </w:r>
    </w:p>
    <w:p w14:paraId="4DA17A7C" w14:textId="77777777" w:rsidR="006E50FF" w:rsidRPr="006E50FF" w:rsidRDefault="006E50FF" w:rsidP="006E50FF">
      <w:pPr>
        <w:ind w:left="288" w:firstLine="288"/>
        <w:jc w:val="both"/>
        <w:rPr>
          <w:sz w:val="18"/>
        </w:rPr>
      </w:pPr>
    </w:p>
    <w:p w14:paraId="46E4C9CD" w14:textId="77777777" w:rsidR="006E50FF" w:rsidRPr="006E50FF" w:rsidRDefault="006E50FF" w:rsidP="006E50FF">
      <w:pPr>
        <w:tabs>
          <w:tab w:val="left" w:pos="2880"/>
          <w:tab w:val="decimal" w:pos="2988"/>
        </w:tabs>
        <w:outlineLvl w:val="8"/>
        <w:rPr>
          <w:kern w:val="2"/>
          <w:sz w:val="18"/>
        </w:rPr>
      </w:pPr>
      <w:r w:rsidRPr="006E50FF">
        <w:rPr>
          <w:kern w:val="2"/>
          <w:sz w:val="18"/>
        </w:rPr>
        <w:t>Rebecca Dupree</w:t>
      </w:r>
      <w:r w:rsidRPr="006E50FF">
        <w:rPr>
          <w:kern w:val="2"/>
          <w:sz w:val="18"/>
        </w:rPr>
        <w:tab/>
        <w:t>Patrice Thomas</w:t>
      </w:r>
    </w:p>
    <w:p w14:paraId="521EA6BF"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7CEFCF17" w14:textId="77777777" w:rsidR="006E50FF" w:rsidRPr="006E50FF" w:rsidRDefault="006E50FF" w:rsidP="006E50FF">
      <w:pPr>
        <w:tabs>
          <w:tab w:val="left" w:pos="2880"/>
          <w:tab w:val="decimal" w:pos="2988"/>
        </w:tabs>
        <w:outlineLvl w:val="8"/>
        <w:rPr>
          <w:kern w:val="2"/>
          <w:sz w:val="18"/>
        </w:rPr>
      </w:pPr>
      <w:r w:rsidRPr="006E50FF">
        <w:rPr>
          <w:noProof/>
          <w:sz w:val="16"/>
        </w:rPr>
        <w:t>2609#034</w:t>
      </w:r>
      <w:r w:rsidRPr="006E50FF">
        <w:rPr>
          <w:kern w:val="2"/>
        </w:rPr>
        <w:tab/>
      </w:r>
      <w:r w:rsidRPr="006E50FF">
        <w:rPr>
          <w:kern w:val="2"/>
          <w:sz w:val="18"/>
        </w:rPr>
        <w:t>Legislative Fiscal Office</w:t>
      </w:r>
    </w:p>
    <w:p w14:paraId="16E8A02A" w14:textId="77777777" w:rsidR="006E50FF" w:rsidRPr="006E50FF" w:rsidRDefault="006E50FF" w:rsidP="006E50FF"/>
    <w:p w14:paraId="75553A0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619F34E4" w14:textId="77777777" w:rsidR="006E50FF" w:rsidRPr="006E50FF" w:rsidRDefault="006E50FF" w:rsidP="006E50FF">
      <w:pPr>
        <w:keepNext/>
        <w:jc w:val="center"/>
        <w:rPr>
          <w:b/>
          <w:noProof/>
        </w:rPr>
      </w:pPr>
      <w:r w:rsidRPr="006E50FF">
        <w:rPr>
          <w:b/>
          <w:noProof/>
        </w:rPr>
        <w:t>Department of Children and Family Services</w:t>
      </w:r>
    </w:p>
    <w:p w14:paraId="33BD0AD6" w14:textId="77777777" w:rsidR="006E50FF" w:rsidRPr="006E50FF" w:rsidRDefault="006E50FF" w:rsidP="006E50FF">
      <w:pPr>
        <w:keepNext/>
        <w:jc w:val="center"/>
        <w:rPr>
          <w:b/>
          <w:noProof/>
        </w:rPr>
      </w:pPr>
      <w:r w:rsidRPr="006E50FF">
        <w:rPr>
          <w:b/>
          <w:noProof/>
        </w:rPr>
        <w:t>Division of Child Welfare</w:t>
      </w:r>
    </w:p>
    <w:p w14:paraId="76557ED1" w14:textId="77777777" w:rsidR="006E50FF" w:rsidRPr="006E50FF" w:rsidRDefault="006E50FF" w:rsidP="006E50FF">
      <w:pPr>
        <w:keepNext/>
        <w:spacing w:before="240" w:after="240"/>
        <w:jc w:val="center"/>
        <w:rPr>
          <w:noProof/>
        </w:rPr>
      </w:pPr>
      <w:r w:rsidRPr="006E50FF">
        <w:rPr>
          <w:noProof/>
        </w:rPr>
        <w:t xml:space="preserve">Child Welfare—Licensing and Certification </w:t>
      </w:r>
      <w:r w:rsidRPr="006E50FF">
        <w:rPr>
          <w:noProof/>
        </w:rPr>
        <w:br/>
        <w:t>(LAC 67:V.Chapters 71 and 73)</w:t>
      </w:r>
    </w:p>
    <w:p w14:paraId="48EF1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Children and Family Services, Office of Management and Finance (the department)</w:t>
      </w:r>
      <w:bookmarkStart w:id="127" w:name="_Hlk231475732"/>
      <w:r w:rsidRPr="006E50FF">
        <w:rPr>
          <w:kern w:val="2"/>
        </w:rPr>
        <w:t xml:space="preserve"> </w:t>
      </w:r>
      <w:bookmarkEnd w:id="127"/>
      <w:r w:rsidRPr="006E50FF">
        <w:rPr>
          <w:kern w:val="2"/>
        </w:rPr>
        <w:t xml:space="preserve">proposes to amend LAC 67:V.Chapters 71 and 73 </w:t>
      </w:r>
      <w:bookmarkStart w:id="128" w:name="_Hlk239921749"/>
      <w:r w:rsidRPr="006E50FF">
        <w:rPr>
          <w:kern w:val="2"/>
        </w:rPr>
        <w:t>as authorized by R.S. 36:474, R.S. 46:51, R.S. 46:102, and R.S. 46:1401 et seq</w:t>
      </w:r>
      <w:bookmarkEnd w:id="128"/>
      <w:r w:rsidRPr="006E50FF">
        <w:rPr>
          <w:kern w:val="2"/>
        </w:rPr>
        <w:t>. This proposed Rule is promulgated in accordance with the provisions of the Administrative Procedure Act, R.S. 49:950 et seq.</w:t>
      </w:r>
    </w:p>
    <w:p w14:paraId="17833B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is undertaking this rulemaking effort to update LAC 67:V.Chapters 71 and 73, as several provisions are outdated and no longer aligned with national standards of practice. In accordance with Executive Order JML 25</w:t>
      </w:r>
      <w:r w:rsidRPr="006E50FF">
        <w:rPr>
          <w:kern w:val="2"/>
        </w:rPr>
        <w:noBreakHyphen/>
        <w:t>130, the Department conducted a comprehensive review of existing licensing regulations to strengthen and enhance efficiency within the Louisiana Foster Care system. These revisions modernize the regulatory framework, incorporate widely accepted national practices, and align Louisiana with other states by requiring that children be placed in the least restrictive, most family</w:t>
      </w:r>
      <w:r w:rsidRPr="006E50FF">
        <w:rPr>
          <w:kern w:val="2"/>
        </w:rPr>
        <w:noBreakHyphen/>
        <w:t xml:space="preserve">like setting appropriate to their </w:t>
      </w:r>
      <w:r w:rsidRPr="006E50FF">
        <w:rPr>
          <w:kern w:val="2"/>
        </w:rPr>
        <w:br w:type="page"/>
      </w:r>
      <w:r w:rsidRPr="006E50FF">
        <w:rPr>
          <w:kern w:val="2"/>
        </w:rPr>
        <w:lastRenderedPageBreak/>
        <w:t>needs. Collectively, these updates are intended to improve safety, well</w:t>
      </w:r>
      <w:r w:rsidRPr="006E50FF">
        <w:rPr>
          <w:kern w:val="2"/>
        </w:rPr>
        <w:noBreakHyphen/>
        <w:t>being, and permanency outcomes for children in care while supporting more effective oversight and licensing processes.</w:t>
      </w:r>
    </w:p>
    <w:p w14:paraId="208D8F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Notice of Intent has been drafted utilizing plain language principles to ensure clarity and accessibility for all users. It has also been reviewed and tested for compliance with web accessibility standards.</w:t>
      </w:r>
    </w:p>
    <w:p w14:paraId="71C4868A" w14:textId="77777777" w:rsidR="006E50FF" w:rsidRPr="006E50FF" w:rsidRDefault="006E50FF" w:rsidP="006E50FF">
      <w:pPr>
        <w:keepNext/>
        <w:jc w:val="center"/>
        <w:rPr>
          <w:b/>
          <w:kern w:val="28"/>
        </w:rPr>
      </w:pPr>
      <w:r w:rsidRPr="006E50FF">
        <w:rPr>
          <w:b/>
          <w:kern w:val="28"/>
        </w:rPr>
        <w:t>Title 67</w:t>
      </w:r>
    </w:p>
    <w:p w14:paraId="1B6A4795" w14:textId="77777777" w:rsidR="006E50FF" w:rsidRPr="006E50FF" w:rsidRDefault="006E50FF" w:rsidP="006E50FF">
      <w:pPr>
        <w:keepNext/>
        <w:jc w:val="center"/>
        <w:rPr>
          <w:b/>
          <w:kern w:val="28"/>
        </w:rPr>
      </w:pPr>
      <w:r w:rsidRPr="006E50FF">
        <w:rPr>
          <w:b/>
          <w:kern w:val="28"/>
        </w:rPr>
        <w:t>SOCIAL SERVICES</w:t>
      </w:r>
    </w:p>
    <w:p w14:paraId="5748E4E3" w14:textId="77777777" w:rsidR="006E50FF" w:rsidRPr="006E50FF" w:rsidRDefault="006E50FF" w:rsidP="006E50FF">
      <w:pPr>
        <w:keepNext/>
        <w:jc w:val="center"/>
        <w:rPr>
          <w:b/>
          <w:noProof/>
        </w:rPr>
      </w:pPr>
      <w:r w:rsidRPr="006E50FF">
        <w:rPr>
          <w:b/>
          <w:noProof/>
        </w:rPr>
        <w:t>Part V.  Child Welfare</w:t>
      </w:r>
    </w:p>
    <w:p w14:paraId="2281B66D" w14:textId="77777777" w:rsidR="006E50FF" w:rsidRPr="006E50FF" w:rsidRDefault="006E50FF" w:rsidP="006E50FF">
      <w:pPr>
        <w:keepNext/>
        <w:jc w:val="center"/>
        <w:rPr>
          <w:b/>
          <w:noProof/>
        </w:rPr>
      </w:pPr>
      <w:bookmarkStart w:id="129" w:name="TOC_SubP23"/>
      <w:bookmarkStart w:id="130" w:name="_Toc248893682"/>
      <w:bookmarkStart w:id="131" w:name="_Toc257205805"/>
      <w:bookmarkStart w:id="132" w:name="_Toc230079186"/>
      <w:r w:rsidRPr="006E50FF">
        <w:rPr>
          <w:b/>
          <w:noProof/>
        </w:rPr>
        <w:t>Subpart 8.  Residential Licensing</w:t>
      </w:r>
      <w:bookmarkEnd w:id="129"/>
      <w:bookmarkEnd w:id="130"/>
      <w:bookmarkEnd w:id="131"/>
      <w:bookmarkEnd w:id="132"/>
    </w:p>
    <w:p w14:paraId="654044E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33" w:name="_Toc230079215"/>
      <w:r w:rsidRPr="006E50FF">
        <w:rPr>
          <w:b/>
          <w:kern w:val="2"/>
        </w:rPr>
        <w:t>Chapter 71.</w:t>
      </w:r>
      <w:r w:rsidRPr="006E50FF">
        <w:rPr>
          <w:b/>
          <w:kern w:val="2"/>
        </w:rPr>
        <w:tab/>
        <w:t>Residential Homes</w:t>
      </w:r>
      <w:r w:rsidRPr="006E50FF">
        <w:rPr>
          <w:b/>
          <w:kern w:val="2"/>
        </w:rPr>
        <w:sym w:font="Symbol" w:char="F0BE"/>
      </w:r>
      <w:r w:rsidRPr="006E50FF">
        <w:rPr>
          <w:b/>
          <w:kern w:val="2"/>
        </w:rPr>
        <w:t>Type IV</w:t>
      </w:r>
      <w:bookmarkEnd w:id="133"/>
    </w:p>
    <w:p w14:paraId="6D9FE21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4" w:name="_Toc230079218"/>
      <w:bookmarkStart w:id="135" w:name="_Toc230079219"/>
      <w:r w:rsidRPr="006E50FF">
        <w:rPr>
          <w:b/>
          <w:kern w:val="2"/>
        </w:rPr>
        <w:t>§7105.</w:t>
      </w:r>
      <w:r w:rsidRPr="006E50FF">
        <w:rPr>
          <w:b/>
          <w:kern w:val="2"/>
        </w:rPr>
        <w:tab/>
        <w:t>Definitions</w:t>
      </w:r>
      <w:bookmarkEnd w:id="134"/>
    </w:p>
    <w:p w14:paraId="29B1E2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As used in this Chapter:</w:t>
      </w:r>
    </w:p>
    <w:p w14:paraId="284287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B5E8EF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Human Service Field</w:t>
      </w:r>
      <w:r w:rsidRPr="006E50FF">
        <w:rPr>
          <w:kern w:val="2"/>
        </w:rPr>
        <w:sym w:font="Symbol" w:char="F0BE"/>
      </w:r>
      <w:r w:rsidRPr="006E50FF">
        <w:rPr>
          <w:kern w:val="2"/>
        </w:rPr>
        <w:t>the field of employment similar or related to social services such as social work, nursing, psychology, sociology, special education, rehabilitation counseling, child development, guidance and counseling, divinity, education, juvenile justice and/or corrections through which a person gains experience in providing services to the public and/or private clients that serves to meet the years of experience required for a job as specified on the job description for that position.</w:t>
      </w:r>
    </w:p>
    <w:p w14:paraId="159E84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bookmarkStart w:id="136" w:name="_Hlk237433020"/>
      <w:r w:rsidRPr="006E50FF">
        <w:rPr>
          <w:kern w:val="2"/>
        </w:rPr>
        <w:t>* * *</w:t>
      </w:r>
    </w:p>
    <w:bookmarkEnd w:id="136"/>
    <w:p w14:paraId="7D4456C6"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Visitor</w:t>
      </w:r>
      <w:r w:rsidRPr="006E50FF">
        <w:rPr>
          <w:kern w:val="2"/>
        </w:rPr>
        <w:t>—any person who enters a child-placing agency</w:t>
      </w:r>
      <w:r w:rsidRPr="006E50FF">
        <w:rPr>
          <w:rFonts w:ascii="Cambria Math" w:hAnsi="Cambria Math" w:cs="Cambria Math"/>
          <w:kern w:val="2"/>
        </w:rPr>
        <w:t> </w:t>
      </w:r>
      <w:r w:rsidRPr="006E50FF">
        <w:rPr>
          <w:kern w:val="2"/>
        </w:rPr>
        <w:t>office</w:t>
      </w:r>
      <w:r w:rsidRPr="006E50FF">
        <w:rPr>
          <w:rFonts w:ascii="Cambria Math" w:hAnsi="Cambria Math" w:cs="Cambria Math"/>
          <w:kern w:val="2"/>
        </w:rPr>
        <w:t> </w:t>
      </w:r>
      <w:r w:rsidRPr="006E50FF">
        <w:rPr>
          <w:kern w:val="2"/>
        </w:rPr>
        <w:t>other than child-placing agency staff, contractor, therapeutic professionals, and in the case of a church or school, pastor, principal, teacher, or school personnel.</w:t>
      </w:r>
    </w:p>
    <w:p w14:paraId="41C1EDB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7C9E5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278536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36:805 (April 2010), amended by the Department of Children and Family Services, Division of Programs, Licensing Section, LR 38:976 (April 2012), LR 42:220 (February 2016), amended by the Department of Children and Family Services, Licensing Section, LR 43:246 (February 2017), amended by the Department of Children and Family Services, Licensing Section, LR 45:519 (April 2019), effective May 1, 2019, LR 46:673 (May 2020), effective June 1, 2020, amended by the Department of Children and Family Services, Division of Child Welfare, LR 52:</w:t>
      </w:r>
    </w:p>
    <w:p w14:paraId="3C7CD1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§7107.</w:t>
      </w:r>
      <w:r w:rsidRPr="006E50FF">
        <w:rPr>
          <w:b/>
          <w:kern w:val="2"/>
        </w:rPr>
        <w:tab/>
        <w:t>Licensing Requirements</w:t>
      </w:r>
      <w:bookmarkEnd w:id="135"/>
    </w:p>
    <w:p w14:paraId="1B8CD4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General Provisions</w:t>
      </w:r>
    </w:p>
    <w:p w14:paraId="04BC11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1 - 12.</w:t>
      </w:r>
      <w:r w:rsidRPr="006E50FF">
        <w:rPr>
          <w:kern w:val="2"/>
        </w:rPr>
        <w:tab/>
        <w:t>…</w:t>
      </w:r>
    </w:p>
    <w:p w14:paraId="3DF2CF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Providers with live-in staff may allow children of staff members to reside with their parents in the private staff quarters of the residential home.</w:t>
      </w:r>
      <w:r w:rsidRPr="006E50FF">
        <w:rPr>
          <w:rFonts w:eastAsia="Noto Serif SC"/>
          <w:lang w:eastAsia="zh-CN" w:bidi="hi-IN"/>
        </w:rPr>
        <w:t xml:space="preserve"> </w:t>
      </w:r>
      <w:r w:rsidRPr="006E50FF">
        <w:rPr>
          <w:kern w:val="2"/>
        </w:rPr>
        <w:t>Children of staff members shall reside only in private staff quarters that are separate from resident living areas. When children of staff members are present on the licensed premises, a caregiver other than the staff member on duty shall be present on site to supervise and care for those children.</w:t>
      </w:r>
    </w:p>
    <w:p w14:paraId="271E0C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 - 15.</w:t>
      </w:r>
      <w:r w:rsidRPr="006E50FF">
        <w:rPr>
          <w:kern w:val="2"/>
        </w:rPr>
        <w:tab/>
        <w:t>…</w:t>
      </w:r>
    </w:p>
    <w:p w14:paraId="46D87707" w14:textId="77777777" w:rsidR="006E50FF" w:rsidRPr="006E50FF" w:rsidRDefault="006E50FF" w:rsidP="006E50FF">
      <w:pPr>
        <w:tabs>
          <w:tab w:val="left" w:pos="720"/>
          <w:tab w:val="left" w:pos="979"/>
          <w:tab w:val="left" w:pos="1152"/>
        </w:tabs>
        <w:ind w:firstLine="360"/>
        <w:jc w:val="both"/>
        <w:outlineLvl w:val="4"/>
        <w:rPr>
          <w:rFonts w:eastAsia="Noto Serif SC"/>
          <w:kern w:val="2"/>
          <w:lang w:eastAsia="zh-CN" w:bidi="hi-IN"/>
        </w:rPr>
      </w:pPr>
      <w:r w:rsidRPr="006E50FF">
        <w:rPr>
          <w:kern w:val="2"/>
        </w:rPr>
        <w:t>16.</w:t>
      </w:r>
      <w:r w:rsidRPr="006E50FF">
        <w:rPr>
          <w:kern w:val="2"/>
        </w:rPr>
        <w:tab/>
      </w:r>
      <w:r w:rsidRPr="006E50FF">
        <w:rPr>
          <w:rFonts w:eastAsia="Noto Serif SC"/>
          <w:kern w:val="2"/>
          <w:lang w:eastAsia="zh-CN" w:bidi="hi-IN"/>
        </w:rPr>
        <w:t>A child of a staff member who is 18 years of age or older and who resides on the licensed premises shall have a satisfactory fingerprint-based criminal background check through the Federal Bureau of Investigation and a satisfactory state central registry clearance prior to being present on the premises.</w:t>
      </w:r>
    </w:p>
    <w:p w14:paraId="795B13E4" w14:textId="77777777" w:rsidR="006E50FF" w:rsidRPr="006E50FF" w:rsidRDefault="006E50FF" w:rsidP="006E50FF">
      <w:pPr>
        <w:tabs>
          <w:tab w:val="left" w:pos="720"/>
          <w:tab w:val="left" w:pos="979"/>
          <w:tab w:val="left" w:pos="1152"/>
        </w:tabs>
        <w:ind w:firstLine="360"/>
        <w:jc w:val="both"/>
        <w:outlineLvl w:val="4"/>
        <w:rPr>
          <w:rFonts w:eastAsia="Noto Serif SC"/>
          <w:kern w:val="2"/>
          <w:lang w:eastAsia="zh-CN" w:bidi="hi-IN"/>
        </w:rPr>
      </w:pPr>
      <w:r w:rsidRPr="006E50FF">
        <w:rPr>
          <w:rFonts w:eastAsia="Noto Serif SC"/>
          <w:kern w:val="2"/>
          <w:lang w:eastAsia="zh-CN" w:bidi="hi-IN"/>
        </w:rPr>
        <w:t>17.</w:t>
      </w:r>
      <w:r w:rsidRPr="006E50FF">
        <w:rPr>
          <w:rFonts w:eastAsia="Noto Serif SC"/>
          <w:kern w:val="2"/>
          <w:lang w:eastAsia="zh-CN" w:bidi="hi-IN"/>
        </w:rPr>
        <w:tab/>
        <w:t>When children of staff members who reside on the premises have interaction with residents or children of residents, the staff member shall know the whereabouts of those children, including those 18 years of age and older, at all times when they are not within the private staff quarters.</w:t>
      </w:r>
    </w:p>
    <w:p w14:paraId="361715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B.2.u.</w:t>
      </w:r>
      <w:r w:rsidRPr="006E50FF">
        <w:rPr>
          <w:kern w:val="2"/>
        </w:rPr>
        <w:tab/>
        <w:t>…</w:t>
      </w:r>
    </w:p>
    <w:p w14:paraId="2EA2A8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the initial licensing packet is incomplete, the applicant will be notified of the missing information and will have 180 calendar days to submit the additional requested information. If the department does not receive the additional requested information within the 180 calendar days, the application will be closed and the fee forfeited. After an initial licensing application is closed, an applicant who is still interested in becoming a residential home provider shall submit a new initial licensing packet with a new initial licensing fee to restart the initial licensing process.</w:t>
      </w:r>
    </w:p>
    <w:p w14:paraId="312CCDC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B.4. - E.4.</w:t>
      </w:r>
      <w:r w:rsidRPr="006E50FF">
        <w:rPr>
          <w:kern w:val="2"/>
        </w:rPr>
        <w:tab/>
        <w:t>…</w:t>
      </w:r>
    </w:p>
    <w:p w14:paraId="1EDE6312"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alibri"/>
          <w:kern w:val="2"/>
        </w:rPr>
        <w:t>5.</w:t>
      </w:r>
      <w:r w:rsidRPr="006E50FF">
        <w:rPr>
          <w:rFonts w:eastAsia="Calibri"/>
          <w:kern w:val="2"/>
        </w:rPr>
        <w:tab/>
        <w:t>The department may close a license if, after one year from the date the license was issued, the provider has received no placements. Prior to closure, the department shall notify the provider in writing and afford the provider 30 calendar days to demonstrate activity.</w:t>
      </w:r>
    </w:p>
    <w:p w14:paraId="548B69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H.3.</w:t>
      </w:r>
      <w:r w:rsidRPr="006E50FF">
        <w:rPr>
          <w:kern w:val="2"/>
        </w:rPr>
        <w:tab/>
        <w:t>…</w:t>
      </w:r>
    </w:p>
    <w:p w14:paraId="036D7D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Appeal Process for Denial, Non-Renewal, or Revocation</w:t>
      </w:r>
    </w:p>
    <w:p w14:paraId="1A7E18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DCFS Licensing Section, shall advise the applicant, program director, or owner by letter of the reasons for non-renewal or revocation of the license, or denial of an application, and the right of appeal. If the program director or owner is not present at the facility, delivery of the written reasons for such action may be made to any staff of the facility. Notice to a staff shall constitute notice to the facility of such action and the reasons therefore. A request for appeal shall include a copy of the letter from the Licensing Section that notes the reasons for revocation, denial, or non-renewal, together with the specific areas of the decision the appellant believes to be erroneous and/or the specific reasons the decision is believed to have been reached in error, and shall be mailed to: Department of Children and Family Services,</w:t>
      </w:r>
      <w:r w:rsidRPr="006E50FF">
        <w:rPr>
          <w:color w:val="C00000"/>
          <w:kern w:val="2"/>
        </w:rPr>
        <w:t xml:space="preserve"> </w:t>
      </w:r>
      <w:r w:rsidRPr="006E50FF">
        <w:rPr>
          <w:kern w:val="2"/>
        </w:rPr>
        <w:t>Licensing Section, P.O. Box 3078, Baton Rouge, LA 70821.</w:t>
      </w:r>
    </w:p>
    <w:p w14:paraId="726F5F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w:t>
      </w:r>
    </w:p>
    <w:p w14:paraId="35B965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Licensing Section shall notify the Division of Administrative Law of receipt of an appeal request. Division of Administrative Law shall conduct a hearing. The appellant will be notified by DAL of the decision, either affirming or reversing the original decision. </w:t>
      </w:r>
    </w:p>
    <w:p w14:paraId="248338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H.6. - L6.</w:t>
      </w:r>
      <w:r w:rsidRPr="006E50FF">
        <w:rPr>
          <w:kern w:val="2"/>
        </w:rPr>
        <w:tab/>
        <w:t>…</w:t>
      </w:r>
    </w:p>
    <w:p w14:paraId="591C385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z w:val="18"/>
        </w:rPr>
      </w:pPr>
      <w:r w:rsidRPr="006E50FF">
        <w:rPr>
          <w:rFonts w:eastAsia="Calibri"/>
          <w:kern w:val="2"/>
          <w:sz w:val="18"/>
        </w:rPr>
        <w:t>AUTHORITY NOTE:</w:t>
      </w:r>
      <w:r w:rsidRPr="006E50FF">
        <w:rPr>
          <w:rFonts w:eastAsia="Calibri"/>
          <w:kern w:val="2"/>
          <w:sz w:val="18"/>
        </w:rPr>
        <w:tab/>
        <w:t>Promulgated in accordance with R.S. 36:477, R.S.46:1401 et seq., and R.S. 46:1414.1.</w:t>
      </w:r>
    </w:p>
    <w:p w14:paraId="2AAAE6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Services, LR 36:807 (April 2010), amended LR 36:843 (April 2010), amended by the Department of Children and Family Services, Child Welfare Section, LR 36:1463 (July 2010), amended by the Department of Children and Family Services, Division of Programs, Licensing Section, LR 38:977, 984 (April 2012), amended by the Department of Children and Family Services, Licensing Section, LR 43:249 (February 2017), LR 43:1725 (September 2017), amended by the Department of Children and Family Services, Licensing Section, LR 45:519 (April 2019), effective May 1, 2019</w:t>
      </w:r>
      <w:r w:rsidRPr="006E50FF">
        <w:rPr>
          <w:rFonts w:eastAsia="Courier New"/>
          <w:kern w:val="2"/>
          <w:sz w:val="18"/>
        </w:rPr>
        <w:t>, LR 46:673 (May 2020), effective June 1, 2020</w:t>
      </w:r>
      <w:r w:rsidRPr="006E50FF">
        <w:rPr>
          <w:kern w:val="2"/>
          <w:sz w:val="18"/>
        </w:rPr>
        <w:t>, LR 49:848 (May 2023), effective June 1, 2023, amended by the Department of Children and Family Services, Division of Child Welfare, LR 52:</w:t>
      </w:r>
    </w:p>
    <w:p w14:paraId="7956EE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7" w:name="_Toc230079221"/>
      <w:r w:rsidRPr="006E50FF">
        <w:rPr>
          <w:b/>
          <w:kern w:val="2"/>
        </w:rPr>
        <w:lastRenderedPageBreak/>
        <w:t>§7109.</w:t>
      </w:r>
      <w:r w:rsidRPr="006E50FF">
        <w:rPr>
          <w:b/>
          <w:kern w:val="2"/>
        </w:rPr>
        <w:tab/>
        <w:t>Critical Violations/Fines</w:t>
      </w:r>
      <w:bookmarkEnd w:id="137"/>
    </w:p>
    <w:p w14:paraId="171A4D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H.2.</w:t>
      </w:r>
      <w:r w:rsidRPr="006E50FF">
        <w:rPr>
          <w:kern w:val="2"/>
        </w:rPr>
        <w:tab/>
        <w:t>…</w:t>
      </w:r>
    </w:p>
    <w:p w14:paraId="672A639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If DCFS finds that the Licensing Section’s assessment of the fine is justified, the provider shall have 15 calendar days from the receipt of the reconsideration letter to appeal the decision to the Division of Administrative Law (DAL). A request for appeal shall include a copy of the letter from the Licensing Section that notes the reasons for assessment of the fine and a copy of the reconsideration decision letter together with the specific areas of the decision the appellant believes to be erroneous and/or the specific reasons the decision is believed to have been reached in error, and shall be mailed to Department of Children and Family Services, </w:t>
      </w:r>
      <w:r w:rsidRPr="006E50FF">
        <w:rPr>
          <w:rFonts w:eastAsia="Noto Serif SC"/>
          <w:lang w:eastAsia="zh-CN" w:bidi="hi-IN"/>
        </w:rPr>
        <w:t>Licensing Section, P.O. Box 3078, Baton Rouge, LA 70821</w:t>
      </w:r>
    </w:p>
    <w:p w14:paraId="603C64A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DCFS </w:t>
      </w:r>
      <w:r w:rsidRPr="006E50FF">
        <w:rPr>
          <w:rFonts w:eastAsia="Noto Serif SC"/>
          <w:lang w:eastAsia="zh-CN" w:bidi="hi-IN"/>
        </w:rPr>
        <w:t xml:space="preserve">Licensing Section </w:t>
      </w:r>
      <w:r w:rsidRPr="006E50FF">
        <w:rPr>
          <w:kern w:val="2"/>
        </w:rPr>
        <w:t xml:space="preserve">shall notify the DAL of receipt of an appeal request. DAL shall conduct a hearing in accordance with the Administrative Procedure Act and shall render a decision. The appellant will be notified by letter from DAL of the decision, either affirming or reversing the department’s decision. </w:t>
      </w:r>
    </w:p>
    <w:p w14:paraId="07EF87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2.c. - 4.</w:t>
      </w:r>
      <w:r w:rsidRPr="006E50FF">
        <w:rPr>
          <w:kern w:val="2"/>
        </w:rPr>
        <w:tab/>
        <w:t>…</w:t>
      </w:r>
    </w:p>
    <w:p w14:paraId="0B3EA7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46:1401 et seq.</w:t>
      </w:r>
    </w:p>
    <w:p w14:paraId="7D9B85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43:258 (February 2017), amended LR 43:1725 (September 2017), LR 44:1991 (November 2018), effective December 1, 2018, amended by the Department of Children and Family Services, Licensing Section, LR 45:521 (April 2019), effective May 1, 2019</w:t>
      </w:r>
      <w:r w:rsidRPr="006E50FF">
        <w:rPr>
          <w:rFonts w:eastAsia="Courier New"/>
          <w:kern w:val="2"/>
          <w:sz w:val="18"/>
        </w:rPr>
        <w:t>, LR 46:674 (May 2020), effective June 1, 2020</w:t>
      </w:r>
      <w:r w:rsidRPr="006E50FF">
        <w:rPr>
          <w:kern w:val="2"/>
          <w:sz w:val="18"/>
        </w:rPr>
        <w:t>, amended LR 47:1845 (December 2021), amended by the Department of Children and Family Services, Division of Child Welfare, LR 52:</w:t>
      </w:r>
    </w:p>
    <w:p w14:paraId="526308A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8" w:name="_Toc230079223"/>
      <w:r w:rsidRPr="006E50FF">
        <w:rPr>
          <w:b/>
          <w:kern w:val="2"/>
        </w:rPr>
        <w:t>§7111.</w:t>
      </w:r>
      <w:r w:rsidRPr="006E50FF">
        <w:rPr>
          <w:b/>
          <w:kern w:val="2"/>
        </w:rPr>
        <w:tab/>
        <w:t>Provider Requirements</w:t>
      </w:r>
      <w:bookmarkEnd w:id="138"/>
    </w:p>
    <w:p w14:paraId="3C5080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A.3.b.</w:t>
      </w:r>
      <w:r w:rsidRPr="006E50FF">
        <w:rPr>
          <w:kern w:val="2"/>
        </w:rPr>
        <w:tab/>
        <w:t>…</w:t>
      </w:r>
    </w:p>
    <w:p w14:paraId="775FB74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Documentation of experience for program director and service plan manager shall be verified in writing by previous employer</w:t>
      </w:r>
      <w:r w:rsidRPr="006E50FF">
        <w:rPr>
          <w:rFonts w:eastAsia="Noto Serif SC"/>
          <w:lang w:eastAsia="zh-CN" w:bidi="hi-IN"/>
        </w:rPr>
        <w:t xml:space="preserve"> and shall state the job title held, whether the work was full-time or part-time, and the period worked.</w:t>
      </w:r>
      <w:r w:rsidRPr="006E50FF">
        <w:rPr>
          <w:kern w:val="2"/>
        </w:rPr>
        <w:t xml:space="preserve"> Documentation of education shall be verified by a copy of the individual’s degree or transcript.</w:t>
      </w:r>
    </w:p>
    <w:p w14:paraId="2E06D86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Direct Care Worker. A direct care worker hired on or after August 1, 2016, shall be at least 21 years of age and have a high school diploma or equivalency and at least two years post-high school job experience, or at least 60 credit hours of undergraduate education in a human services field.</w:t>
      </w:r>
    </w:p>
    <w:p w14:paraId="57A928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- 7.d.</w:t>
      </w:r>
      <w:r w:rsidRPr="006E50FF">
        <w:rPr>
          <w:kern w:val="2"/>
        </w:rPr>
        <w:tab/>
        <w:t>…</w:t>
      </w:r>
    </w:p>
    <w:p w14:paraId="0F7860F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Effective August 1, 2016, staff in facilities licensed to care for children under age two years or facilities providing services for children of residents shall complete the “reducing the risk of SIDS in early education and child care” training provided or approved by the department, within their first 15 working days of employment or prior to having sole responsibility for residents or children of residents, whichever occurs first. Documentation of completion shall be the certificate obtained upon completion of the training.</w:t>
      </w:r>
      <w:r w:rsidRPr="006E50FF">
        <w:t xml:space="preserve"> </w:t>
      </w:r>
      <w:r w:rsidRPr="006E50FF">
        <w:rPr>
          <w:kern w:val="2"/>
        </w:rPr>
        <w:t>Annual training for this topic is required within one year from the issue date of the previous certificate.</w:t>
      </w:r>
    </w:p>
    <w:p w14:paraId="182C5978" w14:textId="77777777" w:rsidR="006E50FF" w:rsidRPr="006E50FF" w:rsidRDefault="006E50FF" w:rsidP="006E50FF">
      <w:pPr>
        <w:tabs>
          <w:tab w:val="left" w:pos="907"/>
        </w:tabs>
        <w:ind w:firstLine="547"/>
        <w:jc w:val="both"/>
        <w:outlineLvl w:val="5"/>
        <w:rPr>
          <w:rFonts w:eastAsia="MS Mincho"/>
          <w:kern w:val="2"/>
        </w:rPr>
      </w:pPr>
      <w:r w:rsidRPr="006E50FF">
        <w:rPr>
          <w:kern w:val="2"/>
        </w:rPr>
        <w:t>f.</w:t>
      </w:r>
      <w:r w:rsidRPr="006E50FF">
        <w:rPr>
          <w:kern w:val="2"/>
        </w:rPr>
        <w:tab/>
        <w:t>All direct care staff shall receive certification in adult cardiopulmonary resuscitation (CPR) and first aid within 45 days of employment.</w:t>
      </w:r>
      <w:r w:rsidRPr="006E50FF">
        <w:rPr>
          <w:rFonts w:eastAsia="MS Mincho"/>
          <w:kern w:val="2"/>
        </w:rPr>
        <w:t xml:space="preserve"> Effective August 1, 2016, if residents or children of residents under the age of 10 are accepted into the program, then staff shall also obtain a </w:t>
      </w:r>
      <w:r w:rsidRPr="006E50FF">
        <w:rPr>
          <w:rFonts w:eastAsia="MS Mincho"/>
          <w:kern w:val="2"/>
        </w:rPr>
        <w:t>certificate in infant/child CPR.</w:t>
      </w:r>
      <w:r w:rsidRPr="006E50FF">
        <w:rPr>
          <w:kern w:val="2"/>
        </w:rPr>
        <w:t xml:space="preserve"> </w:t>
      </w:r>
      <w:r w:rsidRPr="006E50FF">
        <w:rPr>
          <w:rFonts w:eastAsia="MS Mincho"/>
          <w:kern w:val="2"/>
        </w:rPr>
        <w:t xml:space="preserve">No staff member shall be left unsupervised with residents or children of residents until he/she has completed all required training. CPR and first aid shall be updated prior to the expiration of the certification as </w:t>
      </w:r>
      <w:r w:rsidRPr="006E50FF">
        <w:rPr>
          <w:rFonts w:eastAsia="Noto Serif SC"/>
          <w:lang w:eastAsia="zh-CN" w:bidi="hi-IN"/>
        </w:rPr>
        <w:t>indicated on the certification. Training shall be obtained from a provider identified on the DCFS website or otherwise approved by the department.</w:t>
      </w:r>
      <w:r w:rsidRPr="006E50FF">
        <w:rPr>
          <w:rFonts w:eastAsia="MS Mincho"/>
          <w:kern w:val="2"/>
        </w:rPr>
        <w:t xml:space="preserve"> Online-only training is not acceptable.</w:t>
      </w:r>
    </w:p>
    <w:p w14:paraId="787108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 - 8.c.</w:t>
      </w:r>
      <w:r w:rsidRPr="006E50FF">
        <w:rPr>
          <w:kern w:val="2"/>
        </w:rPr>
        <w:tab/>
        <w:t>…</w:t>
      </w:r>
    </w:p>
    <w:p w14:paraId="235F909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r>
      <w:r w:rsidRPr="006E50FF">
        <w:rPr>
          <w:rFonts w:eastAsia="MS Mincho"/>
          <w:kern w:val="2"/>
        </w:rPr>
        <w:t>All direct care staff shall have documentation of current certification in adult CPR and first aid</w:t>
      </w:r>
      <w:r w:rsidRPr="006E50FF">
        <w:rPr>
          <w:rFonts w:eastAsia="Noto Serif SC"/>
          <w:lang w:eastAsia="zh-CN" w:bidi="hi-IN"/>
        </w:rPr>
        <w:t xml:space="preserve"> </w:t>
      </w:r>
      <w:r w:rsidRPr="006E50FF">
        <w:rPr>
          <w:rFonts w:eastAsia="MS Mincho"/>
          <w:kern w:val="2"/>
        </w:rPr>
        <w:t>obtained from a provider identified on the DCFS website or otherwise approved by the department, renewed within one year from the date on the previous certificate.</w:t>
      </w:r>
      <w:r w:rsidRPr="006E50FF">
        <w:rPr>
          <w:kern w:val="2"/>
        </w:rPr>
        <w:t xml:space="preserve"> Effective August 1, 2016, i</w:t>
      </w:r>
      <w:r w:rsidRPr="006E50FF">
        <w:rPr>
          <w:rFonts w:eastAsia="MS Mincho"/>
          <w:kern w:val="2"/>
        </w:rPr>
        <w:t>f residents or children of residents under the age of 10 are accepted into the program, then staff shall also obtain a certificate in infant/child CPR. No staff member shall be left unsupervised with residents or children of residents until he/she has completed all required training. Online-only training is not acceptable.</w:t>
      </w:r>
    </w:p>
    <w:p w14:paraId="243A70A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Effective August 1, 2016, all staff currently employed shall complete the DCFS “mandated reporter training” provided by the department annually, within one year from the date on the previous year’s certificate.. Documentation of completion shall be the certificate obtained upon completion of the training.</w:t>
      </w:r>
    </w:p>
    <w:p w14:paraId="70FFBBC8"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Staff in facilities licensed to care for children under age two years or facilities providing services for children of residents shall annually complete the “Reducing the risk of SIDS in early education and child care” training provided or approved by the department, within one year from the date on the previous year’s certificate. Documentation of completion shall be the certificate obtained upon completion of the training.</w:t>
      </w:r>
    </w:p>
    <w:p w14:paraId="1DD3EC0F" w14:textId="77777777" w:rsidR="006E50FF" w:rsidRPr="006E50FF" w:rsidRDefault="006E50FF" w:rsidP="006E50FF">
      <w:pPr>
        <w:tabs>
          <w:tab w:val="left" w:pos="144"/>
          <w:tab w:val="left" w:pos="187"/>
          <w:tab w:val="left" w:pos="540"/>
          <w:tab w:val="left" w:pos="907"/>
          <w:tab w:val="left" w:pos="1080"/>
          <w:tab w:val="left" w:pos="1620"/>
        </w:tabs>
        <w:ind w:firstLine="187"/>
        <w:jc w:val="both"/>
        <w:outlineLvl w:val="3"/>
        <w:rPr>
          <w:kern w:val="2"/>
        </w:rPr>
      </w:pPr>
      <w:r w:rsidRPr="006E50FF">
        <w:rPr>
          <w:kern w:val="2"/>
        </w:rPr>
        <w:t>A.9. - B.1.a.iii.</w:t>
      </w:r>
      <w:r w:rsidRPr="006E50FF">
        <w:rPr>
          <w:kern w:val="2"/>
        </w:rPr>
        <w:tab/>
        <w:t>…</w:t>
      </w:r>
    </w:p>
    <w:p w14:paraId="6613AD6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insurance policies. Every provider shall maintain in force at all times current comprehensive general liability insurance policy, property insurance, and insurance for all vehicles used to transport residents or children of residents. This policy shall be in addition to any professional liability policies maintained by the provider and shall extend coverage to any staff member who provides transportation for any resident or child of a resident in the course and scope of his/her employment.</w:t>
      </w:r>
      <w:r w:rsidRPr="006E50FF">
        <w:rPr>
          <w:rFonts w:eastAsia="Noto Serif SC"/>
          <w:lang w:eastAsia="zh-CN" w:bidi="hi-IN"/>
        </w:rPr>
        <w:t xml:space="preserve"> Commercial automobile liability coverage shall be maintained for all facility-owned vehicles and for all staff personal vehicles used to transport residents or children of residents</w:t>
      </w:r>
      <w:r w:rsidRPr="006E50FF">
        <w:rPr>
          <w:kern w:val="2"/>
        </w:rPr>
        <w:t xml:space="preserve">; </w:t>
      </w:r>
    </w:p>
    <w:p w14:paraId="1BF10E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1.a.v. - 4.a.</w:t>
      </w:r>
      <w:r w:rsidRPr="006E50FF">
        <w:rPr>
          <w:kern w:val="2"/>
        </w:rPr>
        <w:tab/>
        <w:t>…</w:t>
      </w:r>
    </w:p>
    <w:p w14:paraId="09C0982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Each resident’s record shall contain at least the following information:</w:t>
      </w:r>
    </w:p>
    <w:p w14:paraId="3C998A2D"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 - xvi.</w:t>
      </w:r>
      <w:r w:rsidRPr="006E50FF">
        <w:rPr>
          <w:kern w:val="2"/>
        </w:rPr>
        <w:tab/>
        <w:t>…</w:t>
      </w:r>
    </w:p>
    <w:p w14:paraId="6956A5C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xvii.</w:t>
      </w:r>
      <w:r w:rsidRPr="006E50FF">
        <w:rPr>
          <w:kern w:val="2"/>
        </w:rPr>
        <w:tab/>
        <w:t>a summary of all visitors and contacts including dates, name, relationship, telephone number, address, the nature of such visits/contacts, and feedback, if indicated from the family;</w:t>
      </w:r>
    </w:p>
    <w:p w14:paraId="3C23B849" w14:textId="77777777" w:rsidR="006E50FF" w:rsidRPr="006E50FF" w:rsidRDefault="006E50FF" w:rsidP="006E50FF">
      <w:pPr>
        <w:tabs>
          <w:tab w:val="left" w:pos="144"/>
          <w:tab w:val="left" w:pos="187"/>
          <w:tab w:val="left" w:pos="540"/>
          <w:tab w:val="left" w:pos="907"/>
          <w:tab w:val="left" w:pos="1080"/>
          <w:tab w:val="left" w:pos="1710"/>
        </w:tabs>
        <w:ind w:firstLine="187"/>
        <w:jc w:val="both"/>
        <w:outlineLvl w:val="3"/>
        <w:rPr>
          <w:kern w:val="2"/>
        </w:rPr>
      </w:pPr>
      <w:r w:rsidRPr="006E50FF">
        <w:rPr>
          <w:kern w:val="2"/>
        </w:rPr>
        <w:t>B.4.b.xviii. - H.</w:t>
      </w:r>
      <w:r w:rsidRPr="006E50FF">
        <w:rPr>
          <w:kern w:val="2"/>
        </w:rPr>
        <w:tab/>
        <w:t>…</w:t>
      </w:r>
    </w:p>
    <w:p w14:paraId="4161AA4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color w:val="000000"/>
          <w:kern w:val="2"/>
        </w:rPr>
      </w:pPr>
      <w:r w:rsidRPr="006E50FF">
        <w:rPr>
          <w:kern w:val="2"/>
        </w:rPr>
        <w:t>I.</w:t>
      </w:r>
      <w:r w:rsidRPr="006E50FF">
        <w:rPr>
          <w:kern w:val="2"/>
        </w:rPr>
        <w:tab/>
        <w:t>Repealed</w:t>
      </w:r>
      <w:r w:rsidRPr="006E50FF">
        <w:rPr>
          <w:color w:val="77206D"/>
          <w:kern w:val="2"/>
        </w:rPr>
        <w:t>.</w:t>
      </w:r>
    </w:p>
    <w:p w14:paraId="5ACF27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Repealed.</w:t>
      </w:r>
    </w:p>
    <w:p w14:paraId="5826CB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Recalled Products</w:t>
      </w:r>
    </w:p>
    <w:p w14:paraId="635A7C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post the current copy of “The Safety Box” newsletter issued by the Office of the Attorney General as required by chapter 55 of title 46 of R.S. 46:2701-</w:t>
      </w:r>
      <w:r w:rsidRPr="006E50FF">
        <w:rPr>
          <w:kern w:val="2"/>
        </w:rPr>
        <w:lastRenderedPageBreak/>
        <w:t>2711. The current copy shall be posted within seven calendar days of receipt from the department. Items listed as recalled in the newsletter shall not be used and shall be immediately removed from the premises.</w:t>
      </w:r>
      <w:r w:rsidRPr="006E50FF">
        <w:rPr>
          <w:rFonts w:eastAsia="Noto Serif SC"/>
          <w:lang w:eastAsia="zh-CN" w:bidi="hi-IN"/>
        </w:rPr>
        <w:t xml:space="preserve"> </w:t>
      </w:r>
      <w:r w:rsidRPr="006E50FF">
        <w:rPr>
          <w:kern w:val="2"/>
        </w:rPr>
        <w:t>The provider shall document that the facility was examined and that items listed as recalled were removed from the premises.</w:t>
      </w:r>
    </w:p>
    <w:p w14:paraId="21760C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48DA88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36:811 (April 2010), amended by the Department of Children and Family Services, Division of Programs, Licensing Section, LR 38:979, 984 (April 2012), LR 42:221 (February 2016), amended by the Department of Children and Family Services, Licensing Section, LR 43:261 (February 2017), LR 43:1725 (September 2017), LR 44:1992 (November 2018), effective December 1, 2018, amended by the Department of Children and Family Services, Licensing Section, LR 45:521 (April 2019), effective May 1, 2019</w:t>
      </w:r>
      <w:r w:rsidRPr="006E50FF">
        <w:rPr>
          <w:rFonts w:eastAsia="Courier New"/>
          <w:kern w:val="2"/>
          <w:sz w:val="18"/>
        </w:rPr>
        <w:t>, LR 46:674 (May 2020), effective June 1, 2020</w:t>
      </w:r>
      <w:r w:rsidRPr="006E50FF">
        <w:rPr>
          <w:kern w:val="2"/>
          <w:sz w:val="18"/>
        </w:rPr>
        <w:t>, amended LR 47:1846 (December 2021), amended by the Department of Children and Family Services, Division of Child Welfare, LR 52:</w:t>
      </w:r>
    </w:p>
    <w:p w14:paraId="02AA339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9" w:name="_Toc230079226"/>
      <w:bookmarkStart w:id="140" w:name="_Hlk237524467"/>
      <w:r w:rsidRPr="006E50FF">
        <w:rPr>
          <w:b/>
          <w:kern w:val="2"/>
        </w:rPr>
        <w:t>§7115.</w:t>
      </w:r>
      <w:r w:rsidRPr="006E50FF">
        <w:rPr>
          <w:b/>
          <w:kern w:val="2"/>
        </w:rPr>
        <w:tab/>
        <w:t>Resident Protection</w:t>
      </w:r>
      <w:bookmarkEnd w:id="139"/>
    </w:p>
    <w:p w14:paraId="568A7C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A.5.b.</w:t>
      </w:r>
      <w:r w:rsidRPr="006E50FF">
        <w:rPr>
          <w:kern w:val="2"/>
        </w:rPr>
        <w:tab/>
        <w:t>…</w:t>
      </w:r>
    </w:p>
    <w:p w14:paraId="19E2A6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Participation in Program Development</w:t>
      </w:r>
    </w:p>
    <w:p w14:paraId="2727FCFF"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w:t>
      </w:r>
    </w:p>
    <w:p w14:paraId="4421898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Residents and children of residents have the right to </w:t>
      </w:r>
      <w:r w:rsidRPr="006E50FF">
        <w:rPr>
          <w:rFonts w:eastAsia="MS Mincho"/>
          <w:kern w:val="2"/>
        </w:rPr>
        <w:t xml:space="preserve">consult with clergy and </w:t>
      </w:r>
      <w:r w:rsidRPr="006E50FF">
        <w:rPr>
          <w:kern w:val="2"/>
        </w:rPr>
        <w:t>participate in religious services in accordance with his/her faith but shall not be forced to attend religious services or punished for not participating in religious services. The provider shall have and adhere to a written policy of its religious orientation and particular religious practices that are observed. This description shall be provided to the resident, child of a resident, and the legal guardian(s). When appropriate, the provider shall determine the wishes of the legal guardian(s) with regard to religious observance and make every effort to ensure that these wishes are carried out. The provider shall, whenever possible, arrange transportation and encourage participation by those residents or children of residents who desire to participate in religious activities in the community.</w:t>
      </w:r>
    </w:p>
    <w:p w14:paraId="55A586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Acknowledgement of Resident</w:t>
      </w:r>
    </w:p>
    <w:p w14:paraId="4A2DD45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t>
      </w:r>
    </w:p>
    <w:p w14:paraId="5B3756A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Each resident shall be informed, within 24 hours of intake, of how and where to safely evacuate the facility during an emergency situation. The acknowledgement of understanding shall be signed and dated by the resident and program director, or designee.</w:t>
      </w:r>
    </w:p>
    <w:p w14:paraId="75054B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Prohibited Practices </w:t>
      </w:r>
    </w:p>
    <w:p w14:paraId="673F4A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have a written list of prohibited practices, within 24 hours of intake, by staff members. Staff members shall not be allowed to engage in any of the prohibited practices. Staff shall not promote or condone these prohibited practices between residents or children of residents. This list shall include the following:</w:t>
      </w:r>
    </w:p>
    <w:p w14:paraId="021E89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B.1.a. - E.7.</w:t>
      </w:r>
      <w:r w:rsidRPr="006E50FF">
        <w:rPr>
          <w:kern w:val="2"/>
        </w:rPr>
        <w:tab/>
        <w:t>…</w:t>
      </w:r>
    </w:p>
    <w:p w14:paraId="6880A3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Restraints are only to be used as a measure of last resort and only by employees trained by a certified trainer under a program that aligns with the nationally accredited standards.</w:t>
      </w:r>
      <w:r w:rsidRPr="006E50FF">
        <w:rPr>
          <w:rFonts w:eastAsia="Noto Serif SC"/>
          <w:lang w:eastAsia="zh-CN" w:bidi="hi-IN"/>
        </w:rPr>
        <w:t xml:space="preserve"> </w:t>
      </w:r>
      <w:r w:rsidRPr="006E50FF">
        <w:rPr>
          <w:kern w:val="2"/>
        </w:rPr>
        <w:t xml:space="preserve">Where the certified trainer is an employee of the facility, that employee shall hold a current train-the-trainer credential issued by a nationally recognized restraint training program. A single person restraint can only be initiated in a life-threatening crisis in a situation where the youth is </w:t>
      </w:r>
      <w:r w:rsidRPr="006E50FF">
        <w:rPr>
          <w:kern w:val="2"/>
        </w:rPr>
        <w:br w:type="column"/>
      </w:r>
      <w:r w:rsidRPr="006E50FF">
        <w:rPr>
          <w:kern w:val="2"/>
        </w:rPr>
        <w:t>causing, or at risk of causing, harm to himself or others. Restraint by a peer is prohibited. Staff performing a personal restraint on a resident with specific medical conditions must be trained on risks posed by such conditions.</w:t>
      </w:r>
    </w:p>
    <w:p w14:paraId="2A166C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As soon as possible, but no later than 72 hours, after the use of a personal restraint, the provider shall provide and document debriefing. Separate debriefing meetings must be held with senior staff and the staff members(s) involved, the resident involved, witnesses to the event, and the resident’s legal guardian, if indicated.</w:t>
      </w:r>
    </w:p>
    <w:p w14:paraId="39417F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E.10. - F.14.f.</w:t>
      </w:r>
      <w:r w:rsidRPr="006E50FF">
        <w:rPr>
          <w:kern w:val="2"/>
        </w:rPr>
        <w:tab/>
        <w:t>…</w:t>
      </w:r>
    </w:p>
    <w:p w14:paraId="20B89F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65DE81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36:819 (April 2010), amended by the Department of Children and Family Services, Division of Programs, Licensing Section, LR 38:985 (April 2012), amended by the Department of Children and Family Services, Licensing Section, LR 43:274 (February 2017), amended by the Department of Children and Family Services, Division of Child Welfare, LR 52:</w:t>
      </w:r>
    </w:p>
    <w:p w14:paraId="2409CF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1" w:name="_Toc230079227"/>
      <w:bookmarkEnd w:id="140"/>
      <w:r w:rsidRPr="006E50FF">
        <w:rPr>
          <w:b/>
          <w:kern w:val="2"/>
        </w:rPr>
        <w:t>§7117.</w:t>
      </w:r>
      <w:r w:rsidRPr="006E50FF">
        <w:rPr>
          <w:b/>
          <w:kern w:val="2"/>
        </w:rPr>
        <w:tab/>
        <w:t>Provider Services</w:t>
      </w:r>
      <w:bookmarkEnd w:id="141"/>
    </w:p>
    <w:p w14:paraId="2760A9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A.5.</w:t>
      </w:r>
      <w:r w:rsidRPr="006E50FF">
        <w:rPr>
          <w:kern w:val="2"/>
        </w:rPr>
        <w:tab/>
        <w:t>…</w:t>
      </w:r>
    </w:p>
    <w:p w14:paraId="42640DF1" w14:textId="77777777" w:rsidR="006E50FF" w:rsidRPr="006E50FF" w:rsidRDefault="006E50FF" w:rsidP="006E50FF">
      <w:pPr>
        <w:tabs>
          <w:tab w:val="left" w:pos="720"/>
          <w:tab w:val="left" w:pos="979"/>
          <w:tab w:val="left" w:pos="1152"/>
        </w:tabs>
        <w:ind w:firstLine="360"/>
        <w:jc w:val="both"/>
        <w:outlineLvl w:val="4"/>
        <w:rPr>
          <w:rFonts w:eastAsia="MS Mincho"/>
          <w:kern w:val="2"/>
        </w:rPr>
      </w:pPr>
      <w:r w:rsidRPr="006E50FF">
        <w:rPr>
          <w:rFonts w:eastAsia="MS Mincho"/>
          <w:kern w:val="2"/>
        </w:rPr>
        <w:t>6.</w:t>
      </w:r>
      <w:r w:rsidRPr="006E50FF">
        <w:rPr>
          <w:rFonts w:eastAsia="MS Mincho"/>
          <w:kern w:val="2"/>
        </w:rPr>
        <w:tab/>
      </w:r>
      <w:r w:rsidRPr="006E50FF">
        <w:rPr>
          <w:kern w:val="2"/>
        </w:rPr>
        <w:t>Whether educational services are provided on or off-site, all</w:t>
      </w:r>
      <w:r w:rsidRPr="006E50FF">
        <w:rPr>
          <w:rFonts w:eastAsia="MS Mincho"/>
          <w:kern w:val="2"/>
        </w:rPr>
        <w:t xml:space="preserve"> residents and children</w:t>
      </w:r>
      <w:r w:rsidRPr="006E50FF">
        <w:rPr>
          <w:kern w:val="2"/>
        </w:rPr>
        <w:t xml:space="preserve"> of residents</w:t>
      </w:r>
      <w:r w:rsidRPr="006E50FF">
        <w:rPr>
          <w:rFonts w:eastAsia="MS Mincho"/>
          <w:kern w:val="2"/>
        </w:rPr>
        <w:t xml:space="preserve"> of school age shall be enrolled in and attending the least restrictive available option of either a school program approved by the Department of Education or an alternative educational program approved by the local school board within </w:t>
      </w:r>
      <w:r w:rsidRPr="006E50FF">
        <w:rPr>
          <w:rFonts w:eastAsia="Noto Serif SC"/>
          <w:lang w:eastAsia="zh-CN" w:bidi="hi-IN"/>
        </w:rPr>
        <w:t>five</w:t>
      </w:r>
      <w:r w:rsidRPr="006E50FF">
        <w:rPr>
          <w:rFonts w:eastAsia="MS Mincho"/>
          <w:kern w:val="2"/>
        </w:rPr>
        <w:t xml:space="preserve"> school days of admission to the facility. Children of residents residing in the facility shall attend school off site.</w:t>
      </w:r>
    </w:p>
    <w:p w14:paraId="1377A168"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MS Mincho"/>
          <w:kern w:val="2"/>
        </w:rPr>
        <w:t>7. - 14.k.</w:t>
      </w:r>
      <w:r w:rsidRPr="006E50FF">
        <w:rPr>
          <w:rFonts w:eastAsia="MS Mincho"/>
          <w:kern w:val="2"/>
        </w:rPr>
        <w:tab/>
        <w:t>…</w:t>
      </w:r>
    </w:p>
    <w:p w14:paraId="6F77D7D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MS Mincho"/>
          <w:kern w:val="2"/>
        </w:rPr>
      </w:pPr>
      <w:r w:rsidRPr="006E50FF">
        <w:rPr>
          <w:rFonts w:eastAsia="MS Mincho"/>
          <w:kern w:val="2"/>
        </w:rPr>
        <w:t>B.</w:t>
      </w:r>
      <w:r w:rsidRPr="006E50FF">
        <w:rPr>
          <w:rFonts w:eastAsia="MS Mincho"/>
          <w:kern w:val="2"/>
        </w:rPr>
        <w:tab/>
        <w:t>Daily Living Responsibilities</w:t>
      </w:r>
    </w:p>
    <w:p w14:paraId="63A12541" w14:textId="77777777" w:rsidR="006E50FF" w:rsidRPr="006E50FF" w:rsidRDefault="006E50FF" w:rsidP="006E50FF">
      <w:pPr>
        <w:tabs>
          <w:tab w:val="left" w:pos="720"/>
          <w:tab w:val="left" w:pos="979"/>
          <w:tab w:val="left" w:pos="1152"/>
        </w:tabs>
        <w:ind w:firstLine="360"/>
        <w:jc w:val="both"/>
        <w:outlineLvl w:val="4"/>
        <w:rPr>
          <w:rFonts w:eastAsia="MS Mincho"/>
          <w:kern w:val="2"/>
        </w:rPr>
      </w:pPr>
      <w:r w:rsidRPr="006E50FF">
        <w:rPr>
          <w:rFonts w:eastAsia="MS Mincho"/>
          <w:kern w:val="2"/>
        </w:rPr>
        <w:t>1.</w:t>
      </w:r>
      <w:r w:rsidRPr="006E50FF">
        <w:rPr>
          <w:rFonts w:eastAsia="MS Mincho"/>
          <w:kern w:val="2"/>
        </w:rPr>
        <w:tab/>
        <w:t>Routines</w:t>
      </w:r>
    </w:p>
    <w:p w14:paraId="381F2513" w14:textId="77777777" w:rsidR="006E50FF" w:rsidRPr="006E50FF" w:rsidRDefault="006E50FF" w:rsidP="006E50FF">
      <w:pPr>
        <w:tabs>
          <w:tab w:val="left" w:pos="907"/>
        </w:tabs>
        <w:ind w:firstLine="547"/>
        <w:jc w:val="both"/>
        <w:outlineLvl w:val="5"/>
        <w:rPr>
          <w:rFonts w:eastAsia="MS Mincho"/>
          <w:kern w:val="2"/>
        </w:rPr>
      </w:pPr>
      <w:r w:rsidRPr="006E50FF">
        <w:rPr>
          <w:rFonts w:eastAsia="MS Mincho"/>
          <w:kern w:val="2"/>
        </w:rPr>
        <w:t>a.</w:t>
      </w:r>
      <w:r w:rsidRPr="006E50FF">
        <w:rPr>
          <w:rFonts w:eastAsia="MS Mincho"/>
          <w:kern w:val="2"/>
        </w:rPr>
        <w:tab/>
        <w:t>The provider shall have and adhere to a written schedule of daily routines for residents designed to provide for reasonable consistency and timeliness in daily activities, in the delivery of essential services to residents, and in the provision of adequate periods of recreation, privacy, rest, and sleep. Daily routines shall allow flexibility and shall accommodate resident-selected activities consistent with a family-like environment.</w:t>
      </w:r>
    </w:p>
    <w:p w14:paraId="1DDE2A6A" w14:textId="77777777" w:rsidR="006E50FF" w:rsidRPr="006E50FF" w:rsidRDefault="006E50FF" w:rsidP="006E50FF">
      <w:pPr>
        <w:tabs>
          <w:tab w:val="left" w:pos="907"/>
        </w:tabs>
        <w:ind w:firstLine="547"/>
        <w:jc w:val="both"/>
        <w:outlineLvl w:val="5"/>
        <w:rPr>
          <w:kern w:val="2"/>
        </w:rPr>
      </w:pPr>
      <w:r w:rsidRPr="006E50FF">
        <w:rPr>
          <w:rFonts w:eastAsia="MS Mincho"/>
          <w:kern w:val="2"/>
        </w:rPr>
        <w:t>b. - f.</w:t>
      </w:r>
      <w:r w:rsidRPr="006E50FF">
        <w:rPr>
          <w:rFonts w:eastAsia="MS Mincho"/>
          <w:kern w:val="2"/>
        </w:rPr>
        <w:tab/>
        <w:t>…</w:t>
      </w:r>
    </w:p>
    <w:p w14:paraId="6F0DD62F" w14:textId="77777777" w:rsidR="006E50FF" w:rsidRPr="006E50FF" w:rsidRDefault="006E50FF" w:rsidP="006E50FF">
      <w:pPr>
        <w:tabs>
          <w:tab w:val="left" w:pos="907"/>
        </w:tabs>
        <w:ind w:firstLine="547"/>
        <w:jc w:val="both"/>
        <w:outlineLvl w:val="5"/>
        <w:rPr>
          <w:rFonts w:eastAsia="Noto Serif SC"/>
          <w:kern w:val="2"/>
          <w:lang w:eastAsia="zh-CN" w:bidi="hi-IN"/>
        </w:rPr>
      </w:pPr>
      <w:r w:rsidRPr="006E50FF">
        <w:rPr>
          <w:kern w:val="2"/>
        </w:rPr>
        <w:t>g.</w:t>
      </w:r>
      <w:r w:rsidRPr="006E50FF">
        <w:rPr>
          <w:kern w:val="2"/>
        </w:rPr>
        <w:tab/>
      </w:r>
      <w:r w:rsidRPr="006E50FF">
        <w:rPr>
          <w:rFonts w:eastAsia="Noto Serif SC"/>
          <w:kern w:val="2"/>
          <w:lang w:eastAsia="zh-CN" w:bidi="hi-IN"/>
        </w:rPr>
        <w:t>The provider shall provide opportunities for residents and children of residents to engage in activities consistent with their age, ability, interests, and permanency goals. The provider shall document weekly, in the resident's record, the activities in which the resident participated, and the activities offered to the resident.</w:t>
      </w:r>
    </w:p>
    <w:p w14:paraId="00DEB354" w14:textId="77777777" w:rsidR="006E50FF" w:rsidRPr="006E50FF" w:rsidRDefault="006E50FF" w:rsidP="006E50FF">
      <w:pPr>
        <w:tabs>
          <w:tab w:val="left" w:pos="907"/>
        </w:tabs>
        <w:ind w:firstLine="547"/>
        <w:jc w:val="both"/>
        <w:outlineLvl w:val="5"/>
        <w:rPr>
          <w:rFonts w:eastAsia="Noto Serif SC"/>
          <w:kern w:val="2"/>
          <w:lang w:eastAsia="zh-CN" w:bidi="hi-IN"/>
        </w:rPr>
      </w:pPr>
      <w:r w:rsidRPr="006E50FF">
        <w:rPr>
          <w:kern w:val="2"/>
        </w:rPr>
        <w:t>h.</w:t>
      </w:r>
      <w:r w:rsidRPr="006E50FF">
        <w:rPr>
          <w:rFonts w:eastAsia="Noto Serif SC"/>
          <w:kern w:val="2"/>
          <w:lang w:eastAsia="zh-CN" w:bidi="hi-IN"/>
        </w:rPr>
        <w:tab/>
        <w:t>The provider shall offer skill-building activities connected to treatment and discharge planning, based on the resident's age and independent living skills needs as assessed by the provider.</w:t>
      </w:r>
    </w:p>
    <w:p w14:paraId="7A924081" w14:textId="77777777" w:rsidR="006E50FF" w:rsidRPr="006E50FF" w:rsidRDefault="006E50FF" w:rsidP="006E50FF">
      <w:pPr>
        <w:tabs>
          <w:tab w:val="left" w:pos="907"/>
        </w:tabs>
        <w:ind w:firstLine="547"/>
        <w:jc w:val="both"/>
        <w:outlineLvl w:val="5"/>
        <w:rPr>
          <w:rFonts w:eastAsia="Noto Serif SC"/>
          <w:kern w:val="2"/>
          <w:lang w:eastAsia="zh-CN" w:bidi="hi-IN"/>
        </w:rPr>
      </w:pPr>
      <w:r w:rsidRPr="006E50FF">
        <w:rPr>
          <w:kern w:val="2"/>
        </w:rPr>
        <w:t>i.</w:t>
      </w:r>
      <w:r w:rsidRPr="006E50FF">
        <w:rPr>
          <w:rFonts w:eastAsia="Noto Serif SC"/>
          <w:kern w:val="2"/>
          <w:lang w:eastAsia="zh-CN" w:bidi="hi-IN"/>
        </w:rPr>
        <w:tab/>
        <w:t>The provider shall allow residents to maintain friendships and social connections outside the facility, subject to the resident's service plan.</w:t>
      </w:r>
    </w:p>
    <w:p w14:paraId="57C18E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C.2.</w:t>
      </w:r>
      <w:r w:rsidRPr="006E50FF">
        <w:rPr>
          <w:kern w:val="2"/>
        </w:rPr>
        <w:tab/>
        <w:t>…</w:t>
      </w:r>
    </w:p>
    <w:p w14:paraId="3780B5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provider shall maintain a master menu, including appropriate substitutions, which is written and approved annually, by a registered dietician.</w:t>
      </w:r>
      <w:r w:rsidRPr="006E50FF">
        <w:rPr>
          <w:rFonts w:eastAsia="Noto Serif SC"/>
          <w:lang w:eastAsia="zh-CN" w:bidi="hi-IN"/>
        </w:rPr>
        <w:t xml:space="preserve"> </w:t>
      </w:r>
      <w:r w:rsidRPr="006E50FF">
        <w:rPr>
          <w:kern w:val="2"/>
        </w:rPr>
        <w:t>Substitutions to the master menu do not require the approval of a registered dietician, provided that any substitution is of equal nutritional value.</w:t>
      </w:r>
    </w:p>
    <w:p w14:paraId="5FCF0009"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 xml:space="preserve">The provider shall post the written menu </w:t>
      </w:r>
      <w:r w:rsidRPr="006E50FF">
        <w:rPr>
          <w:rFonts w:eastAsia="Noto Serif SC"/>
          <w:lang w:eastAsia="zh-CN" w:bidi="hi-IN"/>
        </w:rPr>
        <w:t>for the current week</w:t>
      </w:r>
      <w:r w:rsidRPr="006E50FF">
        <w:rPr>
          <w:kern w:val="2"/>
        </w:rPr>
        <w:t xml:space="preserve"> in an area regularly used by residents.</w:t>
      </w:r>
    </w:p>
    <w:p w14:paraId="23413E0D" w14:textId="77777777" w:rsidR="006E50FF" w:rsidRPr="006E50FF" w:rsidRDefault="006E50FF" w:rsidP="006E50FF">
      <w:pPr>
        <w:tabs>
          <w:tab w:val="left" w:pos="144"/>
          <w:tab w:val="left" w:pos="187"/>
          <w:tab w:val="left" w:pos="540"/>
          <w:tab w:val="left" w:pos="907"/>
          <w:tab w:val="left" w:pos="1080"/>
          <w:tab w:val="left" w:pos="1890"/>
        </w:tabs>
        <w:ind w:firstLine="187"/>
        <w:jc w:val="both"/>
        <w:outlineLvl w:val="3"/>
        <w:rPr>
          <w:kern w:val="2"/>
        </w:rPr>
      </w:pPr>
      <w:r w:rsidRPr="006E50FF">
        <w:rPr>
          <w:kern w:val="2"/>
        </w:rPr>
        <w:t>C.3.b. - D.1.a.viii.</w:t>
      </w:r>
      <w:r w:rsidRPr="006E50FF">
        <w:rPr>
          <w:kern w:val="2"/>
        </w:rPr>
        <w:tab/>
        <w:t>…</w:t>
      </w:r>
    </w:p>
    <w:p w14:paraId="18F637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Medical Care</w:t>
      </w:r>
    </w:p>
    <w:p w14:paraId="38CDBDE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provider shall ensure that a medical examination by a physician or nurse practitioner for the resident or child of a resident is conducted within </w:t>
      </w:r>
      <w:r w:rsidRPr="006E50FF">
        <w:rPr>
          <w:rFonts w:eastAsia="Noto Serif SC"/>
          <w:lang w:eastAsia="zh-CN" w:bidi="hi-IN"/>
        </w:rPr>
        <w:t xml:space="preserve">one month </w:t>
      </w:r>
      <w:r w:rsidRPr="006E50FF">
        <w:rPr>
          <w:kern w:val="2"/>
        </w:rPr>
        <w:t>of admission unless the resident or child of a resident has received such an examination within 30 days before admission and the results of this examination are available to the provider. If the resident or child of a resident is being transferred from another residential home and has had a medical examination within the last 12 months, a copy of this examination may be obtained to meet the requirement of the admission medical examination. If a resident or child of a resident experiences a sudden medical emergency or develops a condition requiring medication before the admission examination is conducted, the provider shall obtain emergency medical care immediately. The medical examination shall include:</w:t>
      </w:r>
    </w:p>
    <w:p w14:paraId="47FAD8C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MS Mincho"/>
          <w:kern w:val="2"/>
        </w:rPr>
      </w:pPr>
      <w:r w:rsidRPr="006E50FF">
        <w:rPr>
          <w:kern w:val="2"/>
        </w:rPr>
        <w:t>D.2.a.i - F.19.</w:t>
      </w:r>
      <w:r w:rsidRPr="006E50FF">
        <w:rPr>
          <w:kern w:val="2"/>
        </w:rPr>
        <w:tab/>
        <w:t>…</w:t>
      </w:r>
    </w:p>
    <w:p w14:paraId="7D5A20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059AFE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36:823 (April 2010), amended by the Department of Children and Family Services, Division of Programs, Licensing Section, LR 38:985 (April 2012), amended by the Department of Children and Family Services, Licensing Section, LR 43:278 (February 2017), LR 43:1725 (September 2017)</w:t>
      </w:r>
      <w:r w:rsidRPr="006E50FF">
        <w:rPr>
          <w:rFonts w:eastAsia="Courier New"/>
          <w:kern w:val="2"/>
          <w:sz w:val="18"/>
        </w:rPr>
        <w:t>, LR 46:675 (May 2020), effective June 1, 2020</w:t>
      </w:r>
      <w:r w:rsidRPr="006E50FF">
        <w:rPr>
          <w:kern w:val="2"/>
          <w:sz w:val="18"/>
        </w:rPr>
        <w:t>, amended LR 47:1847 (December 2021), amended by the Department of Children and Family Services, Division of Child Welfare, LR 52:</w:t>
      </w:r>
    </w:p>
    <w:p w14:paraId="26195C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2" w:name="_Toc230079228"/>
      <w:bookmarkStart w:id="143" w:name="_Hlk237524594"/>
      <w:r w:rsidRPr="006E50FF">
        <w:rPr>
          <w:b/>
          <w:kern w:val="2"/>
        </w:rPr>
        <w:t>§7119.</w:t>
      </w:r>
      <w:r w:rsidRPr="006E50FF">
        <w:rPr>
          <w:b/>
          <w:kern w:val="2"/>
        </w:rPr>
        <w:tab/>
        <w:t>Physical Environment</w:t>
      </w:r>
      <w:bookmarkEnd w:id="142"/>
    </w:p>
    <w:p w14:paraId="35FFA1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A.13.</w:t>
      </w:r>
      <w:r w:rsidRPr="006E50FF">
        <w:rPr>
          <w:kern w:val="2"/>
        </w:rPr>
        <w:tab/>
        <w:t>…</w:t>
      </w:r>
    </w:p>
    <w:p w14:paraId="2AE297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Interior Space</w:t>
      </w:r>
    </w:p>
    <w:p w14:paraId="51DB86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have and adhere to policies and procedures to ensure that the facility maintains a safe, clean, orderly, and homelike environment.</w:t>
      </w:r>
      <w:r w:rsidRPr="006E50FF">
        <w:rPr>
          <w:rFonts w:eastAsia="Noto Serif SC"/>
          <w:lang w:eastAsia="zh-CN" w:bidi="hi-IN"/>
        </w:rPr>
        <w:t xml:space="preserve"> </w:t>
      </w:r>
      <w:r w:rsidRPr="006E50FF">
        <w:rPr>
          <w:kern w:val="2"/>
        </w:rPr>
        <w:t>The provider shall create and maintain a family-like physical environment, including adequate furnishings.</w:t>
      </w:r>
    </w:p>
    <w:p w14:paraId="6DCD98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t>
      </w:r>
    </w:p>
    <w:p w14:paraId="03556A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facility shall have sufficient living and program space available for residents and children of residents to gather for reading, study, relaxation, structured group activities, and visitation. Space shall be available that allows for confidentiality for family visits, counseling, groups, and meetings. The living areas shall contain such items as television, puzzles, age-appropriate books, magazines, and newspapers. </w:t>
      </w:r>
    </w:p>
    <w:p w14:paraId="7EEBEE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Living and dining areas accessible to residents shall have ample, unencumbered floor space appropriate to the number of residents and to their ages and sizes. </w:t>
      </w:r>
    </w:p>
    <w:p w14:paraId="3C3081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- 9.</w:t>
      </w:r>
      <w:r w:rsidRPr="006E50FF">
        <w:rPr>
          <w:kern w:val="2"/>
        </w:rPr>
        <w:tab/>
        <w:t>…</w:t>
      </w:r>
    </w:p>
    <w:p w14:paraId="2BDB3E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Dining Areas</w:t>
      </w:r>
    </w:p>
    <w:p w14:paraId="14F3F5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have dining areas that permit residents, children of residents, staff, and visitors to eat together and create a homelike environment.</w:t>
      </w:r>
      <w:r w:rsidRPr="006E50FF">
        <w:rPr>
          <w:rFonts w:eastAsia="Noto Serif SC"/>
          <w:lang w:eastAsia="zh-CN" w:bidi="hi-IN"/>
        </w:rPr>
        <w:t xml:space="preserve"> </w:t>
      </w:r>
      <w:r w:rsidRPr="006E50FF">
        <w:rPr>
          <w:kern w:val="2"/>
        </w:rPr>
        <w:t>Dining areas shall be arranged in the manner of a family kitchen or dining room. Meals shall not be served by cafeteria line service. The provider shall ensure that residents are given the opportunity to participate in meal planning, preparation, cooking, cleaning up, and washing clothes, consistent with their age and ability.</w:t>
      </w:r>
    </w:p>
    <w:p w14:paraId="6E11FA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C.2. - D.9.b.</w:t>
      </w:r>
      <w:r w:rsidRPr="006E50FF">
        <w:rPr>
          <w:kern w:val="2"/>
        </w:rPr>
        <w:tab/>
        <w:t>…</w:t>
      </w:r>
    </w:p>
    <w:p w14:paraId="42D2EF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Each resident shall have a solidly constructed bed that is comfortable and similar in appearance to a bed found in a family home. Beds that are institutional in appearance, including hospital beds, shall not be used unless required by the documented medical needs of the resident. Cots or other portable beds shall be used on an emergency basis only and shall not be in use for longer than one week.</w:t>
      </w:r>
    </w:p>
    <w:p w14:paraId="3139A5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 - 15.</w:t>
      </w:r>
      <w:r w:rsidRPr="006E50FF">
        <w:rPr>
          <w:kern w:val="2"/>
        </w:rPr>
        <w:tab/>
        <w:t xml:space="preserve">… </w:t>
      </w:r>
    </w:p>
    <w:p w14:paraId="0B8101B1"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16.</w:t>
      </w:r>
      <w:r w:rsidRPr="006E50FF">
        <w:rPr>
          <w:color w:val="000000"/>
          <w:kern w:val="2"/>
        </w:rPr>
        <w:tab/>
      </w:r>
      <w:r w:rsidRPr="006E50FF">
        <w:rPr>
          <w:kern w:val="2"/>
        </w:rPr>
        <w:t>Security and video cameras are prohibited in resident bedrooms and bathrooms. There are exceptions to resident bedrooms:</w:t>
      </w:r>
    </w:p>
    <w:p w14:paraId="6F2A8BD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 camera may be used in the bedroom of a resident over the age of five years only where the resident has developmental, medical, or behavioral needs that pose a risk to the resident's safety, and only with written authorization signed and dated by the legal guardian obtained prior to use; </w:t>
      </w:r>
    </w:p>
    <w:p w14:paraId="4E4374D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cameras may be present in an infant’s designated sleeping area; however, any such camera shall remain stationary and shall not possess movement or rotation capability, in order to ensure the mother’s privacy while she is in the room or asleep.</w:t>
      </w:r>
    </w:p>
    <w:p w14:paraId="0CE676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G.</w:t>
      </w:r>
      <w:r w:rsidRPr="006E50FF">
        <w:rPr>
          <w:kern w:val="2"/>
        </w:rPr>
        <w:tab/>
        <w:t>…</w:t>
      </w:r>
    </w:p>
    <w:p w14:paraId="004CE7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Repealed.</w:t>
      </w:r>
    </w:p>
    <w:p w14:paraId="2168A4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P.6.</w:t>
      </w:r>
      <w:r w:rsidRPr="006E50FF">
        <w:rPr>
          <w:kern w:val="2"/>
        </w:rPr>
        <w:tab/>
        <w:t>…</w:t>
      </w:r>
    </w:p>
    <w:p w14:paraId="467386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R.S.36:477 and R.S. 46:1401 et seq.</w:t>
      </w:r>
    </w:p>
    <w:p w14:paraId="590AE9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36:828 (April 2010), amended by the Department of Children and Family Services, Division of Programs, Licensing Section, LR 38:985 (April 2012), amended by the Department of Children and Family Services, Licensing Section, LR 43:285 (February 2017), LR 44:1992 (November 2018), effective December 1, 2018, amended by the Department of Children and Family Services, Division of Child Welfare, LR 52:</w:t>
      </w:r>
    </w:p>
    <w:bookmarkEnd w:id="143"/>
    <w:p w14:paraId="12AD3D2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§7120.</w:t>
      </w:r>
      <w:r w:rsidRPr="006E50FF">
        <w:rPr>
          <w:b/>
          <w:kern w:val="2"/>
        </w:rPr>
        <w:tab/>
        <w:t xml:space="preserve">Visitor Screening </w:t>
      </w:r>
    </w:p>
    <w:p w14:paraId="1B0EDC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Prior to being present on the licensed premises or interacting with residents or children of residents, a visitor shall have a satisfactory fingerprint-based criminal background check through the Federal Bureau of Investigation and a satisfactory state central registry clearance.</w:t>
      </w:r>
    </w:p>
    <w:p w14:paraId="241EA5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 lieu of the clearances required by Subsection A of this Section, a staff person who holds current satisfactory clearances shall accompany the visitor at all times while the visitor is on the licensed premises.</w:t>
      </w:r>
    </w:p>
    <w:p w14:paraId="46BACB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R.S.36:477 and R.S. 46:1401 et seq.</w:t>
      </w:r>
    </w:p>
    <w:p w14:paraId="071A40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Division of Child Welfare, LR 52:</w:t>
      </w:r>
    </w:p>
    <w:p w14:paraId="1535DC0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44" w:name="_Toc230079232"/>
      <w:r w:rsidRPr="006E50FF">
        <w:rPr>
          <w:b/>
          <w:kern w:val="2"/>
        </w:rPr>
        <w:t>Chapter 73.</w:t>
      </w:r>
      <w:r w:rsidRPr="006E50FF">
        <w:rPr>
          <w:b/>
          <w:kern w:val="2"/>
        </w:rPr>
        <w:tab/>
        <w:t>Child Placing Agencies—General Provisions</w:t>
      </w:r>
      <w:bookmarkEnd w:id="144"/>
    </w:p>
    <w:p w14:paraId="4E460E2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5" w:name="_Toc230079234"/>
      <w:r w:rsidRPr="006E50FF">
        <w:rPr>
          <w:b/>
          <w:kern w:val="2"/>
        </w:rPr>
        <w:t>§7303.</w:t>
      </w:r>
      <w:r w:rsidRPr="006E50FF">
        <w:rPr>
          <w:b/>
          <w:kern w:val="2"/>
        </w:rPr>
        <w:tab/>
        <w:t>Authority—Foster Care, Adoption, Transitional Placing</w:t>
      </w:r>
      <w:bookmarkEnd w:id="145"/>
    </w:p>
    <w:p w14:paraId="70997D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4B82C6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All child-placing agency locations shall be licensed; satellite and branch offices are not permitted.</w:t>
      </w:r>
      <w:r w:rsidRPr="006E50FF">
        <w:rPr>
          <w:rFonts w:eastAsia="Noto Serif SC"/>
          <w:kern w:val="2"/>
          <w:lang w:eastAsia="zh-CN" w:bidi="hi-IN"/>
        </w:rPr>
        <w:t xml:space="preserve"> All transitional placing locations operating under a child-placing agency license shall be located within the same parish as the licensed child-placing agency office.</w:t>
      </w:r>
    </w:p>
    <w:p w14:paraId="72F964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E.4.</w:t>
      </w:r>
      <w:r w:rsidRPr="006E50FF">
        <w:rPr>
          <w:kern w:val="2"/>
        </w:rPr>
        <w:tab/>
        <w:t>…</w:t>
      </w:r>
    </w:p>
    <w:p w14:paraId="6495EB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666709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Children and Family Services, Licensing Section, LR 45:352 (March 2019), effective April 1, 2019, amended by the Department of Children and Family Services, Division of Child Welfare, LR 52:</w:t>
      </w:r>
    </w:p>
    <w:p w14:paraId="19EBBF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6" w:name="_Toc230079238"/>
      <w:r w:rsidRPr="006E50FF">
        <w:rPr>
          <w:b/>
          <w:kern w:val="2"/>
        </w:rPr>
        <w:t>§7311.</w:t>
      </w:r>
      <w:r w:rsidRPr="006E50FF">
        <w:rPr>
          <w:b/>
          <w:kern w:val="2"/>
        </w:rPr>
        <w:tab/>
        <w:t>Licensing Requirements—Foster Care, Adoption, Transitional Placing</w:t>
      </w:r>
      <w:bookmarkEnd w:id="146"/>
    </w:p>
    <w:p w14:paraId="041C1A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A.7.</w:t>
      </w:r>
      <w:r w:rsidRPr="006E50FF">
        <w:rPr>
          <w:kern w:val="2"/>
        </w:rPr>
        <w:tab/>
        <w:t>…</w:t>
      </w:r>
    </w:p>
    <w:p w14:paraId="452BF9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In order to maintain a license, a CPA shall operate at least one day per week for at least four consecutive hours. This four hour timeframe shall occur Monday through Friday between the hours of 7:30 am and 5 pm.</w:t>
      </w:r>
      <w:r w:rsidRPr="006E50FF">
        <w:rPr>
          <w:rFonts w:eastAsia="Noto Serif SC"/>
          <w:lang w:eastAsia="zh-CN" w:bidi="hi-IN"/>
        </w:rPr>
        <w:t xml:space="preserve"> </w:t>
      </w:r>
      <w:r w:rsidRPr="006E50FF">
        <w:rPr>
          <w:kern w:val="2"/>
        </w:rPr>
        <w:t>The program director or his designee shall be present on site during the operating hours designated under this Paragraph.</w:t>
      </w:r>
    </w:p>
    <w:p w14:paraId="43198C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 - 11.</w:t>
      </w:r>
      <w:r w:rsidRPr="006E50FF">
        <w:rPr>
          <w:kern w:val="2"/>
        </w:rPr>
        <w:tab/>
        <w:t>…</w:t>
      </w:r>
    </w:p>
    <w:p w14:paraId="462EE7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The provider shall notify the Licensing Section in writing of a child placing office closure of more than 14 calendar days. Notification shall be submitted within five calendar days prior to the scheduled closure or within three calendar days of an unscheduled closure. Notification shall include child-placing agency’s name, license number, dates, the reason for closure, and provider signature. Closures of more than 30 calendar days render the license null and void. If a licensed provider, or a person affiliated with a licensed provider, seeks to serve as a foster or adoptive parent, the provider shall obtain certification through another licensed child-placing agency. That agency shall perform all certification and placement functions for the home, including completion and approval of the home study, approval of placements, and post-placement supervision.</w:t>
      </w:r>
    </w:p>
    <w:p w14:paraId="1078037F"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kern w:val="2"/>
        </w:rPr>
        <w:t>13. - 18.</w:t>
      </w:r>
      <w:r w:rsidRPr="006E50FF">
        <w:rPr>
          <w:kern w:val="2"/>
        </w:rPr>
        <w:tab/>
        <w:t>…</w:t>
      </w:r>
    </w:p>
    <w:p w14:paraId="672ADEF9"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19.</w:t>
      </w:r>
      <w:r w:rsidRPr="006E50FF">
        <w:rPr>
          <w:rFonts w:eastAsia="Courier New"/>
          <w:kern w:val="2"/>
        </w:rPr>
        <w:tab/>
        <w:t>The department may close a license if, after one year from the date the license was issued, the provider has received no placements and has certified no foster or adoptive homes. Prior to closure, the department shall notify the provider in writing and afford the provider 30 calendar days to demonstrate activity.</w:t>
      </w:r>
    </w:p>
    <w:p w14:paraId="72B8ED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N.2.</w:t>
      </w:r>
      <w:r w:rsidRPr="006E50FF">
        <w:rPr>
          <w:kern w:val="2"/>
        </w:rPr>
        <w:tab/>
        <w:t>…</w:t>
      </w:r>
    </w:p>
    <w:p w14:paraId="3B77131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If DCFS finds that the licensing section’s assessment of the fine is justified, the provider shall have 15 calendar days from the receipt of the reconsideration letter to appeal the decision to the Division of Administrative Law (DAL). A request for appeal shall include a copy of the letter from the Licensing Section that notes the reasons for assessment of the fine and a copy of the reconsideration decision letter together with the specific areas of the decision the appellant believes to be erroneous and/or the specific reasons the decision is believed to have been reached in error, and shall be mailed to Department of Children and Family Services, Licensing Section, P.O. Box 3078, Baton Rouge, LA 70821</w:t>
      </w:r>
    </w:p>
    <w:p w14:paraId="6224B24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DCFS Licensing Section shall notify the DAL of receipt of an appeal request. DAL shall conduct a hearing in accordance with the Administrative Procedure Act and shall render a decision. The appellant will be notified by DAL of the decision, either affirming or reversing the DCFS’s decision. </w:t>
      </w:r>
    </w:p>
    <w:p w14:paraId="34D7FB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2.c. - 4.</w:t>
      </w:r>
      <w:r w:rsidRPr="006E50FF">
        <w:rPr>
          <w:kern w:val="2"/>
        </w:rPr>
        <w:tab/>
        <w:t>…</w:t>
      </w:r>
    </w:p>
    <w:p w14:paraId="5CD82F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6CAAA3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Children and Family Services, Licensing Section, LR 45:359 (March 2019), effective April 1, 2019, LR 46:681 (May 2020), effective June 1, 2020, amended LR 47:350 (March 2021), effective April 1, 2021, </w:t>
      </w:r>
      <w:r w:rsidRPr="006E50FF">
        <w:rPr>
          <w:kern w:val="2"/>
          <w:sz w:val="18"/>
        </w:rPr>
        <w:t>repromulgated LR 47:441 (April 2021), amended LR 47:1847 (December 2021), LR 49:848 (May 2023), effective June 1, 2023, amended LR 50:1447 (October 2024) , effective November 1, 2024, amended by the Department of Children and Family Services, Division of Child Welfare, LR 52:</w:t>
      </w:r>
    </w:p>
    <w:p w14:paraId="694E0A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7" w:name="_Toc230079239"/>
      <w:r w:rsidRPr="006E50FF">
        <w:rPr>
          <w:b/>
          <w:kern w:val="2"/>
        </w:rPr>
        <w:t>§7313.</w:t>
      </w:r>
      <w:r w:rsidRPr="006E50FF">
        <w:rPr>
          <w:b/>
          <w:kern w:val="2"/>
        </w:rPr>
        <w:tab/>
      </w:r>
      <w:r w:rsidRPr="006E50FF">
        <w:rPr>
          <w:b/>
          <w:kern w:val="2"/>
        </w:rPr>
        <w:tab/>
        <w:t>Administration and Operation</w:t>
      </w:r>
      <w:bookmarkEnd w:id="147"/>
    </w:p>
    <w:p w14:paraId="71EF53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C.12.</w:t>
      </w:r>
      <w:r w:rsidRPr="006E50FF">
        <w:rPr>
          <w:kern w:val="2"/>
        </w:rPr>
        <w:tab/>
        <w:t xml:space="preserve">… </w:t>
      </w:r>
    </w:p>
    <w:p w14:paraId="056A8DF6"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13.</w:t>
      </w:r>
      <w:r w:rsidRPr="006E50FF">
        <w:rPr>
          <w:rFonts w:eastAsia="Courier New"/>
          <w:kern w:val="2"/>
        </w:rPr>
        <w:tab/>
        <w:t xml:space="preserve">Repealed. </w:t>
      </w:r>
    </w:p>
    <w:p w14:paraId="63D4D6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kern w:val="2"/>
        </w:rPr>
        <w:t>C.14. - H.5.</w:t>
      </w:r>
      <w:r w:rsidRPr="006E50FF">
        <w:rPr>
          <w:rFonts w:eastAsia="Courier New"/>
          <w:kern w:val="2"/>
        </w:rPr>
        <w:tab/>
        <w:t>….</w:t>
      </w:r>
      <w:r w:rsidRPr="006E50FF">
        <w:rPr>
          <w:kern w:val="2"/>
        </w:rPr>
        <w:t xml:space="preserve"> </w:t>
      </w:r>
    </w:p>
    <w:p w14:paraId="77279F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The program director shall possess at least one of the following qualifications if hired on or after April 1, 2019: </w:t>
      </w:r>
    </w:p>
    <w:p w14:paraId="462F5589"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w:t>
      </w:r>
    </w:p>
    <w:p w14:paraId="20F14E2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six years of work experience in a human services field or a combination of college credits and work experience for a total of six years. Applicants may receive credit for college coursework in business, management, or a human service field with 15 credit hours substituting for 6 months of work experience not to exceed 60 credit hours.</w:t>
      </w:r>
      <w:r w:rsidRPr="006E50FF">
        <w:rPr>
          <w:rFonts w:eastAsia="Noto Serif SC"/>
          <w:lang w:eastAsia="zh-CN" w:bidi="hi-IN"/>
        </w:rPr>
        <w:t xml:space="preserve"> </w:t>
      </w:r>
      <w:r w:rsidRPr="006E50FF">
        <w:rPr>
          <w:kern w:val="2"/>
        </w:rPr>
        <w:t>Documentation of work experience required under this Subsection shall be verified in writing by the previous employer and shall state the job title held, whether the work was full-time or part-time, and the period worked.</w:t>
      </w:r>
    </w:p>
    <w:p w14:paraId="644FD8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H.7. - J.7.</w:t>
      </w:r>
      <w:r w:rsidRPr="006E50FF">
        <w:rPr>
          <w:kern w:val="2"/>
        </w:rPr>
        <w:tab/>
        <w:t xml:space="preserve">… </w:t>
      </w:r>
    </w:p>
    <w:p w14:paraId="662EB8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All staff hired effective January 1, 2022, whose job duties will include working with adoptive parents, birth parents, or children and youth and their adoptive families shall complete adoption competency training as provided or approved by the department prior to working unsupervised with adoptive parents, birth parents, or children and youth and their adoptive families. Documentation of training shall be available for review. Staff whose job duties include providing foster care services shall instead complete training on the topics required by these standards. The department may approve a substitution for all or part of the training required under this Paragraph based on the individual's education and experience.</w:t>
      </w:r>
    </w:p>
    <w:p w14:paraId="2969A7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 - K.6.</w:t>
      </w:r>
      <w:r w:rsidRPr="006E50FF">
        <w:rPr>
          <w:kern w:val="2"/>
        </w:rPr>
        <w:tab/>
        <w:t>…</w:t>
      </w:r>
    </w:p>
    <w:p w14:paraId="555A02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staff hired prior to January 1, 2022 who currently work with adoptive parents, birth parents, or children and youth and their adoptive families shall complete adoption competency training as provided or approved by the department. Documentation of training shall be available for review. The department may approve a substitution for all or part of the training required under this Paragraph based on the individual's education and experience.</w:t>
      </w:r>
    </w:p>
    <w:p w14:paraId="792D6F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 - U.5.</w:t>
      </w:r>
      <w:r w:rsidRPr="006E50FF">
        <w:rPr>
          <w:kern w:val="2"/>
        </w:rPr>
        <w:tab/>
        <w:t>…</w:t>
      </w:r>
    </w:p>
    <w:p w14:paraId="5F08E1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72B6CE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45:368 (March 2019), effective April 1, 2019, LR 46:683 (May 2020), effective June 1, 2020, LR 47:351 (March 2021), effective April 1, 2021, repromulgated LR 47:441 (April 2021), amended LR 47:1848 (December 2021), amended by the Department of Children and Family Services, Division of Child Welfare, LR 52:</w:t>
      </w:r>
    </w:p>
    <w:p w14:paraId="6A1A65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ourier New"/>
          <w:b/>
          <w:kern w:val="2"/>
        </w:rPr>
      </w:pPr>
      <w:bookmarkStart w:id="148" w:name="_Toc230079240"/>
      <w:r w:rsidRPr="006E50FF">
        <w:rPr>
          <w:b/>
          <w:kern w:val="2"/>
        </w:rPr>
        <w:t>§</w:t>
      </w:r>
      <w:r w:rsidRPr="006E50FF">
        <w:rPr>
          <w:rFonts w:eastAsia="Courier New"/>
          <w:b/>
          <w:kern w:val="2"/>
        </w:rPr>
        <w:t>7314.</w:t>
      </w:r>
      <w:r w:rsidRPr="006E50FF">
        <w:rPr>
          <w:rFonts w:eastAsia="Courier New"/>
          <w:b/>
          <w:kern w:val="2"/>
        </w:rPr>
        <w:tab/>
        <w:t>Criminal Background Checks</w:t>
      </w:r>
      <w:bookmarkEnd w:id="148"/>
    </w:p>
    <w:p w14:paraId="11ABE61B"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A. - A.1.</w:t>
      </w:r>
      <w:r w:rsidRPr="006E50FF">
        <w:rPr>
          <w:rFonts w:eastAsia="Courier New"/>
          <w:kern w:val="2"/>
        </w:rPr>
        <w:tab/>
        <w:t>…</w:t>
      </w:r>
    </w:p>
    <w:p w14:paraId="0AA74BB7"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t>a.</w:t>
      </w:r>
      <w:r w:rsidRPr="006E50FF">
        <w:rPr>
          <w:rFonts w:eastAsia="Courier New"/>
          <w:kern w:val="2"/>
        </w:rPr>
        <w:tab/>
        <w:t>Staff shall have a criminal background check on file with the child-placing agency in accordance with R.S.15:587.1 and R.S 46:51.2. A satisfactory fingerprint-based criminal background check shall be obtained through the Federal Bureau of Investigation (FBI) using the application processing system designated by the department.</w:t>
      </w:r>
      <w:r w:rsidRPr="006E50FF">
        <w:rPr>
          <w:rFonts w:eastAsia="Noto Serif SC"/>
          <w:lang w:eastAsia="zh-CN" w:bidi="hi-IN"/>
        </w:rPr>
        <w:t xml:space="preserve"> </w:t>
      </w:r>
    </w:p>
    <w:p w14:paraId="4F105DE8"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br w:type="page"/>
      </w:r>
    </w:p>
    <w:p w14:paraId="41EF707D"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lastRenderedPageBreak/>
        <w:t>b. - h.</w:t>
      </w:r>
      <w:r w:rsidRPr="006E50FF">
        <w:rPr>
          <w:rFonts w:eastAsia="Courier New"/>
          <w:kern w:val="2"/>
        </w:rPr>
        <w:tab/>
        <w:t>…</w:t>
      </w:r>
    </w:p>
    <w:p w14:paraId="19BB31C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B.</w:t>
      </w:r>
      <w:r w:rsidRPr="006E50FF">
        <w:rPr>
          <w:rFonts w:eastAsia="Courier New"/>
          <w:kern w:val="2"/>
        </w:rPr>
        <w:tab/>
        <w:t>Criminal Background Checks for Contractors—Foster Care and Adoption</w:t>
      </w:r>
    </w:p>
    <w:p w14:paraId="3D711B8C"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Contractors who provide services to children/youth unaccompanied by paid staff or have access to children/youth unaccompanied by a paid staff shall have on file a satisfactory fingerprint-based check from the Federal Bureau of Investigation (FBI), obtained through the application processing system designated by the department. This check shall be obtained prior to providing services unaccompanied by a paid staff or having access to children/youth unaccompanied by a paid staff.</w:t>
      </w:r>
    </w:p>
    <w:p w14:paraId="373AA08D"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t>a.</w:t>
      </w:r>
      <w:r w:rsidRPr="006E50FF">
        <w:rPr>
          <w:rFonts w:eastAsia="Courier New"/>
          <w:kern w:val="2"/>
        </w:rPr>
        <w:tab/>
        <w:t xml:space="preserve">No contractor shall provide services until such person has submitted his or her fingerprints to the FBI and it has been determined that such person has not been convicted of or pled guilty or </w:t>
      </w:r>
      <w:r w:rsidRPr="006E50FF">
        <w:rPr>
          <w:rFonts w:eastAsia="Courier New"/>
          <w:i/>
          <w:kern w:val="2"/>
        </w:rPr>
        <w:t>nolo contendere</w:t>
      </w:r>
      <w:r w:rsidRPr="006E50FF">
        <w:rPr>
          <w:rFonts w:eastAsia="Courier New"/>
          <w:kern w:val="2"/>
        </w:rPr>
        <w:t xml:space="preserve"> to any crime listed in R.S. 15:587.1(C).</w:t>
      </w:r>
    </w:p>
    <w:p w14:paraId="5F2E212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B.1.b. - C.4.</w:t>
      </w:r>
      <w:r w:rsidRPr="006E50FF">
        <w:rPr>
          <w:rFonts w:eastAsia="Courier New"/>
          <w:kern w:val="2"/>
        </w:rPr>
        <w:tab/>
        <w:t>…</w:t>
      </w:r>
    </w:p>
    <w:p w14:paraId="07B9DC0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D.</w:t>
      </w:r>
      <w:r w:rsidRPr="006E50FF">
        <w:rPr>
          <w:rFonts w:eastAsia="Courier New"/>
          <w:kern w:val="2"/>
        </w:rPr>
        <w:tab/>
        <w:t>Criminal Background Checks for Prospective Staff and Volunteers effective June 1, 2020—Transitional Placing</w:t>
      </w:r>
    </w:p>
    <w:p w14:paraId="003A1D96"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 xml:space="preserve">Effective June 1, 2020, and in accordance with Public Law 115-123 and R.S. 15:587.1, documentation of a satisfactory fingerprint-based criminal background check through the FBI is required prior to the individual (paid and non-paid staff and volunteers) being present in the facility or having access to children/youth. No person who has been convicted of or pled guilty or </w:t>
      </w:r>
      <w:r w:rsidRPr="006E50FF">
        <w:rPr>
          <w:rFonts w:eastAsia="Courier New"/>
          <w:i/>
          <w:kern w:val="2"/>
        </w:rPr>
        <w:t>nolo contendere</w:t>
      </w:r>
      <w:r w:rsidRPr="006E50FF">
        <w:rPr>
          <w:rFonts w:eastAsia="Courier New"/>
          <w:kern w:val="2"/>
        </w:rPr>
        <w:t xml:space="preserve"> to any offense included in R.S. 15:587.1 shall be hired by or present in any capacity in the facility. </w:t>
      </w:r>
    </w:p>
    <w:p w14:paraId="508DA3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kern w:val="2"/>
        </w:rPr>
        <w:t>D.2. - F.2.</w:t>
      </w:r>
      <w:r w:rsidRPr="006E50FF">
        <w:rPr>
          <w:rFonts w:eastAsia="Courier New"/>
          <w:kern w:val="2"/>
        </w:rPr>
        <w:tab/>
        <w:t>…</w:t>
      </w:r>
    </w:p>
    <w:p w14:paraId="64BFFBA6"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kern w:val="2"/>
        </w:rPr>
        <w:t>3.</w:t>
      </w:r>
      <w:r w:rsidRPr="006E50FF">
        <w:rPr>
          <w:kern w:val="2"/>
        </w:rPr>
        <w:tab/>
        <w:t>Contractors hired to perform work which involves contact with children/youth shall be required to have documentation of a satisfactory fingerprint-based criminal background check through the FBI as required by R.S. 15:587.1 and R.S. 46:51.2. The check shall be obtained through the application processing system designated by the department. This check shall be obtained prior to the individual being present in the agency or having access to the children/youth.</w:t>
      </w:r>
      <w:r w:rsidRPr="006E50FF">
        <w:rPr>
          <w:rFonts w:eastAsia="Courier New"/>
          <w:kern w:val="2"/>
        </w:rPr>
        <w:t xml:space="preserve"> </w:t>
      </w:r>
    </w:p>
    <w:p w14:paraId="3425FCA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F.4. - G.3.</w:t>
      </w:r>
      <w:r w:rsidRPr="006E50FF">
        <w:rPr>
          <w:rFonts w:eastAsia="Courier New"/>
          <w:kern w:val="2"/>
        </w:rPr>
        <w:tab/>
        <w:t xml:space="preserve">… </w:t>
      </w:r>
    </w:p>
    <w:p w14:paraId="3059607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H.</w:t>
      </w:r>
      <w:r w:rsidRPr="006E50FF">
        <w:rPr>
          <w:rFonts w:eastAsia="Courier New"/>
          <w:kern w:val="2"/>
        </w:rPr>
        <w:tab/>
        <w:t>Visitor Screening</w:t>
      </w:r>
    </w:p>
    <w:p w14:paraId="6FD7777F"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Prior to being present on the premises of a child-placing agency or interacting with children or youth, a visitor shall have a satisfactory fingerprint-based criminal background check through the Federal Bureau of Investigation and a satisfactory state central registry clearance.</w:t>
      </w:r>
    </w:p>
    <w:p w14:paraId="3810260B"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2.</w:t>
      </w:r>
      <w:r w:rsidRPr="006E50FF">
        <w:rPr>
          <w:rFonts w:eastAsia="Courier New"/>
          <w:kern w:val="2"/>
        </w:rPr>
        <w:tab/>
        <w:t>In lieu of the clearances required by Paragraph 1 of this Subsection, a staff person who holds current satisfactory clearances shall accompany the visitor at all times while the visitor is on the premises.</w:t>
      </w:r>
    </w:p>
    <w:p w14:paraId="5E9044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ourier New"/>
          <w:kern w:val="2"/>
          <w:sz w:val="18"/>
        </w:rPr>
      </w:pPr>
      <w:r w:rsidRPr="006E50FF">
        <w:rPr>
          <w:rFonts w:eastAsia="Courier New"/>
          <w:kern w:val="2"/>
          <w:sz w:val="18"/>
        </w:rPr>
        <w:t>AUTHORITY NOTE:</w:t>
      </w:r>
      <w:r w:rsidRPr="006E50FF">
        <w:rPr>
          <w:rFonts w:eastAsia="Courier New"/>
          <w:kern w:val="2"/>
          <w:sz w:val="18"/>
        </w:rPr>
        <w:tab/>
        <w:t>Promulgated in accordance with R.S. 46:1407(D).</w:t>
      </w:r>
    </w:p>
    <w:p w14:paraId="5FADEB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Courier New"/>
          <w:kern w:val="2"/>
          <w:sz w:val="18"/>
        </w:rPr>
        <w:t>HISTORICAL NOTE:</w:t>
      </w:r>
      <w:r w:rsidRPr="006E50FF">
        <w:rPr>
          <w:rFonts w:eastAsia="Courier New"/>
          <w:kern w:val="2"/>
          <w:sz w:val="18"/>
        </w:rPr>
        <w:tab/>
        <w:t>Promulgated by the Department of Children and Family Services, Licensing Section, LR 46:683 (May 2020), effective June 1, 2020</w:t>
      </w:r>
      <w:r w:rsidRPr="006E50FF">
        <w:rPr>
          <w:kern w:val="2"/>
          <w:sz w:val="18"/>
        </w:rPr>
        <w:t>, amended LR 47:1849 (December 2021), amended by the Department of Children and Family Services, Division of Child Welfare, LR 52:</w:t>
      </w:r>
    </w:p>
    <w:p w14:paraId="2E4105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9" w:name="_Toc230079241"/>
      <w:r w:rsidRPr="006E50FF">
        <w:rPr>
          <w:b/>
          <w:kern w:val="2"/>
        </w:rPr>
        <w:t>§7315.</w:t>
      </w:r>
      <w:r w:rsidRPr="006E50FF">
        <w:rPr>
          <w:b/>
          <w:kern w:val="2"/>
        </w:rPr>
        <w:tab/>
        <w:t>Foster and Adoptive Certification</w:t>
      </w:r>
      <w:bookmarkEnd w:id="149"/>
    </w:p>
    <w:p w14:paraId="0F6A58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7DD000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w:t>
      </w:r>
      <w:r w:rsidRPr="006E50FF">
        <w:rPr>
          <w:kern w:val="2"/>
        </w:rPr>
        <w:tab/>
        <w:t>The provider shall conduct at least one in-home visit with prospective foster/adoptive families to assess the safety of the home and to conduct the interviews required by this Subsection. Additional visits shall be conducted when the needs of the family indicate. Interviews shall be conducted with all household members according to age and development. Any interview that cannot be completed, and the reason it could not be completed, shall be documented in the home study. Interviews conducted after the initial in-home visit may be conducted virtually or by telephone.</w:t>
      </w:r>
    </w:p>
    <w:p w14:paraId="2FA1CF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3.a. - 5.</w:t>
      </w:r>
      <w:r w:rsidRPr="006E50FF">
        <w:rPr>
          <w:kern w:val="2"/>
        </w:rPr>
        <w:tab/>
        <w:t>Repealed.</w:t>
      </w:r>
    </w:p>
    <w:p w14:paraId="6D9C6F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following interviews shall be conducted either in person, virtually, or by telephone for at least two persons who do not reside with the prospective foster/adoptive parents and who may be contacted as references.</w:t>
      </w:r>
    </w:p>
    <w:p w14:paraId="25784AEE"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Repealed.</w:t>
      </w:r>
    </w:p>
    <w:p w14:paraId="12DF64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Documentation of the consultation visits shall include the date, time, method of contact, duration of each interview, those present at each interview, relationship to the prospective foster/adoptive parents, and a summary of each interview. </w:t>
      </w:r>
    </w:p>
    <w:p w14:paraId="1F13ED45"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8.</w:t>
      </w:r>
      <w:r w:rsidRPr="006E50FF">
        <w:rPr>
          <w:rFonts w:eastAsia="Courier New"/>
          <w:kern w:val="2"/>
        </w:rPr>
        <w:tab/>
        <w:t>Repealed.</w:t>
      </w:r>
    </w:p>
    <w:p w14:paraId="5A8223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A.9. - B.5.</w:t>
      </w:r>
      <w:r w:rsidRPr="006E50FF">
        <w:rPr>
          <w:kern w:val="2"/>
        </w:rPr>
        <w:tab/>
        <w:t>…</w:t>
      </w:r>
    </w:p>
    <w:p w14:paraId="4D949D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Before any individual aged 18 or older who is not participating in extended foster care resides in a certified foster or adoptive home, the provider must obtain a satisfactory fingerprint</w:t>
      </w:r>
      <w:r w:rsidRPr="006E50FF">
        <w:rPr>
          <w:kern w:val="2"/>
        </w:rPr>
        <w:noBreakHyphen/>
        <w:t>based criminal background check from the Federal Bureau of Investigation. The person shall not reside in the home, be present on the premises, or have access to children or youth until the clearance is received.</w:t>
      </w:r>
    </w:p>
    <w:p w14:paraId="596840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C.5.</w:t>
      </w:r>
      <w:r w:rsidRPr="006E50FF">
        <w:rPr>
          <w:kern w:val="2"/>
        </w:rPr>
        <w:tab/>
        <w:t>…</w:t>
      </w:r>
    </w:p>
    <w:p w14:paraId="0F74E4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DCFS State Central Registry clearance form shall be dated no earlier than 120 days of the foster/adoptive parents being certified or household members over the age of 18 years being present in the home. Out-of-state clearance forms shall be dated no earlier than 120 days of foster/adoptive parents being certified. However, for household members over the age of 18 years who continue to reside outside of the state of Louisiana, but their official domicile is a certified foster/adoptive home in the state of Louisiana, their clearances shall be dated no earlier than 120 days prior to certifying the foster/adoptive parents. A request for a state central registry clearance from the state in which the household member resides shall be submitted by provider every five years prior to the date noted on the most current clearance and at any time upon the request of DCFS.</w:t>
      </w:r>
    </w:p>
    <w:p w14:paraId="127E91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 - 8.</w:t>
      </w:r>
      <w:r w:rsidRPr="006E50FF">
        <w:rPr>
          <w:kern w:val="2"/>
        </w:rPr>
        <w:tab/>
        <w:t>…</w:t>
      </w:r>
    </w:p>
    <w:p w14:paraId="1C9E6A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Should a foster/adoptive parent or adult household member aged 18 years or older, after certification, reside outside of Louisiana while their official domicile remains a certified foster/adoptive home in the state of Louisiana, a state central registry clearance is required from that additional state of residence within 120 calendar days of the additional residency beginning, and every five years thereafter prior to the date noted on the most current clearance.</w:t>
      </w:r>
    </w:p>
    <w:p w14:paraId="0476F0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D.22.</w:t>
      </w:r>
      <w:r w:rsidRPr="006E50FF">
        <w:rPr>
          <w:kern w:val="2"/>
        </w:rPr>
        <w:tab/>
        <w:t>…</w:t>
      </w:r>
    </w:p>
    <w:p w14:paraId="61F5A2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Foster/Adoptive Parent(s) Record </w:t>
      </w:r>
    </w:p>
    <w:p w14:paraId="27799B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maintain a record for each foster/adoptive parent, which shall contain the following information and shall be updated as changes occur:</w:t>
      </w:r>
    </w:p>
    <w:p w14:paraId="7F459E98" w14:textId="77777777" w:rsidR="006E50FF" w:rsidRPr="006E50FF" w:rsidRDefault="006E50FF" w:rsidP="006E50FF">
      <w:pPr>
        <w:tabs>
          <w:tab w:val="left" w:pos="907"/>
        </w:tabs>
        <w:ind w:firstLine="547"/>
        <w:jc w:val="both"/>
        <w:outlineLvl w:val="5"/>
        <w:rPr>
          <w:kern w:val="2"/>
        </w:rPr>
      </w:pPr>
      <w:r w:rsidRPr="006E50FF">
        <w:rPr>
          <w:kern w:val="2"/>
        </w:rPr>
        <w:br w:type="page"/>
      </w:r>
    </w:p>
    <w:p w14:paraId="2CE21DD6" w14:textId="77777777" w:rsidR="006E50FF" w:rsidRPr="006E50FF" w:rsidRDefault="006E50FF" w:rsidP="006E50FF">
      <w:pPr>
        <w:tabs>
          <w:tab w:val="left" w:pos="907"/>
        </w:tabs>
        <w:ind w:firstLine="547"/>
        <w:jc w:val="both"/>
        <w:outlineLvl w:val="5"/>
        <w:rPr>
          <w:kern w:val="2"/>
        </w:rPr>
      </w:pPr>
      <w:r w:rsidRPr="006E50FF">
        <w:rPr>
          <w:kern w:val="2"/>
        </w:rPr>
        <w:lastRenderedPageBreak/>
        <w:t>a. - d.</w:t>
      </w:r>
      <w:r w:rsidRPr="006E50FF">
        <w:rPr>
          <w:kern w:val="2"/>
        </w:rPr>
        <w:tab/>
        <w:t>…</w:t>
      </w:r>
    </w:p>
    <w:p w14:paraId="799F74E1" w14:textId="77777777" w:rsidR="006E50FF" w:rsidRPr="006E50FF" w:rsidRDefault="006E50FF" w:rsidP="006E50FF">
      <w:pPr>
        <w:tabs>
          <w:tab w:val="left" w:pos="907"/>
        </w:tabs>
        <w:ind w:firstLine="547"/>
        <w:jc w:val="both"/>
        <w:outlineLvl w:val="5"/>
        <w:rPr>
          <w:strike/>
          <w:kern w:val="2"/>
        </w:rPr>
      </w:pPr>
      <w:r w:rsidRPr="006E50FF">
        <w:rPr>
          <w:kern w:val="2"/>
        </w:rPr>
        <w:t>e. - f.</w:t>
      </w:r>
      <w:r w:rsidRPr="006E50FF">
        <w:rPr>
          <w:kern w:val="2"/>
        </w:rPr>
        <w:tab/>
        <w:t>Repealed.</w:t>
      </w:r>
    </w:p>
    <w:p w14:paraId="7553C9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1.g. - 3.n.</w:t>
      </w:r>
      <w:r w:rsidRPr="006E50FF">
        <w:rPr>
          <w:kern w:val="2"/>
        </w:rPr>
        <w:tab/>
        <w:t>…</w:t>
      </w:r>
    </w:p>
    <w:p w14:paraId="2A5DBE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A statement of health dated within </w:t>
      </w:r>
      <w:r w:rsidRPr="006E50FF">
        <w:rPr>
          <w:color w:val="000000"/>
          <w:kern w:val="2"/>
        </w:rPr>
        <w:t>12</w:t>
      </w:r>
      <w:r w:rsidRPr="006E50FF">
        <w:rPr>
          <w:kern w:val="2"/>
        </w:rPr>
        <w:t xml:space="preserve"> months prior to certification and updated every three years </w:t>
      </w:r>
      <w:r w:rsidRPr="006E50FF">
        <w:rPr>
          <w:color w:val="000000"/>
          <w:kern w:val="2"/>
        </w:rPr>
        <w:t>for primary and secondary caregivers</w:t>
      </w:r>
      <w:r w:rsidRPr="006E50FF">
        <w:rPr>
          <w:kern w:val="2"/>
        </w:rPr>
        <w:t>, excluding youth in DCFS custody, signed by a licensed physician or licensed health care professional verifying that the individual:</w:t>
      </w:r>
    </w:p>
    <w:p w14:paraId="6964EB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D.4.a. - F.2.</w:t>
      </w:r>
      <w:r w:rsidRPr="006E50FF">
        <w:rPr>
          <w:kern w:val="2"/>
        </w:rPr>
        <w:tab/>
        <w:t xml:space="preserve">… </w:t>
      </w:r>
    </w:p>
    <w:p w14:paraId="5F9D80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Open cisterns, wells, canals, fish ponds, and other bodies of water shall be made inaccessible to children by a fence or natural barrier that prevents a child’s access to the body of water.</w:t>
      </w:r>
    </w:p>
    <w:p w14:paraId="385664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65687A5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kern w:val="2"/>
        </w:rPr>
        <w:t>5.</w:t>
      </w:r>
      <w:r w:rsidRPr="006E50FF">
        <w:rPr>
          <w:kern w:val="2"/>
        </w:rPr>
        <w:tab/>
        <w:t xml:space="preserve">Swimming and wading pools shall have a barrier at least </w:t>
      </w:r>
      <w:r w:rsidRPr="006E50FF">
        <w:rPr>
          <w:color w:val="000000"/>
          <w:kern w:val="2"/>
        </w:rPr>
        <w:t>4</w:t>
      </w:r>
      <w:r w:rsidRPr="006E50FF">
        <w:rPr>
          <w:kern w:val="2"/>
        </w:rPr>
        <w:t xml:space="preserve"> feet high that surrounds all sides of the pool. The gate in the barrier shall be locked at all times, and the pool shall be inaccessible to children except when under adult supervision</w:t>
      </w:r>
      <w:r w:rsidRPr="006E50FF">
        <w:rPr>
          <w:color w:val="000000"/>
          <w:kern w:val="2"/>
        </w:rPr>
        <w:t>. Where the pool is enclosed on three sides by a barrier and the home forms the fourth side, an additional barrier at least 4 feet in height shall be installed between the home and the pool, shall remain locked, and shall prevent access by children. This excludes above</w:t>
      </w:r>
      <w:r w:rsidRPr="006E50FF">
        <w:rPr>
          <w:color w:val="000000"/>
          <w:kern w:val="2"/>
        </w:rPr>
        <w:noBreakHyphen/>
        <w:t>ground pools that are at least 4 feet in height and have no point of entry from the ground, or those whose entry point is secured by a locked gate that prevents access.</w:t>
      </w:r>
    </w:p>
    <w:p w14:paraId="742AC9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F.6. – G.13.</w:t>
      </w:r>
      <w:r w:rsidRPr="006E50FF">
        <w:rPr>
          <w:kern w:val="2"/>
        </w:rPr>
        <w:tab/>
        <w:t>…</w:t>
      </w:r>
    </w:p>
    <w:p w14:paraId="2881288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color w:val="000000"/>
          <w:kern w:val="2"/>
        </w:rPr>
        <w:t>14.</w:t>
      </w:r>
      <w:r w:rsidRPr="006E50FF">
        <w:rPr>
          <w:color w:val="000000"/>
          <w:kern w:val="2"/>
        </w:rPr>
        <w:tab/>
        <w:t>Children six years of age and older shall not share a bedroom with a person of the opposite sex. Siblings of the opposite sex may share a bedroom until either sibling attains the age of 10 years.</w:t>
      </w:r>
    </w:p>
    <w:p w14:paraId="7DFD057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color w:val="000000"/>
          <w:kern w:val="2"/>
        </w:rPr>
        <w:t>15 - 15.b.i.(f).</w:t>
      </w:r>
      <w:r w:rsidRPr="006E50FF">
        <w:rPr>
          <w:color w:val="000000"/>
          <w:kern w:val="2"/>
        </w:rPr>
        <w:tab/>
        <w:t>…</w:t>
      </w:r>
    </w:p>
    <w:p w14:paraId="6EC827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Safety Requirements—Foster and Adoptive Homes</w:t>
      </w:r>
    </w:p>
    <w:p w14:paraId="0F9603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091DF6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Foster/adoptive parents shall store dangerous weapons, firearms, air guns, BB guns, hunting slingshots, and other projectile weapons in a locked area inaccessible to children, in accordance with Public Law 115-123.</w:t>
      </w:r>
      <w:r w:rsidRPr="006E50FF">
        <w:rPr>
          <w:color w:val="000000"/>
          <w:kern w:val="2"/>
        </w:rPr>
        <w:t xml:space="preserve"> All weapons shall be stored unloaded. </w:t>
      </w:r>
      <w:r w:rsidRPr="006E50FF">
        <w:rPr>
          <w:kern w:val="2"/>
        </w:rPr>
        <w:t>Ammunition shall be stored in a separate locked area.</w:t>
      </w:r>
    </w:p>
    <w:p w14:paraId="5D9573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H.7. -</w:t>
      </w:r>
      <w:r w:rsidRPr="006E50FF">
        <w:rPr>
          <w:rFonts w:eastAsia="Courier New"/>
          <w:kern w:val="2"/>
        </w:rPr>
        <w:t xml:space="preserve"> I.4.</w:t>
      </w:r>
      <w:r w:rsidRPr="006E50FF">
        <w:rPr>
          <w:rFonts w:eastAsia="Courier New"/>
          <w:kern w:val="2"/>
        </w:rPr>
        <w:tab/>
        <w:t>…</w:t>
      </w:r>
    </w:p>
    <w:p w14:paraId="498F0D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Foster/adoptive parents shall establish an emergency evacuation plan and shall practice it at least quarterly ensuring children understand the procedures. Documentation shall consist of a quarterly note signed and dated by provider in the foster/adoptive parent record indicating that the emergency evacuation plan was discussed and practiced quarterly as required. review it with each child at the time of placement or within three calendar days of placement, and quarterly thereafter, ensuring children understand the procedures. Documentation shall consist of a note signed and dated by the provider in the foster/adoptive parent record indicating that the emergency evacuation plan was reviewed as required.</w:t>
      </w:r>
    </w:p>
    <w:p w14:paraId="1015D0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I.6. - M.4.</w:t>
      </w:r>
      <w:r w:rsidRPr="006E50FF">
        <w:rPr>
          <w:kern w:val="2"/>
        </w:rPr>
        <w:tab/>
        <w:t>…</w:t>
      </w:r>
    </w:p>
    <w:p w14:paraId="2FFB1F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Transportation—Foster Care, Adoption, Transitional Placing</w:t>
      </w:r>
    </w:p>
    <w:p w14:paraId="4FFEFF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foster/adoptive parent(s) shall have access to reliable transportation to transport the child/youth to school, recreational activities, medical care, and community facilities. For a certified foster/adoptive parent who does not own a personal vehicle, the child-placing agency shall maintain on file a written transportation plan for transporting children and youth in care.</w:t>
      </w:r>
    </w:p>
    <w:p w14:paraId="049E40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N.2. - O.4.</w:t>
      </w:r>
      <w:r w:rsidRPr="006E50FF">
        <w:rPr>
          <w:kern w:val="2"/>
        </w:rPr>
        <w:tab/>
        <w:t>…</w:t>
      </w:r>
    </w:p>
    <w:p w14:paraId="4624FE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Training the Foster and Adoptive Parent(s) </w:t>
      </w:r>
    </w:p>
    <w:p w14:paraId="144913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 </w:t>
      </w:r>
    </w:p>
    <w:p w14:paraId="528475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child-placing agency shall provide training to prospective foster/adoptive parents prior to certification, to include the following: </w:t>
      </w:r>
    </w:p>
    <w:p w14:paraId="3E938BFE" w14:textId="77777777" w:rsidR="006E50FF" w:rsidRPr="006E50FF" w:rsidRDefault="006E50FF" w:rsidP="006E50FF">
      <w:pPr>
        <w:tabs>
          <w:tab w:val="left" w:pos="907"/>
        </w:tabs>
        <w:ind w:firstLine="547"/>
        <w:jc w:val="both"/>
        <w:outlineLvl w:val="5"/>
        <w:rPr>
          <w:kern w:val="2"/>
        </w:rPr>
      </w:pPr>
      <w:r w:rsidRPr="006E50FF">
        <w:rPr>
          <w:kern w:val="2"/>
        </w:rPr>
        <w:t>a. - b.</w:t>
      </w:r>
      <w:r w:rsidRPr="006E50FF">
        <w:rPr>
          <w:kern w:val="2"/>
        </w:rPr>
        <w:tab/>
        <w:t>…</w:t>
      </w:r>
    </w:p>
    <w:p w14:paraId="3D6E6464" w14:textId="77777777" w:rsidR="006E50FF" w:rsidRPr="006E50FF" w:rsidRDefault="006E50FF" w:rsidP="006E50FF">
      <w:pPr>
        <w:tabs>
          <w:tab w:val="left" w:pos="907"/>
        </w:tabs>
        <w:ind w:firstLine="547"/>
        <w:jc w:val="both"/>
        <w:outlineLvl w:val="5"/>
        <w:rPr>
          <w:kern w:val="2"/>
        </w:rPr>
      </w:pPr>
      <w:r w:rsidRPr="006E50FF">
        <w:rPr>
          <w:kern w:val="2"/>
        </w:rPr>
        <w:t>c. - f.</w:t>
      </w:r>
      <w:r w:rsidRPr="006E50FF">
        <w:rPr>
          <w:kern w:val="2"/>
        </w:rPr>
        <w:tab/>
        <w:t>Repealed.</w:t>
      </w:r>
    </w:p>
    <w:p w14:paraId="4F0E375B" w14:textId="77777777" w:rsidR="006E50FF" w:rsidRPr="006E50FF" w:rsidRDefault="006E50FF" w:rsidP="006E50FF">
      <w:pPr>
        <w:tabs>
          <w:tab w:val="left" w:pos="907"/>
        </w:tabs>
        <w:ind w:firstLine="547"/>
        <w:jc w:val="both"/>
        <w:outlineLvl w:val="5"/>
        <w:rPr>
          <w:kern w:val="2"/>
        </w:rPr>
      </w:pPr>
      <w:r w:rsidRPr="006E50FF">
        <w:rPr>
          <w:kern w:val="2"/>
        </w:rPr>
        <w:t>g. - m.</w:t>
      </w:r>
      <w:r w:rsidRPr="006E50FF">
        <w:rPr>
          <w:kern w:val="2"/>
        </w:rPr>
        <w:tab/>
        <w:t>…</w:t>
      </w:r>
    </w:p>
    <w:p w14:paraId="6F6E6E87" w14:textId="77777777" w:rsidR="006E50FF" w:rsidRPr="006E50FF" w:rsidRDefault="006E50FF" w:rsidP="006E50FF">
      <w:pPr>
        <w:tabs>
          <w:tab w:val="left" w:pos="907"/>
        </w:tabs>
        <w:ind w:firstLine="547"/>
        <w:jc w:val="both"/>
        <w:outlineLvl w:val="5"/>
        <w:rPr>
          <w:kern w:val="2"/>
        </w:rPr>
      </w:pPr>
      <w:r w:rsidRPr="006E50FF">
        <w:rPr>
          <w:kern w:val="2"/>
        </w:rPr>
        <w:t>n.</w:t>
      </w:r>
      <w:r w:rsidRPr="006E50FF">
        <w:rPr>
          <w:kern w:val="2"/>
        </w:rPr>
        <w:tab/>
        <w:t>Repealed.</w:t>
      </w:r>
    </w:p>
    <w:p w14:paraId="7A933464" w14:textId="77777777" w:rsidR="006E50FF" w:rsidRPr="006E50FF" w:rsidRDefault="006E50FF" w:rsidP="006E50FF">
      <w:pPr>
        <w:tabs>
          <w:tab w:val="left" w:pos="907"/>
        </w:tabs>
        <w:ind w:firstLine="547"/>
        <w:jc w:val="both"/>
        <w:outlineLvl w:val="5"/>
        <w:rPr>
          <w:kern w:val="2"/>
        </w:rPr>
      </w:pPr>
      <w:r w:rsidRPr="006E50FF">
        <w:rPr>
          <w:kern w:val="2"/>
        </w:rPr>
        <w:t>o. - p.</w:t>
      </w:r>
      <w:r w:rsidRPr="006E50FF">
        <w:rPr>
          <w:kern w:val="2"/>
        </w:rPr>
        <w:tab/>
        <w:t>…</w:t>
      </w:r>
    </w:p>
    <w:p w14:paraId="7C4DCA33" w14:textId="77777777" w:rsidR="006E50FF" w:rsidRPr="006E50FF" w:rsidRDefault="006E50FF" w:rsidP="006E50FF">
      <w:pPr>
        <w:tabs>
          <w:tab w:val="left" w:pos="907"/>
        </w:tabs>
        <w:ind w:firstLine="547"/>
        <w:jc w:val="both"/>
        <w:outlineLvl w:val="5"/>
        <w:rPr>
          <w:kern w:val="2"/>
        </w:rPr>
      </w:pPr>
      <w:r w:rsidRPr="006E50FF">
        <w:rPr>
          <w:kern w:val="2"/>
        </w:rPr>
        <w:t>q.</w:t>
      </w:r>
      <w:r w:rsidRPr="006E50FF">
        <w:rPr>
          <w:kern w:val="2"/>
        </w:rPr>
        <w:tab/>
        <w:t xml:space="preserve">Repealed. </w:t>
      </w:r>
    </w:p>
    <w:p w14:paraId="4F52F9B1" w14:textId="77777777" w:rsidR="006E50FF" w:rsidRPr="006E50FF" w:rsidRDefault="006E50FF" w:rsidP="006E50FF">
      <w:pPr>
        <w:tabs>
          <w:tab w:val="left" w:pos="907"/>
        </w:tabs>
        <w:ind w:firstLine="547"/>
        <w:jc w:val="both"/>
        <w:outlineLvl w:val="5"/>
        <w:rPr>
          <w:kern w:val="2"/>
        </w:rPr>
      </w:pPr>
      <w:r w:rsidRPr="006E50FF">
        <w:rPr>
          <w:kern w:val="2"/>
        </w:rPr>
        <w:t>r. - v.</w:t>
      </w:r>
      <w:r w:rsidRPr="006E50FF">
        <w:rPr>
          <w:kern w:val="2"/>
        </w:rPr>
        <w:tab/>
        <w:t>…</w:t>
      </w:r>
    </w:p>
    <w:p w14:paraId="3D41DC2F" w14:textId="77777777" w:rsidR="006E50FF" w:rsidRPr="006E50FF" w:rsidRDefault="006E50FF" w:rsidP="006E50FF">
      <w:pPr>
        <w:tabs>
          <w:tab w:val="left" w:pos="907"/>
        </w:tabs>
        <w:ind w:firstLine="547"/>
        <w:jc w:val="both"/>
        <w:outlineLvl w:val="5"/>
        <w:rPr>
          <w:kern w:val="2"/>
        </w:rPr>
      </w:pPr>
      <w:r w:rsidRPr="006E50FF">
        <w:rPr>
          <w:kern w:val="2"/>
        </w:rPr>
        <w:t>w.</w:t>
      </w:r>
      <w:r w:rsidRPr="006E50FF">
        <w:rPr>
          <w:kern w:val="2"/>
        </w:rPr>
        <w:tab/>
        <w:t xml:space="preserve">Repealed. </w:t>
      </w:r>
    </w:p>
    <w:p w14:paraId="22A8CB98" w14:textId="77777777" w:rsidR="006E50FF" w:rsidRPr="006E50FF" w:rsidRDefault="006E50FF" w:rsidP="006E50FF">
      <w:pPr>
        <w:tabs>
          <w:tab w:val="left" w:pos="907"/>
        </w:tabs>
        <w:ind w:firstLine="547"/>
        <w:jc w:val="both"/>
        <w:outlineLvl w:val="5"/>
        <w:rPr>
          <w:kern w:val="2"/>
        </w:rPr>
      </w:pPr>
      <w:r w:rsidRPr="006E50FF">
        <w:rPr>
          <w:kern w:val="2"/>
        </w:rPr>
        <w:t>x.</w:t>
      </w:r>
      <w:r w:rsidRPr="006E50FF">
        <w:rPr>
          <w:kern w:val="2"/>
        </w:rPr>
        <w:tab/>
        <w:t>…</w:t>
      </w:r>
    </w:p>
    <w:p w14:paraId="40975BDD" w14:textId="77777777" w:rsidR="006E50FF" w:rsidRPr="006E50FF" w:rsidRDefault="006E50FF" w:rsidP="006E50FF">
      <w:pPr>
        <w:tabs>
          <w:tab w:val="left" w:pos="907"/>
        </w:tabs>
        <w:ind w:firstLine="547"/>
        <w:jc w:val="both"/>
        <w:outlineLvl w:val="5"/>
        <w:rPr>
          <w:kern w:val="2"/>
        </w:rPr>
      </w:pPr>
      <w:r w:rsidRPr="006E50FF">
        <w:rPr>
          <w:kern w:val="2"/>
        </w:rPr>
        <w:t>y.</w:t>
      </w:r>
      <w:r w:rsidRPr="006E50FF">
        <w:rPr>
          <w:kern w:val="2"/>
        </w:rPr>
        <w:tab/>
        <w:t xml:space="preserve">Repealed. </w:t>
      </w:r>
    </w:p>
    <w:p w14:paraId="09ABF8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- 4.</w:t>
      </w:r>
      <w:r w:rsidRPr="006E50FF">
        <w:rPr>
          <w:kern w:val="2"/>
        </w:rPr>
        <w:tab/>
        <w:t>…</w:t>
      </w:r>
    </w:p>
    <w:p w14:paraId="2563E1C7"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5.</w:t>
      </w:r>
      <w:r w:rsidRPr="006E50FF">
        <w:rPr>
          <w:rFonts w:eastAsia="Courier New"/>
          <w:kern w:val="2"/>
        </w:rPr>
        <w:tab/>
        <w:t xml:space="preserve">Once certified, foster parents shall annually receive child-placing agency approved training prior to certification expiration, in the amount determined by the caregiver’s years of certified experience as provided in DCFS child welfare policy. The total annual hours required per household, and the minimum hours required of adult members of the household other than the primary caregiver, shall be scaled to experience and shall not fall below the training minimums established by R.S. 46:283. Training may be </w:t>
      </w:r>
      <w:r w:rsidRPr="006E50FF">
        <w:rPr>
          <w:rFonts w:eastAsia="Courier New"/>
          <w:color w:val="000000"/>
          <w:kern w:val="2"/>
        </w:rPr>
        <w:t xml:space="preserve">delivered in-person, </w:t>
      </w:r>
      <w:r w:rsidRPr="006E50FF">
        <w:rPr>
          <w:rFonts w:eastAsia="Courier New"/>
          <w:kern w:val="2"/>
        </w:rPr>
        <w:t>online or through self-study. If adult members of the household attend trainings together, each person shall receive individual credit for their attendance. It is not required for adult members of the household to attend trainings on different topics. All hours received by each individual adult member of the household will account for the total number of hours received per household. Documentation of training completed shall include certificate of participation or sign in log specifying foster parent’s name, training topic, date, and number of hours completed. Foster parents certified by DCFS shall follow the training requirement timeframe as noted in DCFS child welfare policy.</w:t>
      </w:r>
    </w:p>
    <w:p w14:paraId="03D9488B"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ourier New"/>
          <w:kern w:val="2"/>
        </w:rPr>
        <w:t>6. - 6.d.</w:t>
      </w:r>
      <w:r w:rsidRPr="006E50FF">
        <w:rPr>
          <w:rFonts w:eastAsia="Courier New"/>
          <w:kern w:val="2"/>
        </w:rPr>
        <w:tab/>
        <w:t>…</w:t>
      </w:r>
    </w:p>
    <w:p w14:paraId="41C0A7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Prior to certification, all prospective foster/adoptive parents shall receive certification in infant/child and adult cardiopulmonary resuscitation (CPR) and first aid</w:t>
      </w:r>
      <w:r w:rsidRPr="006E50FF">
        <w:rPr>
          <w:rFonts w:eastAsia="Noto Serif SC"/>
          <w:lang w:eastAsia="zh-CN" w:bidi="hi-IN"/>
        </w:rPr>
        <w:t xml:space="preserve"> </w:t>
      </w:r>
      <w:r w:rsidRPr="006E50FF">
        <w:rPr>
          <w:kern w:val="2"/>
        </w:rPr>
        <w:t>from a training provider identified on the DCFS website or otherwise approved by the department. Online-only training is not acceptable. The training shall be appropriate to the ages of the children in care. CPR and first aid certification shall be renewed prior to the expiration date indicated on the certification. This training may be applied toward meeting the annual required training hours as noted in §7315.P.5. DCFS certified homes shall follow the CPR requirements as noted in DCFS child welfare policy.</w:t>
      </w:r>
    </w:p>
    <w:p w14:paraId="16DE4422"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8.</w:t>
      </w:r>
      <w:r w:rsidRPr="006E50FF">
        <w:rPr>
          <w:rFonts w:eastAsia="Courier New"/>
          <w:kern w:val="2"/>
        </w:rPr>
        <w:tab/>
        <w:t>…</w:t>
      </w:r>
    </w:p>
    <w:p w14:paraId="67E8910F"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9.</w:t>
      </w:r>
      <w:r w:rsidRPr="006E50FF">
        <w:rPr>
          <w:rFonts w:eastAsia="Courier New"/>
          <w:kern w:val="2"/>
        </w:rPr>
        <w:tab/>
        <w:t xml:space="preserve">Prior to certification all prospective foster/adoptive parents who will care for children under the age of two years shall complete the “Reducing the Risk of SIDS in Early Education and Child Care” training or an equivalent safe sleep training provided or approved by the department. DCFS certified foster/adoptive parents shall meet the requirements as set forth in DCFS policy. Documentation of training shall be the certificate obtained upon completion of the training. This training may be applied toward meeting the annual </w:t>
      </w:r>
      <w:r w:rsidRPr="006E50FF">
        <w:rPr>
          <w:rFonts w:eastAsia="Courier New"/>
          <w:kern w:val="2"/>
        </w:rPr>
        <w:lastRenderedPageBreak/>
        <w:t>required training hours for foster parents as noted in §7315.P.5.</w:t>
      </w:r>
    </w:p>
    <w:p w14:paraId="6011DBF1"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10.</w:t>
      </w:r>
      <w:r w:rsidRPr="006E50FF">
        <w:rPr>
          <w:rFonts w:eastAsia="Courier New"/>
          <w:kern w:val="2"/>
        </w:rPr>
        <w:tab/>
        <w:t>…</w:t>
      </w:r>
    </w:p>
    <w:p w14:paraId="282F912E"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11.</w:t>
      </w:r>
      <w:r w:rsidRPr="006E50FF">
        <w:rPr>
          <w:rFonts w:eastAsia="Courier New"/>
          <w:kern w:val="2"/>
        </w:rPr>
        <w:tab/>
        <w:t>Currently certified foster/adoptive parents who care for children under the age of two years shall complete the “Reducing the Risk of SIDS in Early Education and Child Care” training or an equivalent safe sleep training provided or approved by the department, annually, within one year from the date on the previous year’s certificate. DCFS certified foster/adoptive parents shall meet the requirements as set forth in DCFS policy. Documentation of training shall be the certificate obtained upon completion of the training. This training may be applied toward meeting the annual required training hours for foster parents as noted in §7315.P.5.</w:t>
      </w:r>
    </w:p>
    <w:p w14:paraId="43E169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Currently certified foster/adoptive parents shall receive certification in infant/child and adult cardiopulmonary resuscitation (CPR) and first aid from a training provider identified on the DCFS website or otherwise approved by the department. Online-only training is not acceptable. The training shall be appropriate to the ages of the children in care. CPR and first aid certification shall be renewed prior to the expiration date indicated on the certification. This training may be applied toward meeting the annual required training hours for foster parents as noted in §7315.P.5. DCFS certified homes shall follow the CPR requirements as noted in DCFS child welfare policy.</w:t>
      </w:r>
    </w:p>
    <w:p w14:paraId="399475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 xml:space="preserve">Individuals who were certified as a foster or adoptive parent within the five years preceding application are exempt from the pre-certification training required by this </w:t>
      </w:r>
      <w:r w:rsidRPr="006E50FF">
        <w:rPr>
          <w:color w:val="000000"/>
          <w:kern w:val="2"/>
        </w:rPr>
        <w:t xml:space="preserve">Section, </w:t>
      </w:r>
      <w:r w:rsidRPr="006E50FF">
        <w:rPr>
          <w:kern w:val="2"/>
        </w:rPr>
        <w:t>subject to current background and state central registry clearances.</w:t>
      </w:r>
    </w:p>
    <w:p w14:paraId="0F7218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 - S.5.</w:t>
      </w:r>
      <w:r w:rsidRPr="006E50FF">
        <w:rPr>
          <w:kern w:val="2"/>
        </w:rPr>
        <w:tab/>
        <w:t>…</w:t>
      </w:r>
    </w:p>
    <w:p w14:paraId="272C67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provider shall review the child/youth’s service plan on a quarterly basis or more frequently as the child/youth’s needs or circumstances dictate. Documentation shall include the signature of the reviewer, the foster parent(s), and the foster child, if developmentally appropriate, and date of each child/youth’s service plan review.</w:t>
      </w:r>
    </w:p>
    <w:p w14:paraId="6D8A72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Lifebook—Foster Care and Adoption</w:t>
      </w:r>
    </w:p>
    <w:p w14:paraId="73487E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Every child/youth placed in foster care or for adoption shall have a lifebook. For children who are developmentally unable to participate in the creation and updating of their own lifebook, foster/adoptive parents shall create and update for the child/youth. Where a child or youth who is developmentally able declines to participate, the provider remains responsible for creating and updating the lifebook and shall document the child’s or youth’s decision not to participate.</w:t>
      </w:r>
    </w:p>
    <w:p w14:paraId="3F2054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T.2. - U.3.</w:t>
      </w:r>
      <w:r w:rsidRPr="006E50FF">
        <w:rPr>
          <w:kern w:val="2"/>
        </w:rPr>
        <w:tab/>
        <w:t>…</w:t>
      </w:r>
    </w:p>
    <w:p w14:paraId="565ACC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V.</w:t>
      </w:r>
      <w:r w:rsidRPr="006E50FF">
        <w:rPr>
          <w:kern w:val="2"/>
        </w:rPr>
        <w:tab/>
        <w:t xml:space="preserve">Reapplication for Certification for Foster and Adoptive Parents </w:t>
      </w:r>
    </w:p>
    <w:p w14:paraId="7456A1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reapply, a former foster/adoptive parent shall follow all requirements noted herein that are in effect at the time of re-application. A former foster/adoptive parent who was certified within the</w:t>
      </w:r>
      <w:r w:rsidRPr="006E50FF">
        <w:rPr>
          <w:color w:val="000000"/>
          <w:kern w:val="2"/>
        </w:rPr>
        <w:t xml:space="preserve"> 5 </w:t>
      </w:r>
      <w:r w:rsidRPr="006E50FF">
        <w:rPr>
          <w:kern w:val="2"/>
        </w:rPr>
        <w:t>years preceding re-application is exempt from repeating the pre-certification training required by §7315.P.2, subject to current background and state central registry clearances.</w:t>
      </w:r>
    </w:p>
    <w:p w14:paraId="3A8720D5" w14:textId="77777777" w:rsidR="006E50FF" w:rsidRPr="006E50FF" w:rsidRDefault="006E50FF" w:rsidP="006E50FF">
      <w:pPr>
        <w:tabs>
          <w:tab w:val="left" w:pos="720"/>
          <w:tab w:val="left" w:pos="979"/>
          <w:tab w:val="left" w:pos="1152"/>
        </w:tabs>
        <w:ind w:firstLine="360"/>
        <w:jc w:val="both"/>
        <w:outlineLvl w:val="4"/>
        <w:rPr>
          <w:kern w:val="2"/>
        </w:rPr>
      </w:pPr>
    </w:p>
    <w:p w14:paraId="6D0351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334C89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Children and Family Services, Licensing Section, LR 45:377 (March </w:t>
      </w:r>
      <w:r w:rsidRPr="006E50FF">
        <w:rPr>
          <w:kern w:val="2"/>
          <w:sz w:val="18"/>
        </w:rPr>
        <w:t>2019), effective April 1, 2019, LR 46:686 (May 2020), effective June 1, 2020, LR 47:351 (March 2021), effective April 1, 2021, repromulgated LR 47:442 (April 2021), amended LR 47:1849 (December 2021), amended by the Department of Children and Family Services, Division of Child Welfare, LR 52:</w:t>
      </w:r>
    </w:p>
    <w:p w14:paraId="1A4A834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50" w:name="_Toc230079244"/>
      <w:r w:rsidRPr="006E50FF">
        <w:rPr>
          <w:b/>
          <w:kern w:val="2"/>
        </w:rPr>
        <w:t>§7319.</w:t>
      </w:r>
      <w:r w:rsidRPr="006E50FF">
        <w:rPr>
          <w:b/>
          <w:kern w:val="2"/>
        </w:rPr>
        <w:tab/>
        <w:t>Foster Care Services</w:t>
      </w:r>
      <w:bookmarkEnd w:id="150"/>
    </w:p>
    <w:p w14:paraId="379BBF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D.1.</w:t>
      </w:r>
      <w:r w:rsidRPr="006E50FF">
        <w:rPr>
          <w:kern w:val="2"/>
        </w:rPr>
        <w:tab/>
        <w:t>…</w:t>
      </w:r>
    </w:p>
    <w:p w14:paraId="6CFED64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Provider shall have at least monthly contact with one of the foster parents by telephone, virtually, or in person.</w:t>
      </w:r>
    </w:p>
    <w:p w14:paraId="07705F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- 5.j.</w:t>
      </w:r>
      <w:r w:rsidRPr="006E50FF">
        <w:rPr>
          <w:kern w:val="2"/>
        </w:rPr>
        <w:tab/>
        <w:t>…</w:t>
      </w:r>
    </w:p>
    <w:p w14:paraId="7D05F0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color w:val="000000"/>
          <w:kern w:val="2"/>
        </w:rPr>
        <w:t>a.</w:t>
      </w:r>
      <w:r w:rsidRPr="006E50FF">
        <w:rPr>
          <w:kern w:val="2"/>
        </w:rPr>
        <w:tab/>
        <w:t>The provider shall obtain and document the following information within 30 calendar days of placement:</w:t>
      </w:r>
    </w:p>
    <w:p w14:paraId="67D7416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child/youth’s name, previous home address, sex, race, nationality, birth date, birth place, religious affiliation, and Social Security number;</w:t>
      </w:r>
    </w:p>
    <w:p w14:paraId="47F59B4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current name, address, and telephone number and marital status of the biological parents of the child;</w:t>
      </w:r>
    </w:p>
    <w:p w14:paraId="34530B3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color w:val="000000"/>
          <w:kern w:val="2"/>
        </w:rPr>
        <w:tab/>
        <w:t>iii.</w:t>
      </w:r>
      <w:r w:rsidRPr="006E50FF">
        <w:rPr>
          <w:color w:val="000000"/>
          <w:kern w:val="2"/>
        </w:rPr>
        <w:tab/>
      </w:r>
      <w:r w:rsidRPr="006E50FF">
        <w:rPr>
          <w:kern w:val="2"/>
        </w:rPr>
        <w:t>the name, address, and telephone number of siblings and if in foster care, the name and contact information of their foster parents and caseworkers; and</w:t>
      </w:r>
    </w:p>
    <w:p w14:paraId="70E1688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the name, address, and telephone number of siblings and significant relatives or others considered in the case plan.</w:t>
      </w:r>
    </w:p>
    <w:p w14:paraId="127434C7" w14:textId="77777777" w:rsidR="006E50FF" w:rsidRPr="006E50FF" w:rsidRDefault="006E50FF" w:rsidP="006E50FF">
      <w:pPr>
        <w:tabs>
          <w:tab w:val="left" w:pos="907"/>
        </w:tabs>
        <w:ind w:firstLine="547"/>
        <w:jc w:val="both"/>
        <w:outlineLvl w:val="5"/>
        <w:rPr>
          <w:kern w:val="2"/>
        </w:rPr>
      </w:pPr>
      <w:r w:rsidRPr="006E50FF">
        <w:rPr>
          <w:color w:val="000000"/>
          <w:kern w:val="2"/>
        </w:rPr>
        <w:t>b.</w:t>
      </w:r>
      <w:r w:rsidRPr="006E50FF">
        <w:rPr>
          <w:kern w:val="2"/>
        </w:rPr>
        <w:tab/>
        <w:t xml:space="preserve">If any information required by </w:t>
      </w:r>
      <w:r w:rsidRPr="006E50FF">
        <w:rPr>
          <w:color w:val="000000"/>
          <w:kern w:val="2"/>
        </w:rPr>
        <w:t xml:space="preserve">Clauses i-iv </w:t>
      </w:r>
      <w:r w:rsidRPr="006E50FF">
        <w:rPr>
          <w:kern w:val="2"/>
        </w:rPr>
        <w:t>of this Paragraph is not obtained within 30 calendar days of initial placement, the provider shall document the date of each attempted request, the person or entity from whom the information was requested, and the items requested, and shall repeat the request every 30 days until the information is received.</w:t>
      </w:r>
    </w:p>
    <w:p w14:paraId="0F1964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D.7. - G.2.g.</w:t>
      </w:r>
      <w:r w:rsidRPr="006E50FF">
        <w:rPr>
          <w:kern w:val="2"/>
        </w:rPr>
        <w:tab/>
        <w:t>…</w:t>
      </w:r>
    </w:p>
    <w:p w14:paraId="5C21061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79F299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45:385 (March 2019), effective April 1, 2019, amended LR 47:1849 (December 2021), amended by the Department of Children and Family Services, Division of Child Welfare, LR 52:</w:t>
      </w:r>
    </w:p>
    <w:p w14:paraId="6B05650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51" w:name="_Toc230079245"/>
      <w:r w:rsidRPr="006E50FF">
        <w:rPr>
          <w:b/>
          <w:kern w:val="2"/>
        </w:rPr>
        <w:t>§7321.</w:t>
      </w:r>
      <w:r w:rsidRPr="006E50FF">
        <w:rPr>
          <w:b/>
          <w:kern w:val="2"/>
        </w:rPr>
        <w:tab/>
        <w:t>Adoption Services</w:t>
      </w:r>
      <w:bookmarkEnd w:id="151"/>
    </w:p>
    <w:p w14:paraId="4901FB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K.4.</w:t>
      </w:r>
      <w:r w:rsidRPr="006E50FF">
        <w:rPr>
          <w:kern w:val="2"/>
        </w:rPr>
        <w:tab/>
        <w:t>…</w:t>
      </w:r>
    </w:p>
    <w:p w14:paraId="6C19AF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Domestic Adoptions</w:t>
      </w:r>
    </w:p>
    <w:p w14:paraId="307140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Repealed.</w:t>
      </w:r>
    </w:p>
    <w:p w14:paraId="03C8B9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L.2. - M4.</w:t>
      </w:r>
      <w:r w:rsidRPr="006E50FF">
        <w:rPr>
          <w:kern w:val="2"/>
        </w:rPr>
        <w:tab/>
        <w:t>…</w:t>
      </w:r>
    </w:p>
    <w:p w14:paraId="467F58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1E77E8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45:388 (March 2019), effective April 1, 2019, LR 47:353 (March 2021), effective April 1, 2021, repromulgated LR 47:443 (April 2021), amended LR 47:1850 (December 2021), amended by the Department of Children and Family Services, Division of Child Welfare, LR 52:</w:t>
      </w:r>
    </w:p>
    <w:p w14:paraId="792E227B" w14:textId="77777777" w:rsidR="006E50FF" w:rsidRPr="006E50FF" w:rsidRDefault="006E50FF" w:rsidP="006E50FF">
      <w:pPr>
        <w:keepNext/>
        <w:jc w:val="center"/>
        <w:rPr>
          <w:b/>
          <w:kern w:val="28"/>
        </w:rPr>
      </w:pPr>
      <w:r w:rsidRPr="006E50FF">
        <w:rPr>
          <w:b/>
          <w:kern w:val="28"/>
        </w:rPr>
        <w:t>Family Impact Statement</w:t>
      </w:r>
    </w:p>
    <w:p w14:paraId="79EDB6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2F831DC5" w14:textId="77777777" w:rsidR="006E50FF" w:rsidRPr="006E50FF" w:rsidRDefault="006E50FF" w:rsidP="006E50FF">
      <w:pPr>
        <w:keepNext/>
        <w:jc w:val="center"/>
        <w:rPr>
          <w:b/>
          <w:kern w:val="28"/>
        </w:rPr>
      </w:pPr>
      <w:r w:rsidRPr="006E50FF">
        <w:rPr>
          <w:b/>
          <w:kern w:val="28"/>
        </w:rPr>
        <w:t>Poverty Impact Statement</w:t>
      </w:r>
    </w:p>
    <w:p w14:paraId="5419D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854 of the 2012 Regular Session of the Louisiana Legislature, the poverty impact of this proposed Rule has been considered. It is anticipated that this proposed Rule will not have an impact on child, individual, or family </w:t>
      </w:r>
      <w:r w:rsidRPr="006E50FF">
        <w:rPr>
          <w:kern w:val="2"/>
        </w:rPr>
        <w:lastRenderedPageBreak/>
        <w:t>poverty in relation to individual or community asset development as described in R.S. 49:973.</w:t>
      </w:r>
    </w:p>
    <w:p w14:paraId="7D695851" w14:textId="77777777" w:rsidR="006E50FF" w:rsidRPr="006E50FF" w:rsidRDefault="006E50FF" w:rsidP="006E50FF">
      <w:pPr>
        <w:keepNext/>
        <w:jc w:val="center"/>
        <w:rPr>
          <w:b/>
          <w:kern w:val="28"/>
        </w:rPr>
      </w:pPr>
      <w:r w:rsidRPr="006E50FF">
        <w:rPr>
          <w:b/>
          <w:kern w:val="28"/>
        </w:rPr>
        <w:t>Small Business Analysis</w:t>
      </w:r>
    </w:p>
    <w:p w14:paraId="4D6E19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13C505A3" w14:textId="77777777" w:rsidR="006E50FF" w:rsidRPr="006E50FF" w:rsidRDefault="006E50FF" w:rsidP="006E50FF">
      <w:pPr>
        <w:keepNext/>
        <w:jc w:val="center"/>
        <w:rPr>
          <w:b/>
          <w:kern w:val="28"/>
        </w:rPr>
      </w:pPr>
      <w:r w:rsidRPr="006E50FF">
        <w:rPr>
          <w:b/>
          <w:kern w:val="28"/>
        </w:rPr>
        <w:t>Provider Impact Statement</w:t>
      </w:r>
    </w:p>
    <w:p w14:paraId="0875EA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2EC050BE" w14:textId="77777777" w:rsidR="006E50FF" w:rsidRPr="006E50FF" w:rsidRDefault="006E50FF" w:rsidP="006E50FF">
      <w:pPr>
        <w:keepNext/>
        <w:jc w:val="center"/>
        <w:rPr>
          <w:b/>
          <w:kern w:val="28"/>
        </w:rPr>
      </w:pPr>
      <w:r w:rsidRPr="006E50FF">
        <w:rPr>
          <w:b/>
          <w:kern w:val="28"/>
        </w:rPr>
        <w:t>Public Comments</w:t>
      </w:r>
    </w:p>
    <w:p w14:paraId="22E659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Catherine S. Brindley, DCFS Policy and Rulemaking Director, Department of Children and Family Services, P.O. Box 3776, Baton Rouge, LA 70821. The deadline for submitting written comments is 4:30 p.m. on October 20, 2026.</w:t>
      </w:r>
    </w:p>
    <w:p w14:paraId="7A0FB99A" w14:textId="77777777" w:rsidR="006E50FF" w:rsidRPr="006E50FF" w:rsidRDefault="006E50FF" w:rsidP="006E50FF">
      <w:pPr>
        <w:keepNext/>
        <w:ind w:left="2160"/>
        <w:jc w:val="both"/>
      </w:pPr>
      <w:r w:rsidRPr="006E50FF">
        <w:t>Christopher Bahm</w:t>
      </w:r>
    </w:p>
    <w:p w14:paraId="4850489F" w14:textId="77777777" w:rsidR="006E50FF" w:rsidRPr="006E50FF" w:rsidRDefault="006E50FF" w:rsidP="006E50FF">
      <w:pPr>
        <w:keepNext/>
        <w:ind w:left="2160"/>
        <w:jc w:val="both"/>
      </w:pPr>
      <w:r w:rsidRPr="006E50FF">
        <w:t>Undersecretary</w:t>
      </w:r>
    </w:p>
    <w:p w14:paraId="4AFEE962" w14:textId="77777777" w:rsidR="006E50FF" w:rsidRPr="006E50FF" w:rsidRDefault="006E50FF" w:rsidP="006E50FF">
      <w:pPr>
        <w:keepNext/>
        <w:jc w:val="center"/>
        <w:rPr>
          <w:b/>
        </w:rPr>
      </w:pPr>
    </w:p>
    <w:p w14:paraId="304C247A" w14:textId="77777777" w:rsidR="006E50FF" w:rsidRPr="006E50FF" w:rsidRDefault="006E50FF" w:rsidP="006E50FF">
      <w:pPr>
        <w:keepNext/>
        <w:jc w:val="center"/>
        <w:rPr>
          <w:b/>
        </w:rPr>
      </w:pPr>
      <w:r w:rsidRPr="006E50FF">
        <w:rPr>
          <w:b/>
        </w:rPr>
        <w:t>FISCAL AND ECONOMIC IMPACT STATEMENT FOR ADMINISTRATIVE RULES</w:t>
      </w:r>
    </w:p>
    <w:p w14:paraId="742027EC" w14:textId="77777777" w:rsidR="006E50FF" w:rsidRPr="006E50FF" w:rsidRDefault="006E50FF" w:rsidP="006E50FF">
      <w:pPr>
        <w:keepNext/>
        <w:jc w:val="center"/>
        <w:rPr>
          <w:b/>
          <w:noProof/>
        </w:rPr>
      </w:pPr>
      <w:r w:rsidRPr="006E50FF">
        <w:rPr>
          <w:b/>
          <w:noProof/>
        </w:rPr>
        <w:t>RULE TITLE:  Child Welfare—Licensing and Certification</w:t>
      </w:r>
    </w:p>
    <w:p w14:paraId="10A86D2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86FC0D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245CBE0"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2AAB2D10" w14:textId="77777777" w:rsidR="006E50FF" w:rsidRPr="006E50FF" w:rsidRDefault="006E50FF" w:rsidP="006E50FF">
      <w:pPr>
        <w:ind w:left="288" w:firstLine="288"/>
        <w:jc w:val="both"/>
        <w:rPr>
          <w:noProof/>
          <w:sz w:val="18"/>
        </w:rPr>
      </w:pPr>
      <w:r w:rsidRPr="006E50FF">
        <w:rPr>
          <w:noProof/>
          <w:sz w:val="18"/>
        </w:rPr>
        <w:t xml:space="preserve">The Department of Children and Family Services (DCFS) proposes to amend Sections 7105, 7107, 7109, 7111, 7115, 7117, 7119, and adopt Section 7120 of Chapter 71, and to repeal Sections 7303, 7311, 7313, 7314, 7315, 7319, and 7321 of Chapter 73, both within Subpart 8 (Residential Licensing), Part V (Child Welfare), of Title 67 (Social Services) of the </w:t>
      </w:r>
      <w:r w:rsidRPr="006E50FF">
        <w:rPr>
          <w:i/>
          <w:iCs/>
          <w:noProof/>
          <w:sz w:val="18"/>
        </w:rPr>
        <w:t>Louisiana Administrative Code</w:t>
      </w:r>
      <w:r w:rsidRPr="006E50FF">
        <w:rPr>
          <w:noProof/>
          <w:sz w:val="18"/>
        </w:rPr>
        <w:t>. The proposed rule accomplishes several updates and clarifications to streamline processes which align with current practice. Specifically, this proposed rule:</w:t>
      </w:r>
    </w:p>
    <w:p w14:paraId="03EC8CBE"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Updates the definition of Human Services Field to include Nursing among the types of employment or education that may qualify as human-services experience.</w:t>
      </w:r>
    </w:p>
    <w:p w14:paraId="24E004E8"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timeframe for completing an incomplete initial licensing application from 45 to 180 days and updates the licensing appeal process and mailing address.</w:t>
      </w:r>
    </w:p>
    <w:p w14:paraId="4128EE61"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Clarifies that a license may be closed after 1 year without placements, subject to notice and an opportunity to demonstrate activity.</w:t>
      </w:r>
    </w:p>
    <w:p w14:paraId="5A4DDE9F"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Revises training requirements to require DCFS-provided or DCFS-approved training, including CPR and first-aid from an approved provider, annual mandated reporter training, and DCFS-provided or approved safe-sleep training; online-only CPR and first-aid training are not acceptable.</w:t>
      </w:r>
    </w:p>
    <w:p w14:paraId="78625C5D"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Removes detailed requirements for documenting and summarizing visitors and contacts in resident records and repeals influenza notification requirements.</w:t>
      </w:r>
    </w:p>
    <w:p w14:paraId="707E5D7C"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Updates resident protection requirements by removing restrictions concerning religion in admission policies and updating restraint debriefing requirements to reference the legal guardian, when indicated, rather than family members.</w:t>
      </w:r>
    </w:p>
    <w:p w14:paraId="3AD54812"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deadline for enrolling a child in school from 3 to 5 school days after admission.</w:t>
      </w:r>
    </w:p>
    <w:p w14:paraId="233AB548"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deadline for obtaining a resident’s initial medical exam from 1 week to 1 month.</w:t>
      </w:r>
    </w:p>
    <w:p w14:paraId="1E493D5C"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Removes the specific 60-square-foot-per-resident space requirement and instead requires ample space appropriate to the number, ages, and sizes of residents.</w:t>
      </w:r>
    </w:p>
    <w:p w14:paraId="7AC3C0B8"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Establishes visitor screening requirements by requiring visitors to obtain satisfactory FBI fingerprint-based criminal background checks and State Central Registry clearance, unless they are accompanied at all times by a staff member with current satisfactory clearances.</w:t>
      </w:r>
    </w:p>
    <w:p w14:paraId="42C54BEE"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Clarifies that a provider or affiliate seeking foster or adoptive parent certification may not use itself as the certifying child-placing agency and must use another licensed child-placing agency.</w:t>
      </w:r>
    </w:p>
    <w:p w14:paraId="25FEB152"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Replaces the specified twenty-hour National Training and Development Institute (NTI) adoption competency course with adoption competency training provided or approved by DCFS, clarifies the staff subject to the training requirement, and allows DCFS to approve training substitutes based on an individual’s education and experience.</w:t>
      </w:r>
    </w:p>
    <w:p w14:paraId="36E551AF"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timeframe for State Central Registry clearance from 45 to 120 days.</w:t>
      </w:r>
    </w:p>
    <w:p w14:paraId="167B7793"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validity of required health statements from 6 to 12 months and revises who must provide the statements.</w:t>
      </w:r>
    </w:p>
    <w:p w14:paraId="19A70371"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Replaces the fixed 15-hour annual training requirement with an experience-based training requirement established by DCFS policy, subject to statutory minimums.</w:t>
      </w:r>
    </w:p>
    <w:p w14:paraId="373BD301"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Provides a 5-year exemption from pre-certification training for individuals previously certified as foster or adoptive parents, provided current clearance requirements are met.</w:t>
      </w:r>
    </w:p>
    <w:p w14:paraId="0D1A95BF" w14:textId="77777777" w:rsidR="006E50FF" w:rsidRPr="006E50FF" w:rsidRDefault="006E50FF" w:rsidP="006E50FF">
      <w:pPr>
        <w:numPr>
          <w:ilvl w:val="0"/>
          <w:numId w:val="23"/>
        </w:numPr>
        <w:tabs>
          <w:tab w:val="left" w:pos="630"/>
        </w:tabs>
        <w:ind w:left="630"/>
        <w:jc w:val="both"/>
        <w:rPr>
          <w:sz w:val="18"/>
        </w:rPr>
      </w:pPr>
      <w:r w:rsidRPr="006E50FF">
        <w:rPr>
          <w:noProof/>
          <w:sz w:val="18"/>
        </w:rPr>
        <w:t>Repeals</w:t>
      </w:r>
      <w:r w:rsidRPr="006E50FF">
        <w:rPr>
          <w:sz w:val="18"/>
        </w:rPr>
        <w:t xml:space="preserve"> the provision authorizing DCFS to request information or documents from a child-placing agency for submission to a court in connection with a domestic adoption.</w:t>
      </w:r>
    </w:p>
    <w:p w14:paraId="4FEF85B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2E8D82E"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29BA205F"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478B72C"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06180AF3"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368B855"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43748D97" w14:textId="77777777" w:rsidR="006E50FF" w:rsidRPr="006E50FF" w:rsidRDefault="006E50FF" w:rsidP="006E50FF">
      <w:pPr>
        <w:ind w:left="288" w:firstLine="288"/>
        <w:jc w:val="both"/>
        <w:rPr>
          <w:sz w:val="18"/>
        </w:rPr>
      </w:pPr>
    </w:p>
    <w:p w14:paraId="6968A53B" w14:textId="77777777" w:rsidR="006E50FF" w:rsidRPr="006E50FF" w:rsidRDefault="006E50FF" w:rsidP="006E50FF">
      <w:pPr>
        <w:tabs>
          <w:tab w:val="left" w:pos="2880"/>
          <w:tab w:val="decimal" w:pos="2988"/>
        </w:tabs>
        <w:outlineLvl w:val="8"/>
        <w:rPr>
          <w:kern w:val="2"/>
          <w:sz w:val="18"/>
        </w:rPr>
      </w:pPr>
      <w:r w:rsidRPr="006E50FF">
        <w:rPr>
          <w:kern w:val="2"/>
          <w:sz w:val="18"/>
        </w:rPr>
        <w:t>DeEdra Lamotte</w:t>
      </w:r>
      <w:r w:rsidRPr="006E50FF">
        <w:rPr>
          <w:kern w:val="2"/>
          <w:sz w:val="18"/>
        </w:rPr>
        <w:tab/>
        <w:t>Patrice Thomas</w:t>
      </w:r>
    </w:p>
    <w:p w14:paraId="6E97BE4B" w14:textId="77777777" w:rsidR="006E50FF" w:rsidRPr="006E50FF" w:rsidRDefault="006E50FF" w:rsidP="006E50FF">
      <w:pPr>
        <w:tabs>
          <w:tab w:val="left" w:pos="2880"/>
          <w:tab w:val="decimal" w:pos="2988"/>
        </w:tabs>
        <w:outlineLvl w:val="8"/>
        <w:rPr>
          <w:kern w:val="2"/>
          <w:sz w:val="18"/>
        </w:rPr>
      </w:pPr>
      <w:r w:rsidRPr="006E50FF">
        <w:rPr>
          <w:kern w:val="2"/>
          <w:sz w:val="18"/>
        </w:rPr>
        <w:t>Deputy Undersecretary 3</w:t>
      </w:r>
      <w:r w:rsidRPr="006E50FF">
        <w:rPr>
          <w:kern w:val="2"/>
          <w:sz w:val="18"/>
        </w:rPr>
        <w:tab/>
        <w:t>Deputy Fiscal Officer</w:t>
      </w:r>
    </w:p>
    <w:p w14:paraId="4E6C38BC" w14:textId="77777777" w:rsidR="006E50FF" w:rsidRPr="006E50FF" w:rsidRDefault="006E50FF" w:rsidP="006E50FF">
      <w:pPr>
        <w:tabs>
          <w:tab w:val="left" w:pos="2880"/>
          <w:tab w:val="decimal" w:pos="2988"/>
        </w:tabs>
        <w:outlineLvl w:val="8"/>
        <w:rPr>
          <w:kern w:val="2"/>
          <w:sz w:val="18"/>
        </w:rPr>
      </w:pPr>
      <w:r w:rsidRPr="006E50FF">
        <w:rPr>
          <w:noProof/>
          <w:sz w:val="16"/>
        </w:rPr>
        <w:t>2609#068</w:t>
      </w:r>
      <w:r w:rsidRPr="006E50FF">
        <w:rPr>
          <w:kern w:val="2"/>
        </w:rPr>
        <w:tab/>
      </w:r>
      <w:r w:rsidRPr="006E50FF">
        <w:rPr>
          <w:kern w:val="2"/>
          <w:sz w:val="18"/>
        </w:rPr>
        <w:t>Legislative Fiscal Office</w:t>
      </w:r>
    </w:p>
    <w:p w14:paraId="28C956F2" w14:textId="77777777" w:rsidR="006E50FF" w:rsidRPr="006E50FF" w:rsidRDefault="006E50FF" w:rsidP="006E50FF"/>
    <w:p w14:paraId="4F1942CD"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72497DA" w14:textId="77777777" w:rsidR="006E50FF" w:rsidRPr="006E50FF" w:rsidRDefault="006E50FF" w:rsidP="006E50FF">
      <w:pPr>
        <w:keepNext/>
        <w:jc w:val="center"/>
        <w:rPr>
          <w:b/>
          <w:noProof/>
        </w:rPr>
      </w:pPr>
      <w:r w:rsidRPr="006E50FF">
        <w:rPr>
          <w:b/>
          <w:noProof/>
        </w:rPr>
        <w:t>Department of Children and Family Services</w:t>
      </w:r>
    </w:p>
    <w:p w14:paraId="71E256D1" w14:textId="77777777" w:rsidR="006E50FF" w:rsidRPr="006E50FF" w:rsidRDefault="006E50FF" w:rsidP="006E50FF">
      <w:pPr>
        <w:keepNext/>
        <w:jc w:val="center"/>
        <w:rPr>
          <w:b/>
          <w:noProof/>
        </w:rPr>
      </w:pPr>
      <w:r w:rsidRPr="006E50FF">
        <w:rPr>
          <w:b/>
          <w:noProof/>
        </w:rPr>
        <w:t>Office of Management and Finance</w:t>
      </w:r>
    </w:p>
    <w:p w14:paraId="13297ADA" w14:textId="77777777" w:rsidR="006E50FF" w:rsidRPr="006E50FF" w:rsidRDefault="006E50FF" w:rsidP="006E50FF">
      <w:pPr>
        <w:keepNext/>
        <w:spacing w:before="240" w:after="240"/>
        <w:jc w:val="center"/>
        <w:rPr>
          <w:noProof/>
        </w:rPr>
      </w:pPr>
      <w:r w:rsidRPr="006E50FF">
        <w:rPr>
          <w:noProof/>
        </w:rPr>
        <w:t xml:space="preserve">Regulatory Remediation </w:t>
      </w:r>
      <w:r w:rsidRPr="006E50FF">
        <w:rPr>
          <w:noProof/>
        </w:rPr>
        <w:br/>
        <w:t>(LAC 67:V.1001, 1501, 3701, 5901, and 5903)</w:t>
      </w:r>
    </w:p>
    <w:p w14:paraId="395AB87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The Department of Children and Family Services, Office of Management and Finance proposes to repeal LAC 67:V.1001, 3701, 5901, and 5903 and amend LAC 67:V.1051 as authorized by R.S. 36:474 and R.S. 46:102. This proposed Rule is promulgated in accordance with the provisions of the Administrative Procedure Act, R.S. 49:950 et seq.</w:t>
      </w:r>
    </w:p>
    <w:p w14:paraId="68637A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rulemaking action is undertaken to remove provisions that are no longer applicable to current practice and to update </w:t>
      </w:r>
      <w:r w:rsidRPr="006E50FF">
        <w:rPr>
          <w:kern w:val="2"/>
        </w:rPr>
        <w:lastRenderedPageBreak/>
        <w:t>language that has become outdated. The revisions are intended to ensure that the regulatory framework remains relevant, accurate, and consistent with existing statutory and federal requirements. By eliminating obsolete sections and modernizing remaining provisions, DCFS seeks to maintain regulatory clarity and support effective program administration.</w:t>
      </w:r>
    </w:p>
    <w:p w14:paraId="4B6744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Notice of Intent has been drafted utilizing plain language principles to ensure clarity and accessibility for all users. It has also been reviewed and tested for compliance with web accessibility standards.</w:t>
      </w:r>
    </w:p>
    <w:p w14:paraId="53BDA40C" w14:textId="77777777" w:rsidR="006E50FF" w:rsidRPr="006E50FF" w:rsidRDefault="006E50FF" w:rsidP="006E50FF">
      <w:pPr>
        <w:keepNext/>
        <w:jc w:val="center"/>
        <w:rPr>
          <w:b/>
          <w:kern w:val="28"/>
        </w:rPr>
      </w:pPr>
      <w:r w:rsidRPr="006E50FF">
        <w:rPr>
          <w:b/>
          <w:kern w:val="28"/>
        </w:rPr>
        <w:t>Title 67</w:t>
      </w:r>
    </w:p>
    <w:p w14:paraId="2D4B3D7F" w14:textId="77777777" w:rsidR="006E50FF" w:rsidRPr="006E50FF" w:rsidRDefault="006E50FF" w:rsidP="006E50FF">
      <w:pPr>
        <w:keepNext/>
        <w:jc w:val="center"/>
        <w:rPr>
          <w:b/>
          <w:kern w:val="28"/>
        </w:rPr>
      </w:pPr>
      <w:r w:rsidRPr="006E50FF">
        <w:rPr>
          <w:b/>
          <w:kern w:val="28"/>
        </w:rPr>
        <w:t>SOCIAL SERVICES</w:t>
      </w:r>
    </w:p>
    <w:p w14:paraId="3A830282" w14:textId="77777777" w:rsidR="006E50FF" w:rsidRPr="006E50FF" w:rsidRDefault="006E50FF" w:rsidP="006E50FF">
      <w:pPr>
        <w:keepNext/>
        <w:jc w:val="center"/>
        <w:rPr>
          <w:b/>
          <w:noProof/>
        </w:rPr>
      </w:pPr>
      <w:r w:rsidRPr="006E50FF">
        <w:rPr>
          <w:b/>
          <w:noProof/>
        </w:rPr>
        <w:t>Part V.  Child Welfare</w:t>
      </w:r>
    </w:p>
    <w:p w14:paraId="4F04191B" w14:textId="77777777" w:rsidR="006E50FF" w:rsidRPr="006E50FF" w:rsidRDefault="006E50FF" w:rsidP="006E50FF">
      <w:pPr>
        <w:keepNext/>
        <w:jc w:val="center"/>
        <w:rPr>
          <w:b/>
          <w:noProof/>
        </w:rPr>
      </w:pPr>
      <w:bookmarkStart w:id="152" w:name="TOC_SubP17"/>
      <w:bookmarkStart w:id="153" w:name="_Toc248893627"/>
      <w:bookmarkStart w:id="154" w:name="_Toc257205747"/>
      <w:bookmarkStart w:id="155" w:name="_Toc230079124"/>
      <w:r w:rsidRPr="006E50FF">
        <w:rPr>
          <w:b/>
          <w:noProof/>
        </w:rPr>
        <w:t>Subpart 2.  Community Services</w:t>
      </w:r>
      <w:bookmarkEnd w:id="152"/>
      <w:bookmarkEnd w:id="153"/>
      <w:bookmarkEnd w:id="154"/>
      <w:bookmarkEnd w:id="155"/>
    </w:p>
    <w:p w14:paraId="6B43FF8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56" w:name="TOC_Chap157"/>
      <w:bookmarkStart w:id="157" w:name="_Toc215471577"/>
      <w:bookmarkStart w:id="158" w:name="_Toc248893638"/>
      <w:bookmarkStart w:id="159" w:name="_Toc257205758"/>
      <w:bookmarkStart w:id="160" w:name="_Toc230079140"/>
      <w:r w:rsidRPr="006E50FF">
        <w:rPr>
          <w:b/>
          <w:kern w:val="2"/>
        </w:rPr>
        <w:t>Chapter 10.</w:t>
      </w:r>
      <w:bookmarkEnd w:id="156"/>
      <w:r w:rsidRPr="006E50FF">
        <w:rPr>
          <w:b/>
          <w:kern w:val="2"/>
        </w:rPr>
        <w:tab/>
      </w:r>
      <w:bookmarkStart w:id="161" w:name="TOCT_Chap256"/>
      <w:bookmarkStart w:id="162" w:name="TOCT_Chap157"/>
      <w:r w:rsidRPr="006E50FF">
        <w:rPr>
          <w:b/>
          <w:kern w:val="2"/>
        </w:rPr>
        <w:t>Children's Trust Fund</w:t>
      </w:r>
      <w:bookmarkEnd w:id="157"/>
      <w:bookmarkEnd w:id="158"/>
      <w:bookmarkEnd w:id="159"/>
      <w:bookmarkEnd w:id="160"/>
      <w:bookmarkEnd w:id="161"/>
      <w:bookmarkEnd w:id="162"/>
    </w:p>
    <w:p w14:paraId="2AAE5B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63" w:name="_Toc215471578"/>
      <w:bookmarkStart w:id="164" w:name="_Toc248893639"/>
      <w:bookmarkStart w:id="165" w:name="_Toc257205759"/>
      <w:bookmarkStart w:id="166" w:name="_Toc230079141"/>
      <w:r w:rsidRPr="006E50FF">
        <w:rPr>
          <w:b/>
          <w:kern w:val="2"/>
        </w:rPr>
        <w:t>§1001.</w:t>
      </w:r>
      <w:r w:rsidRPr="006E50FF">
        <w:rPr>
          <w:b/>
          <w:kern w:val="2"/>
        </w:rPr>
        <w:tab/>
        <w:t>Plan for Preventing Child Abuse and Neglect</w:t>
      </w:r>
      <w:bookmarkEnd w:id="163"/>
      <w:bookmarkEnd w:id="164"/>
      <w:bookmarkEnd w:id="165"/>
      <w:bookmarkEnd w:id="166"/>
    </w:p>
    <w:p w14:paraId="7DFBCA2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3F880D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46:2406.</w:t>
      </w:r>
    </w:p>
    <w:p w14:paraId="6189D3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Social Services, Office of Community Services, LR 20:898 (August 1994), amended LR 23:1326 (October 1997), LR 26:2632 (November 2000), </w:t>
      </w:r>
      <w:bookmarkStart w:id="167" w:name="_Hlk238111227"/>
      <w:r w:rsidRPr="006E50FF">
        <w:rPr>
          <w:kern w:val="2"/>
          <w:sz w:val="18"/>
        </w:rPr>
        <w:t>repealed by the Department of Children and Family Services, Office of Management and Finance, LR 52:</w:t>
      </w:r>
      <w:bookmarkEnd w:id="167"/>
    </w:p>
    <w:bookmarkStart w:id="168" w:name="TOC_Chap161"/>
    <w:bookmarkStart w:id="169" w:name="_Toc215471585"/>
    <w:bookmarkStart w:id="170" w:name="_Toc248893647"/>
    <w:bookmarkStart w:id="171" w:name="_Toc257205767"/>
    <w:bookmarkStart w:id="172" w:name="_Toc230079152"/>
    <w:bookmarkStart w:id="173" w:name="_Hlk237007048"/>
    <w:p w14:paraId="7F79F58B" w14:textId="77777777" w:rsidR="006E50FF" w:rsidRPr="006E50FF" w:rsidRDefault="006E50FF" w:rsidP="006E50FF">
      <w:pPr>
        <w:keepNext/>
        <w:jc w:val="center"/>
        <w:rPr>
          <w:b/>
          <w:noProof/>
        </w:rPr>
      </w:pPr>
      <w:r w:rsidRPr="006E50FF">
        <w:rPr>
          <w:b/>
          <w:noProof/>
        </w:rPr>
        <w:fldChar w:fldCharType="begin"/>
      </w:r>
      <w:r w:rsidRPr="006E50FF">
        <w:rPr>
          <w:b/>
          <w:noProof/>
        </w:rPr>
        <w:instrText>HYPERLINK \l "_Toc238128046"</w:instrText>
      </w:r>
      <w:r w:rsidRPr="006E50FF">
        <w:rPr>
          <w:b/>
          <w:noProof/>
        </w:rPr>
      </w:r>
      <w:r w:rsidRPr="006E50FF">
        <w:rPr>
          <w:b/>
          <w:noProof/>
        </w:rPr>
        <w:fldChar w:fldCharType="separate"/>
      </w:r>
      <w:r w:rsidRPr="006E50FF">
        <w:rPr>
          <w:b/>
          <w:noProof/>
        </w:rPr>
        <w:t>Subpart 3.  Child Protective Services</w:t>
      </w:r>
      <w:r w:rsidRPr="006E50FF">
        <w:rPr>
          <w:b/>
          <w:noProof/>
        </w:rPr>
        <w:fldChar w:fldCharType="end"/>
      </w:r>
    </w:p>
    <w:p w14:paraId="04CDD7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bookmarkEnd w:id="168"/>
      <w:r w:rsidRPr="006E50FF">
        <w:rPr>
          <w:b/>
          <w:kern w:val="2"/>
        </w:rPr>
        <w:tab/>
      </w:r>
      <w:bookmarkStart w:id="174" w:name="TOCT_Chap260"/>
      <w:bookmarkStart w:id="175" w:name="TOCT_Chap162"/>
      <w:bookmarkStart w:id="176" w:name="TOCT_Chap161"/>
      <w:r w:rsidRPr="006E50FF">
        <w:rPr>
          <w:b/>
          <w:kern w:val="2"/>
        </w:rPr>
        <w:t>Conducting Investigations in Families</w:t>
      </w:r>
      <w:bookmarkEnd w:id="169"/>
      <w:bookmarkEnd w:id="170"/>
      <w:bookmarkEnd w:id="171"/>
      <w:bookmarkEnd w:id="172"/>
      <w:bookmarkEnd w:id="174"/>
      <w:bookmarkEnd w:id="175"/>
      <w:bookmarkEnd w:id="176"/>
    </w:p>
    <w:p w14:paraId="67D6C26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77" w:name="_Toc215471586"/>
      <w:bookmarkStart w:id="178" w:name="_Toc248893648"/>
      <w:bookmarkStart w:id="179" w:name="_Toc257205768"/>
      <w:bookmarkStart w:id="180" w:name="_Toc230079153"/>
      <w:bookmarkStart w:id="181" w:name="_Hlk237328386"/>
      <w:r w:rsidRPr="006E50FF">
        <w:rPr>
          <w:b/>
          <w:kern w:val="2"/>
        </w:rPr>
        <w:t>§1501.</w:t>
      </w:r>
      <w:r w:rsidRPr="006E50FF">
        <w:rPr>
          <w:b/>
          <w:kern w:val="2"/>
        </w:rPr>
        <w:tab/>
        <w:t>Recording of Interviews</w:t>
      </w:r>
      <w:bookmarkEnd w:id="177"/>
      <w:bookmarkEnd w:id="178"/>
      <w:bookmarkEnd w:id="179"/>
      <w:bookmarkEnd w:id="180"/>
    </w:p>
    <w:p w14:paraId="34ED1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interviews of the child and his parents conducted in the course of a child protection investigation will be recorded without interruption, and without alteration.</w:t>
      </w:r>
    </w:p>
    <w:p w14:paraId="07B5CF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the Louisiana Children's Code, Article 612.</w:t>
      </w:r>
    </w:p>
    <w:p w14:paraId="64DCFA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Services, LR 18:198 (February 1992), amended by the Department of Children and Family Services, Office of Management and Finance, LR 52:</w:t>
      </w:r>
    </w:p>
    <w:bookmarkEnd w:id="173"/>
    <w:bookmarkEnd w:id="181"/>
    <w:p w14:paraId="0C87E2A9" w14:textId="77777777" w:rsidR="006E50FF" w:rsidRPr="006E50FF" w:rsidRDefault="006E50FF" w:rsidP="006E50FF">
      <w:pPr>
        <w:keepNext/>
        <w:jc w:val="center"/>
        <w:rPr>
          <w:b/>
          <w:noProof/>
        </w:rPr>
      </w:pPr>
      <w:r w:rsidRPr="006E50FF">
        <w:rPr>
          <w:b/>
          <w:noProof/>
        </w:rPr>
        <w:t>Subpart 5.  Foster Care</w:t>
      </w:r>
    </w:p>
    <w:p w14:paraId="540F1DA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37.</w:t>
      </w:r>
      <w:r w:rsidRPr="006E50FF">
        <w:rPr>
          <w:b/>
          <w:kern w:val="2"/>
        </w:rPr>
        <w:tab/>
        <w:t>Case Planning</w:t>
      </w:r>
    </w:p>
    <w:p w14:paraId="62F142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§3701.</w:t>
      </w:r>
      <w:r w:rsidRPr="006E50FF">
        <w:rPr>
          <w:b/>
          <w:kern w:val="2"/>
        </w:rPr>
        <w:tab/>
        <w:t>Permanency Plan</w:t>
      </w:r>
    </w:p>
    <w:p w14:paraId="5C8735A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4A229F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Act 348 of the 1990 Legislative Session.</w:t>
      </w:r>
    </w:p>
    <w:p w14:paraId="2D43B0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Services, LR 17:387 (April 1991), repealed by the Department of Children and Family Services, Office of Management and Finance, LR 52:</w:t>
      </w:r>
    </w:p>
    <w:p w14:paraId="18E5EA7B" w14:textId="77777777" w:rsidR="006E50FF" w:rsidRPr="006E50FF" w:rsidRDefault="006E50FF" w:rsidP="006E50FF">
      <w:pPr>
        <w:keepNext/>
        <w:jc w:val="center"/>
        <w:rPr>
          <w:b/>
          <w:noProof/>
        </w:rPr>
      </w:pPr>
      <w:r w:rsidRPr="006E50FF">
        <w:rPr>
          <w:b/>
          <w:noProof/>
        </w:rPr>
        <w:t>Subpart 7.  Payment of Legal Fees in Child Protection Cases</w:t>
      </w:r>
    </w:p>
    <w:p w14:paraId="4761276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59.</w:t>
      </w:r>
      <w:r w:rsidRPr="006E50FF">
        <w:rPr>
          <w:b/>
          <w:kern w:val="2"/>
        </w:rPr>
        <w:tab/>
        <w:t>Legal Representation of Children and Indigent Parents Pursuant to R.S. 46:460.21</w:t>
      </w:r>
    </w:p>
    <w:p w14:paraId="7530A50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§5901.</w:t>
      </w:r>
      <w:r w:rsidRPr="006E50FF">
        <w:rPr>
          <w:b/>
          <w:kern w:val="2"/>
        </w:rPr>
        <w:tab/>
        <w:t>Implementation of New Statewide System of Legal Representation of Children and Indigent Parents</w:t>
      </w:r>
    </w:p>
    <w:p w14:paraId="6636FF5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66EF71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46:460.21.</w:t>
      </w:r>
    </w:p>
    <w:p w14:paraId="0AD380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Child Welfare Section, LR 36:2523 (November 2010) repealed by the Department of Children and Family Services, Office of Management and Finance, LR 52:</w:t>
      </w:r>
    </w:p>
    <w:p w14:paraId="6EE3C7F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§5903.</w:t>
      </w:r>
      <w:r w:rsidRPr="006E50FF">
        <w:rPr>
          <w:b/>
          <w:kern w:val="2"/>
        </w:rPr>
        <w:tab/>
        <w:t>DSS Final Payment to ad hoc Attorneys Appointed Prior to January 1, 2010</w:t>
      </w:r>
    </w:p>
    <w:p w14:paraId="337A26E4"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7032D7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46:460.21.</w:t>
      </w:r>
    </w:p>
    <w:p w14:paraId="6980B3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Children and Family Services, Child Welfare Section, LR 36:2523 (November 2010), repealed by the Department of Children and Family Services, Office of Management and Finance, LR 52: </w:t>
      </w:r>
    </w:p>
    <w:p w14:paraId="0973AD4B" w14:textId="77777777" w:rsidR="006E50FF" w:rsidRPr="006E50FF" w:rsidRDefault="006E50FF" w:rsidP="006E50FF">
      <w:pPr>
        <w:keepNext/>
        <w:jc w:val="center"/>
        <w:rPr>
          <w:b/>
          <w:kern w:val="28"/>
        </w:rPr>
      </w:pPr>
      <w:r w:rsidRPr="006E50FF">
        <w:rPr>
          <w:b/>
          <w:kern w:val="28"/>
        </w:rPr>
        <w:t>Family Impact Statement</w:t>
      </w:r>
    </w:p>
    <w:p w14:paraId="35CBBD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6437C4B3" w14:textId="77777777" w:rsidR="006E50FF" w:rsidRPr="006E50FF" w:rsidRDefault="006E50FF" w:rsidP="006E50FF">
      <w:pPr>
        <w:keepNext/>
        <w:jc w:val="center"/>
        <w:rPr>
          <w:b/>
          <w:kern w:val="28"/>
        </w:rPr>
      </w:pPr>
      <w:r w:rsidRPr="006E50FF">
        <w:rPr>
          <w:b/>
          <w:kern w:val="28"/>
        </w:rPr>
        <w:t>Poverty Impact Statement</w:t>
      </w:r>
    </w:p>
    <w:p w14:paraId="4A81EB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753D4391" w14:textId="77777777" w:rsidR="006E50FF" w:rsidRPr="006E50FF" w:rsidRDefault="006E50FF" w:rsidP="006E50FF">
      <w:pPr>
        <w:keepNext/>
        <w:jc w:val="center"/>
        <w:rPr>
          <w:b/>
          <w:kern w:val="28"/>
        </w:rPr>
      </w:pPr>
      <w:r w:rsidRPr="006E50FF">
        <w:rPr>
          <w:b/>
          <w:kern w:val="28"/>
        </w:rPr>
        <w:t>Small Business Analysis</w:t>
      </w:r>
    </w:p>
    <w:p w14:paraId="4A55FB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5F977D7C" w14:textId="77777777" w:rsidR="006E50FF" w:rsidRPr="006E50FF" w:rsidRDefault="006E50FF" w:rsidP="006E50FF">
      <w:pPr>
        <w:keepNext/>
        <w:jc w:val="center"/>
        <w:rPr>
          <w:b/>
          <w:kern w:val="28"/>
        </w:rPr>
      </w:pPr>
      <w:r w:rsidRPr="006E50FF">
        <w:rPr>
          <w:b/>
          <w:kern w:val="28"/>
        </w:rPr>
        <w:t>Provider Impact Statement</w:t>
      </w:r>
    </w:p>
    <w:p w14:paraId="51B5F2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4C18E3BE" w14:textId="77777777" w:rsidR="006E50FF" w:rsidRPr="006E50FF" w:rsidRDefault="006E50FF" w:rsidP="006E50FF">
      <w:pPr>
        <w:keepNext/>
        <w:jc w:val="center"/>
        <w:rPr>
          <w:b/>
          <w:kern w:val="28"/>
        </w:rPr>
      </w:pPr>
      <w:r w:rsidRPr="006E50FF">
        <w:rPr>
          <w:b/>
          <w:kern w:val="28"/>
        </w:rPr>
        <w:t>Public Comments</w:t>
      </w:r>
    </w:p>
    <w:p w14:paraId="71E5D4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Catherine S. Brindley, DCFS Policy and Rulemaking Director, Department of Children and Family Services, P.O. Box 3776, Baton Rouge, LA 70821. The deadline for submitting written comments is 4:30 p.m. on October 20, 2026.</w:t>
      </w:r>
    </w:p>
    <w:p w14:paraId="191EC2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C0D2E9D" w14:textId="77777777" w:rsidR="006E50FF" w:rsidRPr="006E50FF" w:rsidRDefault="006E50FF" w:rsidP="006E50FF">
      <w:pPr>
        <w:keepNext/>
        <w:ind w:left="2160"/>
        <w:jc w:val="both"/>
      </w:pPr>
      <w:r w:rsidRPr="006E50FF">
        <w:t>Christopher Bahm</w:t>
      </w:r>
    </w:p>
    <w:p w14:paraId="30C22231" w14:textId="77777777" w:rsidR="006E50FF" w:rsidRPr="006E50FF" w:rsidRDefault="006E50FF" w:rsidP="006E50FF">
      <w:pPr>
        <w:keepNext/>
        <w:ind w:left="2160"/>
        <w:jc w:val="both"/>
      </w:pPr>
      <w:r w:rsidRPr="006E50FF">
        <w:t>Undersecretary</w:t>
      </w:r>
    </w:p>
    <w:p w14:paraId="22A66D85" w14:textId="77777777" w:rsidR="006E50FF" w:rsidRPr="006E50FF" w:rsidRDefault="006E50FF" w:rsidP="006E50FF">
      <w:pPr>
        <w:keepNext/>
        <w:jc w:val="center"/>
        <w:rPr>
          <w:b/>
        </w:rPr>
      </w:pPr>
    </w:p>
    <w:p w14:paraId="65C4583D" w14:textId="77777777" w:rsidR="006E50FF" w:rsidRPr="006E50FF" w:rsidRDefault="006E50FF" w:rsidP="006E50FF">
      <w:pPr>
        <w:keepNext/>
        <w:jc w:val="center"/>
        <w:rPr>
          <w:b/>
        </w:rPr>
      </w:pPr>
      <w:r w:rsidRPr="006E50FF">
        <w:rPr>
          <w:b/>
        </w:rPr>
        <w:t>FISCAL AND ECONOMIC IMPACT STATEMENT FOR ADMINISTRATIVE RULES</w:t>
      </w:r>
    </w:p>
    <w:p w14:paraId="3879FC98" w14:textId="77777777" w:rsidR="006E50FF" w:rsidRPr="006E50FF" w:rsidRDefault="006E50FF" w:rsidP="006E50FF">
      <w:pPr>
        <w:keepNext/>
        <w:jc w:val="center"/>
        <w:rPr>
          <w:b/>
          <w:noProof/>
        </w:rPr>
      </w:pPr>
      <w:r w:rsidRPr="006E50FF">
        <w:rPr>
          <w:b/>
          <w:noProof/>
        </w:rPr>
        <w:t>RULE TITLE:  Regulatory Remediation</w:t>
      </w:r>
    </w:p>
    <w:p w14:paraId="3ADC244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A691941"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CFA9B72"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552A2D2B" w14:textId="77777777" w:rsidR="006E50FF" w:rsidRPr="006E50FF" w:rsidRDefault="006E50FF" w:rsidP="006E50FF">
      <w:pPr>
        <w:ind w:left="288" w:firstLine="288"/>
        <w:jc w:val="both"/>
        <w:rPr>
          <w:noProof/>
          <w:sz w:val="18"/>
        </w:rPr>
      </w:pPr>
      <w:r w:rsidRPr="006E50FF">
        <w:rPr>
          <w:noProof/>
          <w:sz w:val="18"/>
        </w:rPr>
        <w:t>The Department of Children and Family Services (DCFS) proposes to repeal Section 1001 of Subpart 2 (Community Services), Section 3701 of Subpart 5 (Foster Care), and Sections 5901 and 5903 of Subpart 7 (Payment of Legal Fees in Child Protection Cases); and to amend Section 1501 of Subpart 3 (Child Protection Services), all within Part V (Child Welfare) of Title 67 (Social Services) of the Louisiana Administrative Code. The proposed rule makes several updates and clarifications to streamline processes which align with current practice. Specifically, this proposed rule:</w:t>
      </w:r>
    </w:p>
    <w:p w14:paraId="4E13B2C5" w14:textId="77777777" w:rsidR="006E50FF" w:rsidRPr="006E50FF" w:rsidRDefault="006E50FF" w:rsidP="006E50FF">
      <w:pPr>
        <w:numPr>
          <w:ilvl w:val="0"/>
          <w:numId w:val="24"/>
        </w:numPr>
        <w:ind w:left="540" w:hanging="270"/>
        <w:jc w:val="both"/>
        <w:rPr>
          <w:noProof/>
          <w:sz w:val="18"/>
        </w:rPr>
      </w:pPr>
      <w:r w:rsidRPr="006E50FF">
        <w:rPr>
          <w:noProof/>
          <w:sz w:val="18"/>
        </w:rPr>
        <w:br w:type="page"/>
      </w:r>
    </w:p>
    <w:p w14:paraId="64BE1BD6" w14:textId="77777777" w:rsidR="006E50FF" w:rsidRPr="006E50FF" w:rsidRDefault="006E50FF" w:rsidP="006E50FF">
      <w:pPr>
        <w:numPr>
          <w:ilvl w:val="0"/>
          <w:numId w:val="24"/>
        </w:numPr>
        <w:ind w:left="540" w:hanging="270"/>
        <w:jc w:val="both"/>
        <w:rPr>
          <w:noProof/>
          <w:sz w:val="18"/>
        </w:rPr>
      </w:pPr>
      <w:r w:rsidRPr="006E50FF">
        <w:rPr>
          <w:noProof/>
          <w:sz w:val="18"/>
        </w:rPr>
        <w:lastRenderedPageBreak/>
        <w:t>Removes the requirement that the proposed Louisiana Children’s Trust Fund plan be submitted to the Joint Committee on Health and Welfare for approval prior to adoption by the Louisiana Children’s Trust Fund Board, as well as the provision specifying that the adopted plan will serve as the basis for future Children’s Trust Fund activities.</w:t>
      </w:r>
    </w:p>
    <w:p w14:paraId="6C3ECCA3" w14:textId="77777777" w:rsidR="006E50FF" w:rsidRPr="006E50FF" w:rsidRDefault="006E50FF" w:rsidP="006E50FF">
      <w:pPr>
        <w:numPr>
          <w:ilvl w:val="0"/>
          <w:numId w:val="24"/>
        </w:numPr>
        <w:ind w:left="540" w:hanging="270"/>
        <w:jc w:val="both"/>
        <w:rPr>
          <w:noProof/>
          <w:sz w:val="18"/>
        </w:rPr>
      </w:pPr>
      <w:r w:rsidRPr="006E50FF">
        <w:rPr>
          <w:noProof/>
          <w:sz w:val="18"/>
        </w:rPr>
        <w:t>Removes the requirement that a case permanency plan be filed with the court within sixty days after a child enters the custody of the department or foster care.</w:t>
      </w:r>
    </w:p>
    <w:p w14:paraId="403D78A2" w14:textId="77777777" w:rsidR="006E50FF" w:rsidRPr="006E50FF" w:rsidRDefault="006E50FF" w:rsidP="006E50FF">
      <w:pPr>
        <w:numPr>
          <w:ilvl w:val="0"/>
          <w:numId w:val="24"/>
        </w:numPr>
        <w:ind w:left="540" w:hanging="270"/>
        <w:jc w:val="both"/>
        <w:rPr>
          <w:noProof/>
          <w:sz w:val="18"/>
        </w:rPr>
      </w:pPr>
      <w:r w:rsidRPr="006E50FF">
        <w:rPr>
          <w:noProof/>
          <w:sz w:val="18"/>
        </w:rPr>
        <w:t xml:space="preserve">Removes provisions related to the 7/1/2010, implementation of the statewide system of legal representation for children and indigent parents in child protection cases, including the department’s authority to pay for ad hoc legal representation during the transition period. </w:t>
      </w:r>
    </w:p>
    <w:p w14:paraId="1149BC97" w14:textId="77777777" w:rsidR="006E50FF" w:rsidRPr="006E50FF" w:rsidRDefault="006E50FF" w:rsidP="006E50FF">
      <w:pPr>
        <w:numPr>
          <w:ilvl w:val="0"/>
          <w:numId w:val="24"/>
        </w:numPr>
        <w:ind w:left="540" w:hanging="270"/>
        <w:jc w:val="both"/>
        <w:rPr>
          <w:noProof/>
          <w:sz w:val="18"/>
        </w:rPr>
      </w:pPr>
      <w:r w:rsidRPr="006E50FF">
        <w:rPr>
          <w:noProof/>
          <w:sz w:val="18"/>
        </w:rPr>
        <w:t>Removes the provisions governing payment for ad hoc legal representation services provided during the transition to the statewide system, including eligibility, billing procedures, and the 7/16/2010 deadline for submitting payment requests.</w:t>
      </w:r>
    </w:p>
    <w:p w14:paraId="54D4A93F" w14:textId="77777777" w:rsidR="006E50FF" w:rsidRPr="006E50FF" w:rsidRDefault="006E50FF" w:rsidP="006E50FF">
      <w:pPr>
        <w:numPr>
          <w:ilvl w:val="0"/>
          <w:numId w:val="24"/>
        </w:numPr>
        <w:ind w:left="540" w:hanging="270"/>
        <w:jc w:val="both"/>
        <w:rPr>
          <w:sz w:val="18"/>
        </w:rPr>
      </w:pPr>
      <w:r w:rsidRPr="006E50FF">
        <w:rPr>
          <w:noProof/>
          <w:sz w:val="18"/>
        </w:rPr>
        <w:t>Clarifies</w:t>
      </w:r>
      <w:r w:rsidRPr="006E50FF">
        <w:rPr>
          <w:sz w:val="18"/>
        </w:rPr>
        <w:t xml:space="preserve"> that interviews of children and parents conducted during child protection investigations must be recorded without interruption or alteration, rather than requiring recording only when requested by a parent.</w:t>
      </w:r>
    </w:p>
    <w:p w14:paraId="7D6DBF2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64B6999"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461F0D64"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0518414"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4244C96F"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3F07CD1"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1BF1416F" w14:textId="77777777" w:rsidR="006E50FF" w:rsidRPr="006E50FF" w:rsidRDefault="006E50FF" w:rsidP="006E50FF">
      <w:pPr>
        <w:ind w:left="288" w:firstLine="288"/>
        <w:jc w:val="both"/>
        <w:rPr>
          <w:sz w:val="18"/>
        </w:rPr>
      </w:pPr>
    </w:p>
    <w:p w14:paraId="1167FB32" w14:textId="77777777" w:rsidR="006E50FF" w:rsidRPr="006E50FF" w:rsidRDefault="006E50FF" w:rsidP="006E50FF">
      <w:pPr>
        <w:tabs>
          <w:tab w:val="left" w:pos="2880"/>
          <w:tab w:val="decimal" w:pos="2988"/>
        </w:tabs>
        <w:outlineLvl w:val="8"/>
        <w:rPr>
          <w:kern w:val="2"/>
          <w:sz w:val="18"/>
        </w:rPr>
      </w:pPr>
      <w:r w:rsidRPr="006E50FF">
        <w:rPr>
          <w:kern w:val="2"/>
          <w:sz w:val="18"/>
        </w:rPr>
        <w:t>DeEdra Lamotte</w:t>
      </w:r>
      <w:r w:rsidRPr="006E50FF">
        <w:rPr>
          <w:kern w:val="2"/>
          <w:sz w:val="18"/>
        </w:rPr>
        <w:tab/>
        <w:t>Patrice Thomas</w:t>
      </w:r>
    </w:p>
    <w:p w14:paraId="5D1C65A9" w14:textId="77777777" w:rsidR="006E50FF" w:rsidRPr="006E50FF" w:rsidRDefault="006E50FF" w:rsidP="006E50FF">
      <w:pPr>
        <w:tabs>
          <w:tab w:val="left" w:pos="2880"/>
          <w:tab w:val="decimal" w:pos="2988"/>
        </w:tabs>
        <w:outlineLvl w:val="8"/>
        <w:rPr>
          <w:kern w:val="2"/>
          <w:sz w:val="18"/>
        </w:rPr>
      </w:pPr>
      <w:r w:rsidRPr="006E50FF">
        <w:rPr>
          <w:kern w:val="2"/>
          <w:sz w:val="18"/>
        </w:rPr>
        <w:t>Deputy Undersecretary 3</w:t>
      </w:r>
      <w:r w:rsidRPr="006E50FF">
        <w:rPr>
          <w:kern w:val="2"/>
          <w:sz w:val="18"/>
        </w:rPr>
        <w:tab/>
        <w:t>Deputy Fiscal Officer</w:t>
      </w:r>
    </w:p>
    <w:p w14:paraId="2574DC96" w14:textId="77777777" w:rsidR="006E50FF" w:rsidRPr="006E50FF" w:rsidRDefault="006E50FF" w:rsidP="006E50FF">
      <w:pPr>
        <w:tabs>
          <w:tab w:val="left" w:pos="2880"/>
          <w:tab w:val="decimal" w:pos="2988"/>
        </w:tabs>
        <w:outlineLvl w:val="8"/>
        <w:rPr>
          <w:kern w:val="2"/>
          <w:sz w:val="18"/>
        </w:rPr>
      </w:pPr>
      <w:r w:rsidRPr="006E50FF">
        <w:rPr>
          <w:noProof/>
          <w:sz w:val="16"/>
        </w:rPr>
        <w:t>2609#069</w:t>
      </w:r>
      <w:r w:rsidRPr="006E50FF">
        <w:rPr>
          <w:kern w:val="2"/>
        </w:rPr>
        <w:tab/>
      </w:r>
      <w:r w:rsidRPr="006E50FF">
        <w:rPr>
          <w:kern w:val="2"/>
          <w:sz w:val="18"/>
        </w:rPr>
        <w:t>Legislative Fiscal Office</w:t>
      </w:r>
    </w:p>
    <w:p w14:paraId="0F3F3851" w14:textId="77777777" w:rsidR="006E50FF" w:rsidRPr="006E50FF" w:rsidRDefault="006E50FF" w:rsidP="006E50FF"/>
    <w:p w14:paraId="07603C64" w14:textId="77777777" w:rsidR="006E50FF" w:rsidRPr="006E50FF" w:rsidRDefault="006E50FF" w:rsidP="006E50FF">
      <w:pPr>
        <w:keepNext/>
        <w:tabs>
          <w:tab w:val="left" w:pos="-1440"/>
        </w:tabs>
        <w:spacing w:after="120"/>
        <w:jc w:val="center"/>
        <w:rPr>
          <w:b/>
          <w:noProof/>
        </w:rPr>
      </w:pPr>
      <w:bookmarkStart w:id="182" w:name="_Toc178265592"/>
      <w:bookmarkStart w:id="183" w:name="_Toc216941957"/>
      <w:r w:rsidRPr="006E50FF">
        <w:rPr>
          <w:b/>
          <w:noProof/>
        </w:rPr>
        <w:t>NOTICE OF INTENT</w:t>
      </w:r>
    </w:p>
    <w:p w14:paraId="11F98E50" w14:textId="77777777" w:rsidR="006E50FF" w:rsidRPr="006E50FF" w:rsidRDefault="006E50FF" w:rsidP="006E50FF">
      <w:pPr>
        <w:keepNext/>
        <w:jc w:val="center"/>
        <w:rPr>
          <w:b/>
          <w:noProof/>
        </w:rPr>
      </w:pPr>
      <w:r w:rsidRPr="006E50FF">
        <w:rPr>
          <w:b/>
          <w:noProof/>
        </w:rPr>
        <w:t>Department of Conservation and Energy</w:t>
      </w:r>
    </w:p>
    <w:p w14:paraId="2DD55F91" w14:textId="77777777" w:rsidR="006E50FF" w:rsidRPr="006E50FF" w:rsidRDefault="006E50FF" w:rsidP="006E50FF">
      <w:pPr>
        <w:keepNext/>
        <w:spacing w:before="240" w:after="240"/>
        <w:jc w:val="center"/>
        <w:rPr>
          <w:noProof/>
        </w:rPr>
      </w:pPr>
      <w:r w:rsidRPr="006E50FF">
        <w:rPr>
          <w:noProof/>
        </w:rPr>
        <w:t>Damage Prevention</w:t>
      </w:r>
      <w:r w:rsidRPr="006E50FF">
        <w:rPr>
          <w:noProof/>
        </w:rPr>
        <w:br/>
        <w:t>(LAC 43:XI.6101, 6301, and 6503)</w:t>
      </w:r>
    </w:p>
    <w:p w14:paraId="6DC0029B"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kern w:val="2"/>
          <w:lang w:eastAsia="x-none"/>
        </w:rPr>
        <w:t>The Department Conservation and Energy proposes to amend LAC</w:t>
      </w:r>
      <w:r w:rsidRPr="006E50FF">
        <w:rPr>
          <w:noProof/>
          <w:kern w:val="2"/>
        </w:rPr>
        <w:t xml:space="preserve">43:XI in accordance with the provisions of the Administrative Procedure Act, R.S. 49:950 et seq., and pursuant to the power delegated under the laws of the state of Louisiana. The proposed Rule changes are to align current law with </w:t>
      </w:r>
      <w:r w:rsidRPr="006E50FF">
        <w:rPr>
          <w:i/>
          <w:iCs/>
          <w:noProof/>
          <w:kern w:val="2"/>
        </w:rPr>
        <w:t>Louisiana Administrative Code</w:t>
      </w:r>
      <w:r w:rsidRPr="006E50FF">
        <w:rPr>
          <w:noProof/>
          <w:kern w:val="2"/>
        </w:rPr>
        <w:t>.</w:t>
      </w:r>
    </w:p>
    <w:bookmarkEnd w:id="182"/>
    <w:p w14:paraId="7A30F8B4" w14:textId="77777777" w:rsidR="006E50FF" w:rsidRPr="006E50FF" w:rsidRDefault="006E50FF" w:rsidP="006E50FF">
      <w:pPr>
        <w:keepNext/>
        <w:jc w:val="center"/>
        <w:rPr>
          <w:b/>
          <w:kern w:val="28"/>
        </w:rPr>
      </w:pPr>
      <w:r w:rsidRPr="006E50FF">
        <w:rPr>
          <w:b/>
          <w:kern w:val="28"/>
        </w:rPr>
        <w:t>Title 43</w:t>
      </w:r>
    </w:p>
    <w:p w14:paraId="43C21018" w14:textId="77777777" w:rsidR="006E50FF" w:rsidRPr="006E50FF" w:rsidRDefault="006E50FF" w:rsidP="006E50FF">
      <w:pPr>
        <w:keepNext/>
        <w:jc w:val="center"/>
        <w:rPr>
          <w:b/>
          <w:kern w:val="28"/>
        </w:rPr>
      </w:pPr>
      <w:r w:rsidRPr="006E50FF">
        <w:rPr>
          <w:b/>
          <w:kern w:val="28"/>
        </w:rPr>
        <w:t>NATURAL RESOURCES</w:t>
      </w:r>
    </w:p>
    <w:p w14:paraId="06F0488E" w14:textId="77777777" w:rsidR="006E50FF" w:rsidRPr="006E50FF" w:rsidRDefault="006E50FF" w:rsidP="006E50FF">
      <w:pPr>
        <w:keepNext/>
        <w:jc w:val="center"/>
        <w:rPr>
          <w:b/>
          <w:noProof/>
        </w:rPr>
      </w:pPr>
      <w:bookmarkStart w:id="184" w:name="TOC_Part7"/>
      <w:bookmarkStart w:id="185" w:name="_Toc187488205"/>
      <w:bookmarkStart w:id="186" w:name="_Toc138773896"/>
      <w:r w:rsidRPr="006E50FF">
        <w:rPr>
          <w:b/>
          <w:noProof/>
        </w:rPr>
        <w:t xml:space="preserve">Part XI.  Office of Conservation―Pipeline Division </w:t>
      </w:r>
      <w:bookmarkEnd w:id="184"/>
      <w:bookmarkEnd w:id="185"/>
      <w:bookmarkEnd w:id="186"/>
    </w:p>
    <w:p w14:paraId="4B1C2F46" w14:textId="77777777" w:rsidR="006E50FF" w:rsidRPr="006E50FF" w:rsidRDefault="006E50FF" w:rsidP="006E50FF">
      <w:pPr>
        <w:keepNext/>
        <w:jc w:val="center"/>
        <w:rPr>
          <w:b/>
          <w:noProof/>
        </w:rPr>
      </w:pPr>
      <w:r w:rsidRPr="006E50FF">
        <w:rPr>
          <w:b/>
          <w:noProof/>
        </w:rPr>
        <w:t>Subpart 6.  Damage Prevention</w:t>
      </w:r>
      <w:bookmarkEnd w:id="183"/>
    </w:p>
    <w:p w14:paraId="134E796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bookmarkStart w:id="187" w:name="_Toc216941961"/>
      <w:bookmarkStart w:id="188" w:name="_Toc46827763"/>
      <w:bookmarkStart w:id="189" w:name="_Toc46827761"/>
      <w:r w:rsidRPr="006E50FF">
        <w:rPr>
          <w:rFonts w:eastAsia="Calibri"/>
          <w:b/>
          <w:kern w:val="2"/>
        </w:rPr>
        <w:t>Chapter 61.</w:t>
      </w:r>
      <w:r w:rsidRPr="006E50FF">
        <w:rPr>
          <w:rFonts w:eastAsia="Calibri"/>
          <w:b/>
          <w:kern w:val="2"/>
        </w:rPr>
        <w:tab/>
        <w:t>Notifications</w:t>
      </w:r>
      <w:bookmarkEnd w:id="187"/>
    </w:p>
    <w:p w14:paraId="4494509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190" w:name="_Toc216941962"/>
      <w:r w:rsidRPr="006E50FF">
        <w:rPr>
          <w:rFonts w:eastAsia="Calibri"/>
          <w:b/>
          <w:kern w:val="2"/>
        </w:rPr>
        <w:t>§6101.</w:t>
      </w:r>
      <w:r w:rsidRPr="006E50FF">
        <w:rPr>
          <w:rFonts w:eastAsia="Calibri"/>
          <w:b/>
          <w:kern w:val="2"/>
        </w:rPr>
        <w:tab/>
        <w:t>Excavation and Demolition; Prohibitions</w:t>
      </w:r>
      <w:bookmarkEnd w:id="188"/>
      <w:r w:rsidRPr="006E50FF">
        <w:rPr>
          <w:rFonts w:eastAsia="Calibri"/>
          <w:b/>
          <w:kern w:val="2"/>
        </w:rPr>
        <w:br/>
        <w:t>(Formerly §2705</w:t>
      </w:r>
      <w:bookmarkEnd w:id="190"/>
      <w:r w:rsidRPr="006E50FF">
        <w:rPr>
          <w:rFonts w:eastAsia="Calibri"/>
          <w:b/>
          <w:kern w:val="2"/>
        </w:rPr>
        <w:t>)</w:t>
      </w:r>
    </w:p>
    <w:p w14:paraId="08E57BF8" w14:textId="77777777" w:rsidR="006E50FF" w:rsidRPr="006E50FF" w:rsidRDefault="006E50FF" w:rsidP="006E50FF">
      <w:pPr>
        <w:tabs>
          <w:tab w:val="left" w:pos="144"/>
          <w:tab w:val="left" w:pos="187"/>
          <w:tab w:val="left" w:pos="540"/>
          <w:tab w:val="left" w:pos="990"/>
          <w:tab w:val="left" w:pos="1080"/>
        </w:tabs>
        <w:ind w:firstLine="187"/>
        <w:jc w:val="both"/>
        <w:outlineLvl w:val="3"/>
        <w:rPr>
          <w:rFonts w:eastAsia="Calibri"/>
          <w:kern w:val="2"/>
        </w:rPr>
      </w:pPr>
      <w:r w:rsidRPr="006E50FF">
        <w:rPr>
          <w:rFonts w:eastAsia="Calibri"/>
          <w:kern w:val="2"/>
        </w:rPr>
        <w:t>A. - B.4.</w:t>
      </w:r>
      <w:r w:rsidRPr="006E50FF">
        <w:rPr>
          <w:rFonts w:eastAsia="Calibri"/>
          <w:kern w:val="2"/>
        </w:rPr>
        <w:tab/>
        <w:t>…</w:t>
      </w:r>
    </w:p>
    <w:p w14:paraId="66D17FE8"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kern w:val="2"/>
        </w:rPr>
        <w:t>5.</w:t>
      </w:r>
      <w:r w:rsidRPr="006E50FF">
        <w:rPr>
          <w:kern w:val="2"/>
        </w:rPr>
        <w:tab/>
        <w:t xml:space="preserve">At least one person on any underground or submerged excavation or demolition site shall have proof of completion of the training and education provided by the Regional Notification Center. Training is required on an </w:t>
      </w:r>
      <w:r w:rsidRPr="006E50FF">
        <w:rPr>
          <w:kern w:val="2"/>
        </w:rPr>
        <w:t>annual basis through the Regional Notification Center. Excavators or demolishers engaged in logging operations, or those who have been certified by an operator qualification program subject to Title 49, CFR Part 192 or Part 195 shall be exempt from this requirement.</w:t>
      </w:r>
    </w:p>
    <w:p w14:paraId="0E24C492" w14:textId="77777777" w:rsidR="006E50FF" w:rsidRPr="006E50FF" w:rsidRDefault="006E50FF" w:rsidP="006E50FF">
      <w:pPr>
        <w:tabs>
          <w:tab w:val="left" w:pos="144"/>
          <w:tab w:val="left" w:pos="187"/>
          <w:tab w:val="left" w:pos="540"/>
          <w:tab w:val="left" w:pos="990"/>
          <w:tab w:val="left" w:pos="1080"/>
        </w:tabs>
        <w:ind w:firstLine="187"/>
        <w:jc w:val="both"/>
        <w:outlineLvl w:val="3"/>
        <w:rPr>
          <w:rFonts w:eastAsia="Calibri"/>
          <w:kern w:val="2"/>
        </w:rPr>
      </w:pPr>
      <w:r w:rsidRPr="006E50FF">
        <w:rPr>
          <w:rFonts w:eastAsia="Calibri"/>
          <w:kern w:val="2"/>
        </w:rPr>
        <w:t>C. - E.6.</w:t>
      </w:r>
      <w:r w:rsidRPr="006E50FF">
        <w:rPr>
          <w:rFonts w:eastAsia="Calibri"/>
          <w:kern w:val="2"/>
        </w:rPr>
        <w:tab/>
        <w:t>…</w:t>
      </w:r>
    </w:p>
    <w:p w14:paraId="3395CDF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rFonts w:eastAsia="Calibri"/>
          <w:kern w:val="2"/>
          <w:sz w:val="18"/>
        </w:rPr>
        <w:t>AUTHORITY NOTE:</w:t>
      </w:r>
      <w:r w:rsidRPr="006E50FF">
        <w:rPr>
          <w:rFonts w:eastAsia="Calibri"/>
          <w:kern w:val="2"/>
          <w:sz w:val="18"/>
        </w:rPr>
        <w:tab/>
        <w:t>Promulgated in accordance with 40:1749.27.</w:t>
      </w:r>
    </w:p>
    <w:p w14:paraId="150C18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rFonts w:eastAsia="Calibri"/>
          <w:kern w:val="2"/>
          <w:sz w:val="18"/>
        </w:rPr>
        <w:t>HISTORICAL NOTE:</w:t>
      </w:r>
      <w:r w:rsidRPr="006E50FF">
        <w:rPr>
          <w:rFonts w:eastAsia="Calibri"/>
          <w:kern w:val="2"/>
          <w:sz w:val="18"/>
        </w:rPr>
        <w:tab/>
        <w:t>Promulgated by the Department of Natural Resources, Office of Conservation, LR 46:955 (July 2020), repromulgated LR 49:327 (February 2023),</w:t>
      </w:r>
      <w:r w:rsidRPr="006E50FF">
        <w:rPr>
          <w:rFonts w:eastAsia="Calibri"/>
        </w:rPr>
        <w:t xml:space="preserve"> </w:t>
      </w:r>
      <w:r w:rsidRPr="006E50FF">
        <w:rPr>
          <w:rFonts w:eastAsia="Calibri"/>
          <w:kern w:val="2"/>
          <w:sz w:val="18"/>
        </w:rPr>
        <w:t xml:space="preserve">amended LR 49:908 (May 2023), </w:t>
      </w:r>
      <w:r w:rsidRPr="006E50FF">
        <w:rPr>
          <w:kern w:val="2"/>
          <w:sz w:val="18"/>
        </w:rPr>
        <w:t>amended by the Department of Conservation and Energy, LR 51:2033 (December 2025), LR 52:</w:t>
      </w:r>
    </w:p>
    <w:p w14:paraId="0C08A28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bookmarkStart w:id="191" w:name="_Toc216941964"/>
      <w:bookmarkStart w:id="192" w:name="_Toc46827764"/>
      <w:bookmarkEnd w:id="189"/>
      <w:r w:rsidRPr="006E50FF">
        <w:rPr>
          <w:rFonts w:eastAsia="Calibri"/>
          <w:b/>
          <w:kern w:val="2"/>
        </w:rPr>
        <w:t>Chapter 63.</w:t>
      </w:r>
      <w:r w:rsidRPr="006E50FF">
        <w:rPr>
          <w:rFonts w:eastAsia="Calibri"/>
          <w:b/>
          <w:kern w:val="2"/>
        </w:rPr>
        <w:tab/>
        <w:t>Markings</w:t>
      </w:r>
      <w:bookmarkEnd w:id="191"/>
    </w:p>
    <w:p w14:paraId="425024F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193" w:name="_Toc216941965"/>
      <w:bookmarkEnd w:id="192"/>
      <w:r w:rsidRPr="006E50FF">
        <w:rPr>
          <w:rFonts w:eastAsia="Calibri"/>
          <w:b/>
          <w:kern w:val="2"/>
        </w:rPr>
        <w:t>§6301.</w:t>
      </w:r>
      <w:r w:rsidRPr="006E50FF">
        <w:rPr>
          <w:rFonts w:eastAsia="Calibri"/>
          <w:b/>
          <w:kern w:val="2"/>
        </w:rPr>
        <w:tab/>
        <w:t>Requirements</w:t>
      </w:r>
      <w:r w:rsidRPr="006E50FF">
        <w:rPr>
          <w:rFonts w:eastAsia="Calibri"/>
          <w:b/>
          <w:kern w:val="2"/>
        </w:rPr>
        <w:br/>
        <w:t>(Formerly §2707</w:t>
      </w:r>
      <w:bookmarkEnd w:id="193"/>
      <w:r w:rsidRPr="006E50FF">
        <w:rPr>
          <w:rFonts w:eastAsia="Calibri"/>
          <w:b/>
          <w:kern w:val="2"/>
        </w:rPr>
        <w:t>)</w:t>
      </w:r>
    </w:p>
    <w:p w14:paraId="17A78867" w14:textId="77777777" w:rsidR="006E50FF" w:rsidRPr="006E50FF" w:rsidRDefault="006E50FF" w:rsidP="006E50FF">
      <w:pPr>
        <w:tabs>
          <w:tab w:val="left" w:pos="144"/>
          <w:tab w:val="left" w:pos="187"/>
          <w:tab w:val="left" w:pos="540"/>
          <w:tab w:val="left" w:pos="990"/>
          <w:tab w:val="left" w:pos="1080"/>
        </w:tabs>
        <w:ind w:firstLine="187"/>
        <w:jc w:val="both"/>
        <w:outlineLvl w:val="3"/>
        <w:rPr>
          <w:rFonts w:eastAsia="Calibri"/>
          <w:kern w:val="2"/>
        </w:rPr>
      </w:pPr>
      <w:r w:rsidRPr="006E50FF">
        <w:rPr>
          <w:rFonts w:eastAsia="Calibri"/>
          <w:kern w:val="2"/>
        </w:rPr>
        <w:t>A. - A.4.</w:t>
      </w:r>
      <w:r w:rsidRPr="006E50FF">
        <w:rPr>
          <w:rFonts w:eastAsia="Calibri"/>
          <w:kern w:val="2"/>
        </w:rPr>
        <w:tab/>
        <w:t>…</w:t>
      </w:r>
    </w:p>
    <w:p w14:paraId="11289B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pipeline operator shall provide a positive response through the regional notification center before expiration of the time allowed for markings. The response shall indicate whether the operator’s facilities are present and marked, not present, or that additional time is required.</w:t>
      </w:r>
    </w:p>
    <w:p w14:paraId="5DDDA869"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B.</w:t>
      </w:r>
      <w:r w:rsidRPr="006E50FF">
        <w:rPr>
          <w:kern w:val="2"/>
        </w:rPr>
        <w:tab/>
        <w:t>…</w:t>
      </w:r>
    </w:p>
    <w:p w14:paraId="1B92AB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40:1749.27.</w:t>
      </w:r>
    </w:p>
    <w:p w14:paraId="64CEC6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Natural Resources, Office of Conservation, LR 46:956 (July 2020), repromulgated LR 49:328 (February 2023), amended by the Department of Conservation and Energy, LR 51:2034 (December 2025), LR 52:</w:t>
      </w:r>
    </w:p>
    <w:p w14:paraId="6BA8EBD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bookmarkStart w:id="194" w:name="_Toc216941966"/>
      <w:bookmarkStart w:id="195" w:name="_Toc46827766"/>
      <w:r w:rsidRPr="006E50FF">
        <w:rPr>
          <w:rFonts w:eastAsia="Calibri"/>
          <w:b/>
          <w:kern w:val="2"/>
        </w:rPr>
        <w:t>Chapter 65.</w:t>
      </w:r>
      <w:r w:rsidRPr="006E50FF">
        <w:rPr>
          <w:rFonts w:eastAsia="Calibri"/>
          <w:b/>
          <w:kern w:val="2"/>
        </w:rPr>
        <w:tab/>
        <w:t>Excavation</w:t>
      </w:r>
      <w:bookmarkEnd w:id="194"/>
    </w:p>
    <w:p w14:paraId="4A6C36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196" w:name="_Toc46827767"/>
      <w:bookmarkStart w:id="197" w:name="_Toc216941968"/>
      <w:bookmarkEnd w:id="195"/>
      <w:r w:rsidRPr="006E50FF">
        <w:rPr>
          <w:rFonts w:eastAsia="Calibri"/>
          <w:b/>
          <w:kern w:val="2"/>
        </w:rPr>
        <w:t>§6503.</w:t>
      </w:r>
      <w:r w:rsidRPr="006E50FF">
        <w:rPr>
          <w:rFonts w:eastAsia="Calibri"/>
          <w:b/>
          <w:kern w:val="2"/>
        </w:rPr>
        <w:tab/>
        <w:t>Excavation or Demolition; Repair of Damage</w:t>
      </w:r>
      <w:bookmarkEnd w:id="196"/>
      <w:r w:rsidRPr="006E50FF">
        <w:rPr>
          <w:rFonts w:eastAsia="Calibri"/>
          <w:b/>
          <w:kern w:val="2"/>
        </w:rPr>
        <w:br/>
        <w:t>(Formerly §2713</w:t>
      </w:r>
      <w:bookmarkEnd w:id="197"/>
      <w:r w:rsidRPr="006E50FF">
        <w:rPr>
          <w:rFonts w:eastAsia="Calibri"/>
          <w:b/>
          <w:kern w:val="2"/>
        </w:rPr>
        <w:t>)</w:t>
      </w:r>
    </w:p>
    <w:p w14:paraId="3470CAB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w:t>
      </w:r>
      <w:r w:rsidRPr="006E50FF">
        <w:rPr>
          <w:rFonts w:eastAsia="Calibri"/>
          <w:kern w:val="2"/>
        </w:rPr>
        <w:tab/>
        <w:t>Each person responsible for any excavation or demolition operations which result in any damage to an underground pipeline shall, immediately upon discovery of that damage, notify the owner or operator of the pipeline and the regional notification center of the location and nature of the damage and shall allow the owner or operator reasonable time to accomplish necessary repairs before continuing the excavation, demolition, or back filling in the immediate area of damage.</w:t>
      </w:r>
    </w:p>
    <w:p w14:paraId="661E980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B. - D.</w:t>
      </w:r>
      <w:r w:rsidRPr="006E50FF">
        <w:rPr>
          <w:rFonts w:eastAsia="Calibri"/>
          <w:kern w:val="2"/>
        </w:rPr>
        <w:tab/>
        <w:t>…</w:t>
      </w:r>
    </w:p>
    <w:p w14:paraId="3EBAA5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40:1749.27.</w:t>
      </w:r>
    </w:p>
    <w:p w14:paraId="1975777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Natural Resources, Office of Conservation, LR 46:957 (July 2020), repromulgated LR 49:329 (February 2023), amended by the Department of Conservation and Energy, LR 51:2035 (December 2025), LR 52:</w:t>
      </w:r>
    </w:p>
    <w:p w14:paraId="4A75CDDA" w14:textId="77777777" w:rsidR="006E50FF" w:rsidRPr="006E50FF" w:rsidRDefault="006E50FF" w:rsidP="006E50FF">
      <w:pPr>
        <w:keepNext/>
        <w:jc w:val="center"/>
        <w:rPr>
          <w:b/>
          <w:kern w:val="28"/>
        </w:rPr>
      </w:pPr>
      <w:r w:rsidRPr="006E50FF">
        <w:rPr>
          <w:b/>
          <w:kern w:val="28"/>
        </w:rPr>
        <w:t>Family Impact Statement</w:t>
      </w:r>
    </w:p>
    <w:p w14:paraId="2466FD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family formation, stability, and autonomy as described in R.S. 49:972.</w:t>
      </w:r>
    </w:p>
    <w:p w14:paraId="1E0712A0" w14:textId="77777777" w:rsidR="006E50FF" w:rsidRPr="006E50FF" w:rsidRDefault="006E50FF" w:rsidP="006E50FF">
      <w:pPr>
        <w:keepNext/>
        <w:jc w:val="center"/>
        <w:rPr>
          <w:b/>
          <w:kern w:val="28"/>
        </w:rPr>
      </w:pPr>
      <w:r w:rsidRPr="006E50FF">
        <w:rPr>
          <w:b/>
          <w:kern w:val="28"/>
        </w:rPr>
        <w:t>Poverty Impact Statement</w:t>
      </w:r>
    </w:p>
    <w:p w14:paraId="106246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poverty as described in R.S. 49:973.</w:t>
      </w:r>
    </w:p>
    <w:p w14:paraId="25322724" w14:textId="77777777" w:rsidR="006E50FF" w:rsidRPr="006E50FF" w:rsidRDefault="006E50FF" w:rsidP="006E50FF">
      <w:pPr>
        <w:keepNext/>
        <w:jc w:val="center"/>
        <w:rPr>
          <w:b/>
          <w:kern w:val="28"/>
        </w:rPr>
      </w:pPr>
      <w:r w:rsidRPr="006E50FF">
        <w:rPr>
          <w:b/>
          <w:kern w:val="28"/>
        </w:rPr>
        <w:t>Small Business Analysis</w:t>
      </w:r>
    </w:p>
    <w:p w14:paraId="101463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small businesses as described in R.S. 49:965.6.</w:t>
      </w:r>
    </w:p>
    <w:p w14:paraId="7930598D" w14:textId="77777777" w:rsidR="006E50FF" w:rsidRPr="006E50FF" w:rsidRDefault="006E50FF" w:rsidP="006E50FF">
      <w:pPr>
        <w:keepNext/>
        <w:jc w:val="center"/>
        <w:rPr>
          <w:b/>
          <w:kern w:val="28"/>
        </w:rPr>
      </w:pPr>
      <w:r w:rsidRPr="006E50FF">
        <w:rPr>
          <w:b/>
          <w:kern w:val="28"/>
        </w:rPr>
        <w:t>Provider Impact Statement</w:t>
      </w:r>
    </w:p>
    <w:p w14:paraId="4EE865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447C0325" w14:textId="77777777" w:rsidR="006E50FF" w:rsidRPr="006E50FF" w:rsidRDefault="006E50FF" w:rsidP="006E50FF">
      <w:pPr>
        <w:keepNext/>
        <w:jc w:val="center"/>
        <w:rPr>
          <w:b/>
          <w:kern w:val="28"/>
        </w:rPr>
      </w:pPr>
      <w:r w:rsidRPr="006E50FF">
        <w:rPr>
          <w:b/>
          <w:kern w:val="28"/>
        </w:rPr>
        <w:lastRenderedPageBreak/>
        <w:t>Public Comments</w:t>
      </w:r>
    </w:p>
    <w:p w14:paraId="649174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parties will be afforded the opportunity to submit data, views, or arguments, in writing. Written comments will be accepted by hand delivery, USPS or Fed Ex, until 4 p.m., October 21, 2026, at Department of Conservation and Energy, P.O. Box 94275, Baton Rouge, LA 70804-9275; or Office of Conservation, Pipeline Division, 617 North Third Street, Room 931, Baton Rouge, LA 70802. All inquiries should be directed to Michael Peikert at the above addresses or by phone to (225) 219-3799. </w:t>
      </w:r>
    </w:p>
    <w:p w14:paraId="3B3754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4C08272" w14:textId="77777777" w:rsidR="006E50FF" w:rsidRPr="006E50FF" w:rsidRDefault="006E50FF" w:rsidP="006E50FF">
      <w:pPr>
        <w:keepNext/>
        <w:ind w:left="2160"/>
        <w:jc w:val="both"/>
      </w:pPr>
      <w:r w:rsidRPr="006E50FF">
        <w:t>Dustin Davidson</w:t>
      </w:r>
    </w:p>
    <w:p w14:paraId="78594486" w14:textId="77777777" w:rsidR="006E50FF" w:rsidRPr="006E50FF" w:rsidRDefault="006E50FF" w:rsidP="006E50FF">
      <w:pPr>
        <w:keepNext/>
        <w:ind w:left="2160"/>
        <w:jc w:val="both"/>
      </w:pPr>
      <w:r w:rsidRPr="006E50FF">
        <w:t>Secretary</w:t>
      </w:r>
    </w:p>
    <w:p w14:paraId="13A6C537" w14:textId="77777777" w:rsidR="006E50FF" w:rsidRPr="006E50FF" w:rsidRDefault="006E50FF" w:rsidP="006E50FF">
      <w:pPr>
        <w:keepNext/>
        <w:jc w:val="center"/>
        <w:rPr>
          <w:b/>
        </w:rPr>
      </w:pPr>
    </w:p>
    <w:p w14:paraId="7FE87E42" w14:textId="77777777" w:rsidR="006E50FF" w:rsidRPr="006E50FF" w:rsidRDefault="006E50FF" w:rsidP="006E50FF">
      <w:pPr>
        <w:keepNext/>
        <w:jc w:val="center"/>
        <w:rPr>
          <w:b/>
        </w:rPr>
      </w:pPr>
      <w:r w:rsidRPr="006E50FF">
        <w:rPr>
          <w:b/>
        </w:rPr>
        <w:t>FISCAL AND ECONOMIC IMPACT STATEMENT FOR ADMINISTRATIVE RULES</w:t>
      </w:r>
    </w:p>
    <w:p w14:paraId="15409B6C" w14:textId="77777777" w:rsidR="006E50FF" w:rsidRPr="006E50FF" w:rsidRDefault="006E50FF" w:rsidP="006E50FF">
      <w:pPr>
        <w:keepNext/>
        <w:jc w:val="center"/>
        <w:rPr>
          <w:b/>
          <w:noProof/>
        </w:rPr>
      </w:pPr>
      <w:r w:rsidRPr="006E50FF">
        <w:rPr>
          <w:b/>
          <w:noProof/>
        </w:rPr>
        <w:t>RULE TITLE:  Damage Prevention</w:t>
      </w:r>
    </w:p>
    <w:p w14:paraId="6A97320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5666446"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4219A57" w14:textId="77777777" w:rsidR="006E50FF" w:rsidRPr="006E50FF" w:rsidRDefault="006E50FF" w:rsidP="006E50FF">
      <w:pPr>
        <w:ind w:left="288" w:firstLine="288"/>
        <w:jc w:val="both"/>
        <w:rPr>
          <w:sz w:val="18"/>
        </w:rPr>
      </w:pPr>
      <w:r w:rsidRPr="006E50FF">
        <w:rPr>
          <w:sz w:val="18"/>
        </w:rPr>
        <w:t>There are no anticipated implementation costs or savings to state or local governmental units due to the proposed rule changes. The proposed rule changes amend the Damage Prevention section of the Pipeline Safety Code by adding logging operations to the types of excavators or demolishers exempt from required training and education provided by the regional notification center and adding the regional notification center to the entities who are required to be notified of damages to underground facilities or utilities by persons responsible for excavation or demolition activities. The proposed rule change also requires facility operators to provide a “positive response” to the regional notification center before the expiration of the time allowed for marking.</w:t>
      </w:r>
    </w:p>
    <w:p w14:paraId="182AA4F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7077BC3" w14:textId="77777777" w:rsidR="006E50FF" w:rsidRPr="006E50FF" w:rsidRDefault="006E50FF" w:rsidP="006E50FF">
      <w:pPr>
        <w:ind w:left="288" w:firstLine="288"/>
        <w:jc w:val="both"/>
        <w:rPr>
          <w:sz w:val="18"/>
        </w:rPr>
      </w:pPr>
      <w:r w:rsidRPr="006E50FF">
        <w:rPr>
          <w:sz w:val="18"/>
        </w:rPr>
        <w:t>The proposed rule changes are not anticipated to have any effect on revenue collections of state and local government units. The proposed rule changes do not impose any new fees or change existing fees.</w:t>
      </w:r>
    </w:p>
    <w:p w14:paraId="3523AE2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4DBC3A3" w14:textId="77777777" w:rsidR="006E50FF" w:rsidRPr="006E50FF" w:rsidRDefault="006E50FF" w:rsidP="006E50FF">
      <w:pPr>
        <w:ind w:left="288" w:firstLine="288"/>
        <w:jc w:val="both"/>
        <w:rPr>
          <w:sz w:val="18"/>
        </w:rPr>
      </w:pPr>
      <w:r w:rsidRPr="006E50FF">
        <w:rPr>
          <w:sz w:val="18"/>
        </w:rPr>
        <w:t>There are no anticipated costs to DIRECTLY AFFECTED PERSONS, SMALL BUSINESSES, OR non-governmental groups. Operators and excavators are already required to comply with the Damage Prevention requirements of these regulations under LA RS 40:40:1749,11-27. Increased compliance may result in long term benefits to owners/operators in the form of reduced damages.</w:t>
      </w:r>
    </w:p>
    <w:p w14:paraId="6DED1F0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CCC2F14" w14:textId="77777777" w:rsidR="006E50FF" w:rsidRPr="006E50FF" w:rsidRDefault="006E50FF" w:rsidP="006E50FF">
      <w:pPr>
        <w:ind w:left="288" w:firstLine="288"/>
        <w:jc w:val="both"/>
        <w:rPr>
          <w:sz w:val="18"/>
        </w:rPr>
      </w:pPr>
      <w:r w:rsidRPr="006E50FF">
        <w:rPr>
          <w:sz w:val="18"/>
        </w:rPr>
        <w:t>The proposed rule changes are not anticipated to have any effect on competition and employment.</w:t>
      </w:r>
    </w:p>
    <w:p w14:paraId="0036DC86" w14:textId="77777777" w:rsidR="006E50FF" w:rsidRPr="006E50FF" w:rsidRDefault="006E50FF" w:rsidP="006E50FF">
      <w:pPr>
        <w:ind w:left="288" w:firstLine="288"/>
        <w:jc w:val="both"/>
        <w:rPr>
          <w:sz w:val="18"/>
        </w:rPr>
      </w:pPr>
    </w:p>
    <w:p w14:paraId="53B6B461" w14:textId="77777777" w:rsidR="006E50FF" w:rsidRPr="006E50FF" w:rsidRDefault="006E50FF" w:rsidP="006E50FF">
      <w:pPr>
        <w:tabs>
          <w:tab w:val="left" w:pos="2700"/>
          <w:tab w:val="left" w:pos="2880"/>
          <w:tab w:val="decimal" w:pos="2988"/>
        </w:tabs>
        <w:outlineLvl w:val="8"/>
        <w:rPr>
          <w:kern w:val="2"/>
          <w:sz w:val="18"/>
        </w:rPr>
      </w:pPr>
      <w:r w:rsidRPr="006E50FF">
        <w:rPr>
          <w:kern w:val="2"/>
          <w:sz w:val="18"/>
        </w:rPr>
        <w:t>Manny Acosta</w:t>
      </w:r>
      <w:r w:rsidRPr="006E50FF">
        <w:rPr>
          <w:kern w:val="2"/>
          <w:sz w:val="18"/>
        </w:rPr>
        <w:tab/>
        <w:t>Alan M. Boxberger</w:t>
      </w:r>
    </w:p>
    <w:p w14:paraId="2332D3D2" w14:textId="77777777" w:rsidR="006E50FF" w:rsidRPr="006E50FF" w:rsidRDefault="006E50FF" w:rsidP="006E50FF">
      <w:pPr>
        <w:tabs>
          <w:tab w:val="left" w:pos="2700"/>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6FF4D456" w14:textId="77777777" w:rsidR="006E50FF" w:rsidRPr="006E50FF" w:rsidRDefault="006E50FF" w:rsidP="006E50FF">
      <w:pPr>
        <w:tabs>
          <w:tab w:val="left" w:pos="2700"/>
          <w:tab w:val="left" w:pos="2880"/>
          <w:tab w:val="decimal" w:pos="2988"/>
        </w:tabs>
        <w:outlineLvl w:val="8"/>
        <w:rPr>
          <w:kern w:val="2"/>
          <w:sz w:val="18"/>
        </w:rPr>
      </w:pPr>
      <w:r w:rsidRPr="006E50FF">
        <w:rPr>
          <w:noProof/>
          <w:sz w:val="16"/>
        </w:rPr>
        <w:t>2609#009</w:t>
      </w:r>
      <w:r w:rsidRPr="006E50FF">
        <w:rPr>
          <w:kern w:val="2"/>
        </w:rPr>
        <w:tab/>
      </w:r>
      <w:r w:rsidRPr="006E50FF">
        <w:rPr>
          <w:kern w:val="2"/>
          <w:sz w:val="18"/>
        </w:rPr>
        <w:t>Legislative Fiscal Office</w:t>
      </w:r>
    </w:p>
    <w:p w14:paraId="1E82D829" w14:textId="77777777" w:rsidR="006E50FF" w:rsidRPr="006E50FF" w:rsidRDefault="006E50FF" w:rsidP="006E50FF"/>
    <w:p w14:paraId="1CAB6C8C"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776FED8E" w14:textId="77777777" w:rsidR="006E50FF" w:rsidRPr="006E50FF" w:rsidRDefault="006E50FF" w:rsidP="006E50FF">
      <w:pPr>
        <w:keepNext/>
        <w:jc w:val="center"/>
        <w:rPr>
          <w:b/>
          <w:noProof/>
        </w:rPr>
      </w:pPr>
      <w:r w:rsidRPr="006E50FF">
        <w:rPr>
          <w:b/>
          <w:noProof/>
        </w:rPr>
        <w:t>Department of Conservation and Energy</w:t>
      </w:r>
    </w:p>
    <w:p w14:paraId="1BF9515B" w14:textId="77777777" w:rsidR="006E50FF" w:rsidRPr="006E50FF" w:rsidRDefault="006E50FF" w:rsidP="006E50FF">
      <w:pPr>
        <w:keepNext/>
        <w:jc w:val="center"/>
        <w:rPr>
          <w:b/>
          <w:noProof/>
        </w:rPr>
      </w:pPr>
      <w:r w:rsidRPr="006E50FF">
        <w:rPr>
          <w:b/>
          <w:noProof/>
        </w:rPr>
        <w:t>Office of the Secretary</w:t>
      </w:r>
    </w:p>
    <w:p w14:paraId="46B2D1C5" w14:textId="77777777" w:rsidR="006E50FF" w:rsidRPr="006E50FF" w:rsidRDefault="006E50FF" w:rsidP="006E50FF">
      <w:pPr>
        <w:keepNext/>
        <w:spacing w:before="240" w:after="240"/>
        <w:jc w:val="center"/>
        <w:rPr>
          <w:noProof/>
        </w:rPr>
      </w:pPr>
      <w:r w:rsidRPr="006E50FF">
        <w:rPr>
          <w:noProof/>
        </w:rPr>
        <w:t>Financial Security for Oil and Gas Wells</w:t>
      </w:r>
      <w:r w:rsidRPr="006E50FF">
        <w:rPr>
          <w:noProof/>
        </w:rPr>
        <w:br/>
        <w:t>(LAC 43:XIX.101 and 104)</w:t>
      </w:r>
    </w:p>
    <w:p w14:paraId="552657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Under the authority of R.S. 30:4, 30:4.3, 30:21.1, 36:353, and 36:356.1, and in accordance with the Administrative Procedure Act, R.S. 49:950 et seq., the Secretary of the Department of Conservation and Energy gives notice that rulemaking procedures have been initiated to amend LAC 43:XIX.101 and 104 concerning financial security for oil and gas wells.</w:t>
      </w:r>
    </w:p>
    <w:p w14:paraId="3B05CF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carries forward the substance of the Emergency Rule effective July 21, 2026 by defining “Regulated Financial Institution,” updating department and officer terminology, and authorizing a written certification issued by the Louisiana Natural Resources Trust Authority as an additional means of satisfying financial-security requirements. </w:t>
      </w:r>
    </w:p>
    <w:p w14:paraId="68FC9B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basis and rationale for the proposed Rule are the department’s continuing need to ensure that oil and gas wells are backed by adequate financial security for plugging and site restoration while providing workable mechanisms for operators to demonstrate compliance. The department has observed a significant increase in wells lacking compliant financial security, reduced availability and affordability of traditional private-market instruments, the end of the former LORA financial-security program, and a historically high orphan-well inventory. The department seeks to implement the financial-security mechanism authorized for the Natural Resources Trust Authority by R.S. 36:356.1 and to respond to Legislative Auditor findings concerning institutions issuing financial-security instruments. </w:t>
      </w:r>
    </w:p>
    <w:p w14:paraId="3DF1E8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finds that the intended action complies with the statutory law it administers, including R.S. 30:4, 30:4.3, and 30:21.1, and with R.S. 36:353 and 36:356.1.</w:t>
      </w:r>
    </w:p>
    <w:p w14:paraId="04773F10" w14:textId="77777777" w:rsidR="006E50FF" w:rsidRPr="006E50FF" w:rsidRDefault="006E50FF" w:rsidP="006E50FF">
      <w:pPr>
        <w:keepNext/>
        <w:jc w:val="center"/>
        <w:rPr>
          <w:b/>
          <w:kern w:val="28"/>
        </w:rPr>
      </w:pPr>
      <w:r w:rsidRPr="006E50FF">
        <w:rPr>
          <w:b/>
          <w:kern w:val="28"/>
        </w:rPr>
        <w:t>Title 43</w:t>
      </w:r>
    </w:p>
    <w:p w14:paraId="6DBB0DF8" w14:textId="77777777" w:rsidR="006E50FF" w:rsidRPr="006E50FF" w:rsidRDefault="006E50FF" w:rsidP="006E50FF">
      <w:pPr>
        <w:keepNext/>
        <w:jc w:val="center"/>
        <w:rPr>
          <w:b/>
          <w:kern w:val="28"/>
        </w:rPr>
      </w:pPr>
      <w:r w:rsidRPr="006E50FF">
        <w:rPr>
          <w:b/>
          <w:kern w:val="28"/>
        </w:rPr>
        <w:t>NATURAL RESOURCES</w:t>
      </w:r>
    </w:p>
    <w:p w14:paraId="3C13D609" w14:textId="77777777" w:rsidR="006E50FF" w:rsidRPr="006E50FF" w:rsidRDefault="006E50FF" w:rsidP="006E50FF">
      <w:pPr>
        <w:keepNext/>
        <w:jc w:val="center"/>
        <w:rPr>
          <w:b/>
          <w:noProof/>
        </w:rPr>
      </w:pPr>
      <w:r w:rsidRPr="006E50FF">
        <w:rPr>
          <w:b/>
          <w:noProof/>
        </w:rPr>
        <w:t>Part XIX.  Office of Conservation—General Operations</w:t>
      </w:r>
    </w:p>
    <w:p w14:paraId="6006E352" w14:textId="77777777" w:rsidR="006E50FF" w:rsidRPr="006E50FF" w:rsidRDefault="006E50FF" w:rsidP="006E50FF">
      <w:pPr>
        <w:keepNext/>
        <w:jc w:val="center"/>
        <w:rPr>
          <w:b/>
          <w:noProof/>
        </w:rPr>
      </w:pPr>
      <w:r w:rsidRPr="006E50FF">
        <w:rPr>
          <w:b/>
          <w:noProof/>
        </w:rPr>
        <w:t>Subpart 1.  Statewide Order No. 29-B</w:t>
      </w:r>
    </w:p>
    <w:p w14:paraId="034BA8A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General Provisions</w:t>
      </w:r>
    </w:p>
    <w:p w14:paraId="08916BF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w:t>
      </w:r>
      <w:r w:rsidRPr="006E50FF">
        <w:rPr>
          <w:b/>
          <w:kern w:val="2"/>
        </w:rPr>
        <w:tab/>
        <w:t>Definitions</w:t>
      </w:r>
    </w:p>
    <w:p w14:paraId="4DE82B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Unless the context otherwise requires, the words defined in this Section shall have the following meanings when found in this order.</w:t>
      </w:r>
    </w:p>
    <w:p w14:paraId="5EE6B5A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3D3C16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Commissioner</w:t>
      </w:r>
      <w:r w:rsidRPr="006E50FF">
        <w:rPr>
          <w:kern w:val="2"/>
        </w:rPr>
        <w:t>—the secretary of the department.</w:t>
      </w:r>
    </w:p>
    <w:p w14:paraId="7DB052C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Department</w:t>
      </w:r>
      <w:r w:rsidRPr="006E50FF">
        <w:rPr>
          <w:kern w:val="2"/>
        </w:rPr>
        <w:t>—the Department of Conservation and Energy.</w:t>
      </w:r>
    </w:p>
    <w:p w14:paraId="70658B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2A06999" w14:textId="77777777" w:rsidR="006E50FF" w:rsidRPr="006E50FF" w:rsidRDefault="006E50FF" w:rsidP="006E50FF">
      <w:pPr>
        <w:tabs>
          <w:tab w:val="left" w:pos="720"/>
          <w:tab w:val="left" w:pos="979"/>
          <w:tab w:val="left" w:pos="1152"/>
        </w:tabs>
        <w:ind w:firstLine="360"/>
        <w:jc w:val="both"/>
        <w:outlineLvl w:val="4"/>
        <w:rPr>
          <w:i/>
          <w:iCs/>
          <w:kern w:val="2"/>
        </w:rPr>
      </w:pPr>
      <w:r w:rsidRPr="006E50FF">
        <w:rPr>
          <w:i/>
          <w:iCs/>
          <w:kern w:val="2"/>
        </w:rPr>
        <w:br w:type="page"/>
      </w:r>
    </w:p>
    <w:p w14:paraId="5EFFBAF8"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lastRenderedPageBreak/>
        <w:t>Regulated Financial Institution</w:t>
      </w:r>
      <w:r w:rsidRPr="006E50FF">
        <w:rPr>
          <w:kern w:val="2"/>
        </w:rPr>
        <w:t>—state or national banks organized under the provisions of Chapter 3 of Title 6 of the Louisiana Revised Statutes and the National Banking Act (12 U.S.C. 1 et seq.); federal credit unions organized under the Federal Credit Union Act (12 U.S.C. 1751 et seq.); reinsurance companies recognized by the U.S. Department of the Treasury as admitted reinsurers; or surety companies or insurers listed on the U.S. Department of the Treasury’s list of approved sureties.</w:t>
      </w:r>
    </w:p>
    <w:p w14:paraId="13B492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30:4 et seq., R.S. 36:353, and R.S. 36:356.1.</w:t>
      </w:r>
    </w:p>
    <w:p w14:paraId="115C00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Conservation (August 1943), amended by the Department of Natural Resources, Office of Conservation, LR 41:951 (May 2015), amended LR 52:</w:t>
      </w:r>
    </w:p>
    <w:p w14:paraId="1198EC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§104.</w:t>
      </w:r>
      <w:r w:rsidRPr="006E50FF">
        <w:rPr>
          <w:b/>
          <w:kern w:val="2"/>
        </w:rPr>
        <w:tab/>
        <w:t>Financial Security</w:t>
      </w:r>
    </w:p>
    <w:p w14:paraId="32A983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2C30D4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Compliance with this financial security requirement shall be provided by any of the following or a combination thereof:</w:t>
      </w:r>
    </w:p>
    <w:p w14:paraId="6867BF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certificate of deposit issued in sole favor of the Department of Conservation and Energy in a form prescribed by the Department from a Regulated Financial Institution acceptable to the Department. A certificate of deposit may not be withdrawn, canceled, rolled over, or amended in any manner without the approval of the Department; or</w:t>
      </w:r>
    </w:p>
    <w:p w14:paraId="6F1C51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performance bond in sole favor of the Department of Conservation and Energy in a form prescribed by the Department issued by a Regulated Financial Institution authorized to do business in the state of Louisiana; or</w:t>
      </w:r>
    </w:p>
    <w:p w14:paraId="2C6791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letter of credit in sole favor of the Department of Conservation and Energy in a form prescribed by the Department issued by a Regulated Financial Institution acceptable to the commissioner; or</w:t>
      </w:r>
    </w:p>
    <w:p w14:paraId="1C3A1B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site-specific trust account in accordance with R.S. 30:88 or 30:88.1; or</w:t>
      </w:r>
    </w:p>
    <w:p w14:paraId="7C31A2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written certification issued by the Louisiana Natural Resources Trust Authority confirming that the operator has satisfied the financial security requirements established by the Natural Resources Trust Authority pursuant to R.S. 36:356.1 and other applicable laws.</w:t>
      </w:r>
    </w:p>
    <w:p w14:paraId="173DA7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J.6.</w:t>
      </w:r>
      <w:r w:rsidRPr="006E50FF">
        <w:rPr>
          <w:kern w:val="2"/>
        </w:rPr>
        <w:tab/>
        <w:t>...</w:t>
      </w:r>
    </w:p>
    <w:p w14:paraId="3347D8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30:4 et seq., R.S. 36:356.1.</w:t>
      </w:r>
    </w:p>
    <w:p w14:paraId="6651B0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Natural Resources, Office of Conservation, LR 26:1306 (June 2000), amended LR 27:1917 (November 2001), LR 41:952 (May 2015), LR 43:535 (March 2017), LR 45:579 (April 2019), amended LR 52:</w:t>
      </w:r>
    </w:p>
    <w:p w14:paraId="66F11920" w14:textId="77777777" w:rsidR="006E50FF" w:rsidRPr="006E50FF" w:rsidRDefault="006E50FF" w:rsidP="006E50FF">
      <w:pPr>
        <w:keepNext/>
        <w:jc w:val="center"/>
        <w:rPr>
          <w:b/>
          <w:kern w:val="28"/>
        </w:rPr>
      </w:pPr>
      <w:r w:rsidRPr="006E50FF">
        <w:rPr>
          <w:b/>
          <w:kern w:val="28"/>
        </w:rPr>
        <w:t>Family Impact Statement</w:t>
      </w:r>
    </w:p>
    <w:p w14:paraId="4A5DD3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R.S. 49:972, the Department has considered the proposed Rule’s impact on family formation, stability, and autonomy. The proposed Rule is not anticipated to affect the stability of the family; the authority and rights of parents regarding the education and supervision of their children; the functioning of the family; family earnings or family budgets, except indirectly to the extent an individual or family owns or is employed by a regulated oil and gas operator; the behavior or personal responsibility of children; or the ability of a family or local government to perform any function contained in the proposed Rule. The proposed Rule regulates financial security for oil and gas operators and does not directly regulate family relationships or responsibilities.</w:t>
      </w:r>
    </w:p>
    <w:p w14:paraId="0C7EAE19" w14:textId="77777777" w:rsidR="006E50FF" w:rsidRPr="006E50FF" w:rsidRDefault="006E50FF" w:rsidP="006E50FF">
      <w:pPr>
        <w:keepNext/>
        <w:jc w:val="center"/>
        <w:rPr>
          <w:b/>
          <w:kern w:val="28"/>
        </w:rPr>
      </w:pPr>
      <w:r w:rsidRPr="006E50FF">
        <w:rPr>
          <w:b/>
          <w:kern w:val="28"/>
        </w:rPr>
        <w:t>Poverty Impact Statement</w:t>
      </w:r>
    </w:p>
    <w:p w14:paraId="72E9B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R.S. 49:973, the Department has considered the proposed Rule’s impact on child, individual, and family poverty in relation to individual or community asset development. The proposed Rule is not expected to have a direct impact on poverty, household assets, education, health, housing, transportation, food assistance, child care, or other poverty-related factors. Any indirect economic effects on owners or employees of regulated operators will be addressed in the Fiscal and Economic Impact Statement.</w:t>
      </w:r>
    </w:p>
    <w:p w14:paraId="0B6F8B0B" w14:textId="77777777" w:rsidR="006E50FF" w:rsidRPr="006E50FF" w:rsidRDefault="006E50FF" w:rsidP="006E50FF">
      <w:pPr>
        <w:keepNext/>
        <w:jc w:val="center"/>
        <w:rPr>
          <w:b/>
          <w:kern w:val="28"/>
        </w:rPr>
      </w:pPr>
      <w:r w:rsidRPr="006E50FF">
        <w:rPr>
          <w:b/>
          <w:kern w:val="28"/>
        </w:rPr>
        <w:t>Small Business Analysis</w:t>
      </w:r>
    </w:p>
    <w:p w14:paraId="5135E2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has considered the economic impact of the proposed Rule on small businesses as defined in R.S. 49:974.3. Some oil and gas operators subject to the proposed Rule may qualify as small businesses. The addition of the Natural Resources Trust Authority certification and the express authorization to combine or stack authorized instruments may provide additional compliance options and flexibility. At the same time, the revised multiple-well schedules increase required financial-security amounts for certain operators, including operators with 11–100 wells, offshore operators with 10 or fewer wells, and operators with more than 100 wells whose aggregate requirement will scale in 100-well increments. Accordingly, the proposed Rule may impose additional financial-security costs on some small businesses. The magnitude of those costs and any offsetting benefits will be stated in the Fiscal and Economic Impact Statement approved by the Legislative Fiscal Office.</w:t>
      </w:r>
    </w:p>
    <w:p w14:paraId="1B2E5B14" w14:textId="77777777" w:rsidR="006E50FF" w:rsidRPr="006E50FF" w:rsidRDefault="006E50FF" w:rsidP="006E50FF">
      <w:pPr>
        <w:keepNext/>
        <w:jc w:val="center"/>
        <w:rPr>
          <w:b/>
          <w:kern w:val="28"/>
        </w:rPr>
      </w:pPr>
      <w:r w:rsidRPr="006E50FF">
        <w:rPr>
          <w:b/>
          <w:kern w:val="28"/>
        </w:rPr>
        <w:t>Small Business Analysis</w:t>
      </w:r>
    </w:p>
    <w:p w14:paraId="5C68CA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R.S. 49:974.5, the Department considered regulatory methods that would accomplish the objectives of the applicable statutes while minimizing adverse impact on small businesses. The proposed Rule provides flexibility to small businesses by adding the Natural Resources Trust Authority certification as a financial security option. The approved economic impact statement determined that the proposed Rule will have no adverse impact on small businesses, and therefore the notice required by R.S. 49:974.5(B) to Louisiana Economic Development is not required before adoption.</w:t>
      </w:r>
    </w:p>
    <w:p w14:paraId="3B3C17EB" w14:textId="77777777" w:rsidR="006E50FF" w:rsidRPr="006E50FF" w:rsidRDefault="006E50FF" w:rsidP="006E50FF">
      <w:pPr>
        <w:keepNext/>
        <w:jc w:val="center"/>
        <w:rPr>
          <w:b/>
          <w:kern w:val="28"/>
        </w:rPr>
      </w:pPr>
      <w:r w:rsidRPr="006E50FF">
        <w:rPr>
          <w:b/>
          <w:kern w:val="28"/>
        </w:rPr>
        <w:t>Provider Impact Statement</w:t>
      </w:r>
    </w:p>
    <w:p w14:paraId="0B6E67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any known or foreseeable impact on providers as contemplated by HCR 170 of the 2014 Regular Session. In particular, the proposed Rule is not expected to affect provider staffing levels or qualifications, the cost to providers of providing the same level of service, or the ability of providers to provide the same level of service.</w:t>
      </w:r>
    </w:p>
    <w:p w14:paraId="258DAD0D" w14:textId="77777777" w:rsidR="006E50FF" w:rsidRPr="006E50FF" w:rsidRDefault="006E50FF" w:rsidP="006E50FF">
      <w:pPr>
        <w:keepNext/>
        <w:jc w:val="center"/>
        <w:rPr>
          <w:b/>
          <w:kern w:val="28"/>
        </w:rPr>
      </w:pPr>
      <w:r w:rsidRPr="006E50FF">
        <w:rPr>
          <w:b/>
          <w:kern w:val="28"/>
        </w:rPr>
        <w:t>Public Comments</w:t>
      </w:r>
    </w:p>
    <w:p w14:paraId="47348F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concerning the proposed Rule to Blake Canfield, Executive Counsel, Louisiana Department of Conservation and Energy, 617 North Third Street, 12th Floor, Baton Rouge, Louisiana 70802, or by e-mail to blake.canfield@la.gov. Comments must be received no later than October 20, 2026 by 4:30 PM. All inquiries concerning the proposed Rule should be directed to Mr. Canfield at the same address.</w:t>
      </w:r>
    </w:p>
    <w:p w14:paraId="467EBC7D" w14:textId="77777777" w:rsidR="006E50FF" w:rsidRPr="006E50FF" w:rsidRDefault="006E50FF" w:rsidP="006E50FF">
      <w:pPr>
        <w:keepNext/>
        <w:jc w:val="center"/>
        <w:rPr>
          <w:b/>
          <w:kern w:val="28"/>
        </w:rPr>
      </w:pPr>
      <w:r w:rsidRPr="006E50FF">
        <w:rPr>
          <w:b/>
          <w:kern w:val="28"/>
        </w:rPr>
        <w:t>Public Hearing</w:t>
      </w:r>
    </w:p>
    <w:p w14:paraId="0711E6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if requested in accordance with R.S. 49:961(B). A request for an oral presentation or argument must be made within 20 days after publication of </w:t>
      </w:r>
      <w:r w:rsidRPr="006E50FF">
        <w:rPr>
          <w:kern w:val="2"/>
        </w:rPr>
        <w:br w:type="page"/>
      </w:r>
      <w:r w:rsidRPr="006E50FF">
        <w:rPr>
          <w:kern w:val="2"/>
        </w:rPr>
        <w:lastRenderedPageBreak/>
        <w:t>this Notice of Intent by 25 persons, by a governmental subdivision or agency, by an association having not fewer than 25 members, or by a committee of either house of the legislature to which the proposed Rule has been referred. If a qualifying request is received, the Department will provide notice of the date, time, and location of the hearing in accordance with law.</w:t>
      </w:r>
    </w:p>
    <w:p w14:paraId="54CA1C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8B87040" w14:textId="77777777" w:rsidR="006E50FF" w:rsidRPr="006E50FF" w:rsidRDefault="006E50FF" w:rsidP="006E50FF">
      <w:pPr>
        <w:keepNext/>
        <w:ind w:left="2160"/>
        <w:jc w:val="both"/>
      </w:pPr>
      <w:r w:rsidRPr="006E50FF">
        <w:t>Dustin H. Davidson</w:t>
      </w:r>
    </w:p>
    <w:p w14:paraId="06B73074" w14:textId="77777777" w:rsidR="006E50FF" w:rsidRPr="006E50FF" w:rsidRDefault="006E50FF" w:rsidP="006E50FF">
      <w:pPr>
        <w:keepNext/>
        <w:ind w:left="2160"/>
        <w:jc w:val="both"/>
      </w:pPr>
      <w:r w:rsidRPr="006E50FF">
        <w:t>Secretary</w:t>
      </w:r>
    </w:p>
    <w:p w14:paraId="3CCA8684" w14:textId="77777777" w:rsidR="006E50FF" w:rsidRPr="006E50FF" w:rsidRDefault="006E50FF" w:rsidP="006E50FF">
      <w:pPr>
        <w:keepNext/>
        <w:jc w:val="center"/>
        <w:rPr>
          <w:b/>
        </w:rPr>
      </w:pPr>
    </w:p>
    <w:p w14:paraId="40974E85" w14:textId="77777777" w:rsidR="006E50FF" w:rsidRPr="006E50FF" w:rsidRDefault="006E50FF" w:rsidP="006E50FF">
      <w:pPr>
        <w:keepNext/>
        <w:jc w:val="center"/>
        <w:rPr>
          <w:b/>
        </w:rPr>
      </w:pPr>
      <w:r w:rsidRPr="006E50FF">
        <w:rPr>
          <w:b/>
        </w:rPr>
        <w:t>FISCAL AND ECONOMIC IMPACT STATEMENT FOR ADMINISTRATIVE RULES</w:t>
      </w:r>
    </w:p>
    <w:p w14:paraId="07AC129F" w14:textId="77777777" w:rsidR="006E50FF" w:rsidRPr="006E50FF" w:rsidRDefault="006E50FF" w:rsidP="006E50FF">
      <w:pPr>
        <w:keepNext/>
        <w:jc w:val="center"/>
        <w:rPr>
          <w:b/>
          <w:noProof/>
        </w:rPr>
      </w:pPr>
      <w:r w:rsidRPr="006E50FF">
        <w:rPr>
          <w:b/>
          <w:noProof/>
        </w:rPr>
        <w:t>RULE TITLE:  Financial Security for Oil and Gas Wells</w:t>
      </w:r>
    </w:p>
    <w:p w14:paraId="6F530A1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FB80F1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328D33B" w14:textId="77777777" w:rsidR="006E50FF" w:rsidRPr="006E50FF" w:rsidRDefault="006E50FF" w:rsidP="006E50FF">
      <w:pPr>
        <w:ind w:left="288" w:firstLine="288"/>
        <w:jc w:val="both"/>
        <w:rPr>
          <w:sz w:val="18"/>
        </w:rPr>
      </w:pPr>
      <w:r w:rsidRPr="006E50FF">
        <w:rPr>
          <w:sz w:val="18"/>
        </w:rPr>
        <w:t>The proposed rule is not estimated to result in any change in implementation costs for the Department of Conservation and Energy or any other state or local governmental units. The proposed rule authorizes written certification by the Louisiana Natural Resources Trust Authority (NRTA) as an additional means of satisfying financial security requirements, and clarifies certain definitions and applicable terms. The functions of the Department and its staff are not anticipated to change as a result of the proposed rule.</w:t>
      </w:r>
    </w:p>
    <w:p w14:paraId="403C566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5CB6A55" w14:textId="77777777" w:rsidR="006E50FF" w:rsidRPr="006E50FF" w:rsidRDefault="006E50FF" w:rsidP="006E50FF">
      <w:pPr>
        <w:ind w:left="288" w:firstLine="288"/>
        <w:jc w:val="both"/>
        <w:rPr>
          <w:sz w:val="18"/>
        </w:rPr>
      </w:pPr>
      <w:r w:rsidRPr="006E50FF">
        <w:rPr>
          <w:sz w:val="18"/>
        </w:rPr>
        <w:t>There may be some change in revenue collections due to the additional financial security option insofar as it may allow more operators to satisfy required financial security requirements and continue or expand oil and gas operations. Such increased activity may in turn increase state revenue collections through increased severance taxes, state mineral royalties, or local tax collections. Without the additional financial security option provided for in the rule, some operators may be unable to satisfy financial security requirements and continue operating in Louisiana. Finally, it is not possible to estimate the extent to which oil and gas operators may choose to use the new financial security option, provided through NRTA certification or the resulting impact on state or local revenue collections. The additional financial security option provides an alternative to financial security policies previously available through the now-defunct LORA program.</w:t>
      </w:r>
    </w:p>
    <w:p w14:paraId="47BB3291"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38FCFE5" w14:textId="77777777" w:rsidR="006E50FF" w:rsidRPr="006E50FF" w:rsidRDefault="006E50FF" w:rsidP="006E50FF">
      <w:pPr>
        <w:ind w:left="288" w:firstLine="288"/>
        <w:jc w:val="both"/>
        <w:rPr>
          <w:sz w:val="18"/>
        </w:rPr>
      </w:pPr>
      <w:r w:rsidRPr="006E50FF">
        <w:rPr>
          <w:sz w:val="18"/>
        </w:rPr>
        <w:t>Operators unable to secure traditional bonds, letters of credit, or trust accounts, including those previously reliant on the LORA program, are expected to benefit from the new financial security option created by the emergency rule and extended by this proposed rule, which allows compliance through certification by the NRTA and may improve the availability and affordability of compliant financial security for smaller operators who would otherwise be financially constrained. The proposed rule is not expected to impose additional costs on financial institutions, sureties, or the NRTA beyond those already contemplated by the Authority's separate statutory mandate under R.S. 36:356.1.</w:t>
      </w:r>
    </w:p>
    <w:p w14:paraId="6F27819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9A48D4C" w14:textId="77777777" w:rsidR="006E50FF" w:rsidRPr="006E50FF" w:rsidRDefault="006E50FF" w:rsidP="006E50FF">
      <w:pPr>
        <w:ind w:left="288" w:firstLine="288"/>
        <w:jc w:val="both"/>
        <w:rPr>
          <w:sz w:val="18"/>
        </w:rPr>
      </w:pPr>
      <w:r w:rsidRPr="006E50FF">
        <w:rPr>
          <w:sz w:val="18"/>
        </w:rPr>
        <w:t xml:space="preserve">The proposed rule is expected to have a positive effect on competition among oil and gas operators. By adding NRTA certification as an additional means of satisfying financial security requirements, the rule may improve access to compliant financial security for operators who have been unable to obtain traditional financial security instruments from private institutions at an affordable price. This in turn may help smaller </w:t>
      </w:r>
      <w:r w:rsidRPr="006E50FF">
        <w:rPr>
          <w:sz w:val="18"/>
        </w:rPr>
        <w:t>and financially constrained operators remain in operation rather than exit the industry or fall out of compliance due financial security constraints. With respect to employment, the proposed rule is expected to have a stabilizing effect to the extent that the additional financial security option allows operators to remain in operation, thereby helping to preserve employment associated with continued oil and gas operations. The proposed rule is not expected to have a direct or readily quantifiable effect on employment within the Department or other governmental units.</w:t>
      </w:r>
    </w:p>
    <w:p w14:paraId="18CD830A" w14:textId="77777777" w:rsidR="006E50FF" w:rsidRPr="006E50FF" w:rsidRDefault="006E50FF" w:rsidP="006E50FF">
      <w:pPr>
        <w:ind w:left="288" w:firstLine="288"/>
        <w:jc w:val="both"/>
        <w:rPr>
          <w:sz w:val="18"/>
        </w:rPr>
      </w:pPr>
    </w:p>
    <w:p w14:paraId="1F28D5BA" w14:textId="77777777" w:rsidR="006E50FF" w:rsidRPr="006E50FF" w:rsidRDefault="006E50FF" w:rsidP="006E50FF">
      <w:pPr>
        <w:tabs>
          <w:tab w:val="left" w:pos="2880"/>
        </w:tabs>
        <w:outlineLvl w:val="8"/>
        <w:rPr>
          <w:kern w:val="2"/>
          <w:sz w:val="18"/>
        </w:rPr>
      </w:pPr>
      <w:r w:rsidRPr="006E50FF">
        <w:rPr>
          <w:kern w:val="2"/>
          <w:sz w:val="18"/>
        </w:rPr>
        <w:t>Mark Normand, Jr.</w:t>
      </w:r>
      <w:r w:rsidRPr="006E50FF">
        <w:rPr>
          <w:kern w:val="2"/>
          <w:sz w:val="18"/>
        </w:rPr>
        <w:tab/>
        <w:t>Alan M. Boxberger</w:t>
      </w:r>
    </w:p>
    <w:p w14:paraId="7C9BF1CB" w14:textId="77777777" w:rsidR="006E50FF" w:rsidRPr="006E50FF" w:rsidRDefault="006E50FF" w:rsidP="006E50FF">
      <w:pPr>
        <w:tabs>
          <w:tab w:val="left" w:pos="2880"/>
        </w:tabs>
        <w:outlineLvl w:val="8"/>
        <w:rPr>
          <w:kern w:val="2"/>
          <w:sz w:val="18"/>
        </w:rPr>
      </w:pPr>
      <w:r w:rsidRPr="006E50FF">
        <w:rPr>
          <w:kern w:val="2"/>
          <w:sz w:val="18"/>
        </w:rPr>
        <w:t>Undersecretary</w:t>
      </w:r>
      <w:r w:rsidRPr="006E50FF">
        <w:rPr>
          <w:kern w:val="2"/>
          <w:sz w:val="18"/>
        </w:rPr>
        <w:tab/>
        <w:t>Legislative Fiscal Officer</w:t>
      </w:r>
    </w:p>
    <w:p w14:paraId="059805EA" w14:textId="77777777" w:rsidR="006E50FF" w:rsidRPr="006E50FF" w:rsidRDefault="006E50FF" w:rsidP="006E50FF">
      <w:pPr>
        <w:tabs>
          <w:tab w:val="left" w:pos="2880"/>
        </w:tabs>
        <w:outlineLvl w:val="8"/>
        <w:rPr>
          <w:kern w:val="2"/>
          <w:sz w:val="18"/>
        </w:rPr>
      </w:pPr>
      <w:r w:rsidRPr="006E50FF">
        <w:rPr>
          <w:noProof/>
          <w:sz w:val="16"/>
        </w:rPr>
        <w:t>2609#036</w:t>
      </w:r>
      <w:r w:rsidRPr="006E50FF">
        <w:rPr>
          <w:kern w:val="2"/>
        </w:rPr>
        <w:tab/>
      </w:r>
      <w:r w:rsidRPr="006E50FF">
        <w:rPr>
          <w:kern w:val="2"/>
          <w:sz w:val="18"/>
        </w:rPr>
        <w:t>Legislative Fiscal Office</w:t>
      </w:r>
    </w:p>
    <w:p w14:paraId="34279D94" w14:textId="77777777" w:rsidR="006E50FF" w:rsidRPr="006E50FF" w:rsidRDefault="006E50FF" w:rsidP="006E50FF"/>
    <w:p w14:paraId="6ED4F9C0"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7B7E236C" w14:textId="77777777" w:rsidR="006E50FF" w:rsidRPr="006E50FF" w:rsidRDefault="006E50FF" w:rsidP="006E50FF">
      <w:pPr>
        <w:keepNext/>
        <w:jc w:val="center"/>
        <w:rPr>
          <w:b/>
          <w:noProof/>
        </w:rPr>
      </w:pPr>
      <w:r w:rsidRPr="006E50FF">
        <w:rPr>
          <w:b/>
          <w:noProof/>
        </w:rPr>
        <w:t>Department of Conservation and Energy</w:t>
      </w:r>
    </w:p>
    <w:p w14:paraId="3121DCFF" w14:textId="77777777" w:rsidR="006E50FF" w:rsidRPr="006E50FF" w:rsidRDefault="006E50FF" w:rsidP="006E50FF">
      <w:pPr>
        <w:keepNext/>
        <w:jc w:val="center"/>
        <w:rPr>
          <w:b/>
          <w:noProof/>
        </w:rPr>
      </w:pPr>
      <w:r w:rsidRPr="006E50FF">
        <w:rPr>
          <w:b/>
          <w:noProof/>
        </w:rPr>
        <w:t>Office of the Secretary</w:t>
      </w:r>
    </w:p>
    <w:p w14:paraId="7B27F8BA" w14:textId="77777777" w:rsidR="006E50FF" w:rsidRPr="006E50FF" w:rsidRDefault="006E50FF" w:rsidP="006E50FF">
      <w:pPr>
        <w:keepNext/>
        <w:spacing w:before="240" w:after="240"/>
        <w:jc w:val="center"/>
        <w:rPr>
          <w:noProof/>
          <w:color w:val="000000"/>
        </w:rPr>
      </w:pPr>
      <w:r w:rsidRPr="006E50FF">
        <w:rPr>
          <w:noProof/>
        </w:rPr>
        <w:t>Regulation of Renewable Energy Storage Facilities</w:t>
      </w:r>
      <w:r w:rsidRPr="006E50FF">
        <w:rPr>
          <w:noProof/>
        </w:rPr>
        <w:br/>
      </w:r>
      <w:r w:rsidRPr="006E50FF">
        <w:rPr>
          <w:noProof/>
          <w:color w:val="000000"/>
        </w:rPr>
        <w:t>(LAC 43:I.Chapter 55)</w:t>
      </w:r>
    </w:p>
    <w:p w14:paraId="477DEC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Conservation and Energy, Office of the Secretary, in accordance with the Administrative Procedure Act, R.S. 49:950 et seq., and under the authority of R.S. 30:1131 and Act 279 of the 2025 Regular Legislative Session, proposes to adopt LAC 43:I.5501-5511 to require permits to install batteries for renewable energy storage and regulations necessary to implement the decommissioning plan and proof of financial security requirements for facilities that utilize batteries.</w:t>
      </w:r>
    </w:p>
    <w:p w14:paraId="44E52C21" w14:textId="77777777" w:rsidR="006E50FF" w:rsidRPr="006E50FF" w:rsidRDefault="006E50FF" w:rsidP="006E50FF">
      <w:pPr>
        <w:keepNext/>
        <w:jc w:val="center"/>
        <w:rPr>
          <w:b/>
          <w:kern w:val="28"/>
        </w:rPr>
      </w:pPr>
      <w:r w:rsidRPr="006E50FF">
        <w:rPr>
          <w:b/>
          <w:kern w:val="28"/>
        </w:rPr>
        <w:t>Title 43</w:t>
      </w:r>
    </w:p>
    <w:p w14:paraId="26DACFD9" w14:textId="77777777" w:rsidR="006E50FF" w:rsidRPr="006E50FF" w:rsidRDefault="006E50FF" w:rsidP="006E50FF">
      <w:pPr>
        <w:keepNext/>
        <w:jc w:val="center"/>
        <w:rPr>
          <w:b/>
          <w:kern w:val="28"/>
        </w:rPr>
      </w:pPr>
      <w:r w:rsidRPr="006E50FF">
        <w:rPr>
          <w:b/>
          <w:kern w:val="28"/>
        </w:rPr>
        <w:t>NATURAL RESOURCES</w:t>
      </w:r>
    </w:p>
    <w:p w14:paraId="336473DA" w14:textId="77777777" w:rsidR="006E50FF" w:rsidRPr="006E50FF" w:rsidRDefault="006E50FF" w:rsidP="006E50FF">
      <w:pPr>
        <w:keepNext/>
        <w:jc w:val="center"/>
        <w:rPr>
          <w:b/>
          <w:noProof/>
        </w:rPr>
      </w:pPr>
      <w:r w:rsidRPr="006E50FF">
        <w:rPr>
          <w:b/>
          <w:noProof/>
        </w:rPr>
        <w:t>Part I.  Office of the Secretary</w:t>
      </w:r>
    </w:p>
    <w:p w14:paraId="2FBD38A1" w14:textId="77777777" w:rsidR="006E50FF" w:rsidRPr="006E50FF" w:rsidRDefault="006E50FF" w:rsidP="006E50FF">
      <w:pPr>
        <w:keepNext/>
        <w:jc w:val="center"/>
        <w:rPr>
          <w:b/>
          <w:noProof/>
        </w:rPr>
      </w:pPr>
      <w:r w:rsidRPr="006E50FF">
        <w:rPr>
          <w:b/>
          <w:noProof/>
        </w:rPr>
        <w:t>Subpart 5.  Renewable Energy</w:t>
      </w:r>
    </w:p>
    <w:p w14:paraId="0932487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55.</w:t>
      </w:r>
      <w:r w:rsidRPr="006E50FF">
        <w:rPr>
          <w:b/>
          <w:kern w:val="2"/>
        </w:rPr>
        <w:tab/>
        <w:t>Renewable Energy Storage</w:t>
      </w:r>
    </w:p>
    <w:p w14:paraId="6911C34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§5501.</w:t>
      </w:r>
      <w:r w:rsidRPr="006E50FF">
        <w:rPr>
          <w:b/>
          <w:kern w:val="2"/>
        </w:rPr>
        <w:tab/>
        <w:t>Definitions</w:t>
      </w:r>
    </w:p>
    <w:p w14:paraId="697C9B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Abandoned</w:t>
      </w:r>
      <w:r w:rsidRPr="006E50FF">
        <w:rPr>
          <w:kern w:val="2"/>
        </w:rPr>
        <w:t>—a facility that has not stored, discharged, or otherwise used its battery storage system for 12 consecutive months, except for good cause as determined by the department.</w:t>
      </w:r>
    </w:p>
    <w:p w14:paraId="6C5D1C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Battery</w:t>
      </w:r>
      <w:r w:rsidRPr="006E50FF">
        <w:rPr>
          <w:kern w:val="2"/>
        </w:rPr>
        <w:t>—a device consisting of one or more electrically connected electrochemical cells which is designed to receive, store, and deliver electric energy. An electrochemical cell is a system consisting of an anode, cathode, and an electrolyte, plus such connections (electrical and mechanical) as may be needed to allow the cell to deliver or receive electrical energy. The term battery also includes an intact, unbroken battery from which the electrolyte has been removed. This definition includes and incorporates all current and future definitions of battery set forth in LAC 33:V. Chapters 38 and 41, and LAC 33:VII. Chapter 103.</w:t>
      </w:r>
    </w:p>
    <w:p w14:paraId="4B1A44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Battery Storage System</w:t>
      </w:r>
      <w:r w:rsidRPr="006E50FF">
        <w:rPr>
          <w:kern w:val="2"/>
        </w:rPr>
        <w:t>—all batteries, integrated equipment, and other materials used to receive, store, and discharge electrical energy produced from a renewable energy generation facility.</w:t>
      </w:r>
    </w:p>
    <w:p w14:paraId="49C55D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Decommission</w:t>
      </w:r>
      <w:r w:rsidRPr="006E50FF">
        <w:rPr>
          <w:kern w:val="2"/>
        </w:rPr>
        <w:t>—the minimum requirements for the removal and recycling or disposal of all batteries, devices, integrated equipment, and materials of a facility’s battery storage system, and restoration of land on which the facility is located. The secretary may consult with the department and other state or federal agencies to determine the type and scope of activities reasonably necessary to restore the land.</w:t>
      </w:r>
    </w:p>
    <w:p w14:paraId="33951D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lastRenderedPageBreak/>
        <w:t>Department</w:t>
      </w:r>
      <w:r w:rsidRPr="006E50FF">
        <w:rPr>
          <w:kern w:val="2"/>
        </w:rPr>
        <w:t>—the Department of Conservation and Energy, or its successors.</w:t>
      </w:r>
    </w:p>
    <w:p w14:paraId="7AAA1A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Facility</w:t>
      </w:r>
      <w:r w:rsidRPr="006E50FF">
        <w:rPr>
          <w:kern w:val="2"/>
        </w:rPr>
        <w:t>—a facility that utilizes a battery storage system to store electrical energy produced by a renewable energy generation facility, whether the battery storage system is located at or integrated into a renewable energy generation facility, or is operated as a separate, standalone renewable energy storage facility. This definition includes, without limitation, any concrete or metal foundations and structures; electrical transformers, inverters, and controllers; above- and underground wires and conduit; telecommunications equipment; roads; meteorological stations; switchyards; maintenance yards; and security fencing used to construct and operate the battery storage system and facility.</w:t>
      </w:r>
    </w:p>
    <w:p w14:paraId="6AC13E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Operator</w:t>
      </w:r>
      <w:r w:rsidRPr="006E50FF">
        <w:rPr>
          <w:kern w:val="2"/>
        </w:rPr>
        <w:t>—any person or legal entity that controls or manages a facility and is responsible for complying with all requirements set forth in this Chapter.</w:t>
      </w:r>
    </w:p>
    <w:p w14:paraId="1279D0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Renewable Energy Generation Facility</w:t>
      </w:r>
      <w:r w:rsidRPr="006E50FF">
        <w:rPr>
          <w:kern w:val="2"/>
        </w:rPr>
        <w:t>—all devices, integrated equipment, and materials that generate electricity from solar, wind, and other renewable resources.</w:t>
      </w:r>
    </w:p>
    <w:p w14:paraId="663929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Secretary</w:t>
      </w:r>
      <w:r w:rsidRPr="006E50FF">
        <w:rPr>
          <w:kern w:val="2"/>
        </w:rPr>
        <w:t>—the secretary of the Department of Conservation and Energy.</w:t>
      </w:r>
    </w:p>
    <w:p w14:paraId="39F587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1B664B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3E587F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§5503.</w:t>
      </w:r>
      <w:r w:rsidRPr="006E50FF">
        <w:rPr>
          <w:b/>
          <w:kern w:val="2"/>
        </w:rPr>
        <w:tab/>
        <w:t>Applicability</w:t>
      </w:r>
    </w:p>
    <w:p w14:paraId="642590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These rules apply to all facilities that utilize a battery storage system to store electrical energy produced by a renewable energy generation facility. These rules do not apply to battery storage systems installed and used for residential property purposes or to standalone battery storage facilities that store electrical energy received from the electrical grid or from a generating source other than a renewable energy generation facility.</w:t>
      </w:r>
    </w:p>
    <w:p w14:paraId="101F4A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Nothing in this Chapter shall be construed as:</w:t>
      </w:r>
    </w:p>
    <w:p w14:paraId="1B8085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limiting the extent to which an operator of a facility with a battery storage system must comply with all other relevant federal, state, and local laws, rules, ordinances, and permit conditions; and</w:t>
      </w:r>
    </w:p>
    <w:p w14:paraId="2CA155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requiring the department to enforce and monitor compliance with laws, regulations, and standards of other federal agencies.</w:t>
      </w:r>
    </w:p>
    <w:p w14:paraId="44596BA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3584F9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495752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§5505.</w:t>
      </w:r>
      <w:r w:rsidRPr="006E50FF">
        <w:rPr>
          <w:b/>
          <w:kern w:val="2"/>
        </w:rPr>
        <w:tab/>
        <w:t>General Requirements</w:t>
      </w:r>
    </w:p>
    <w:p w14:paraId="36065E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facility shall at all times have an operator, who shall be responsible for compliance with all requirements of this Chapter.</w:t>
      </w:r>
    </w:p>
    <w:p w14:paraId="2D5AF9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operator shall register with the department as set forth in LAC 43:I.5107.</w:t>
      </w:r>
    </w:p>
    <w:p w14:paraId="163294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battery used for renewable energy storage shall be installed at a facility without a permit issued by the department pursuant to this Chapter. When feasible and upon request, the department may combine the permit application and its requirements under this Chapter with other permit applications under this Subpart into a singular permit to streamline regulatory compliance under this Subpart.</w:t>
      </w:r>
    </w:p>
    <w:p w14:paraId="2D75BE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column"/>
      </w:r>
      <w:r w:rsidRPr="006E50FF">
        <w:rPr>
          <w:kern w:val="2"/>
        </w:rPr>
        <w:t>D.</w:t>
      </w:r>
      <w:r w:rsidRPr="006E50FF">
        <w:rPr>
          <w:kern w:val="2"/>
        </w:rPr>
        <w:tab/>
        <w:t>Permits issued under this Chapter may be transferred during the development and operation of the facility. The operator shall notify the department in writing within 60 days after transferring the permit.</w:t>
      </w:r>
    </w:p>
    <w:p w14:paraId="192262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572991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Conservation and Energy, Office of the Secretary, LR 52: </w:t>
      </w:r>
    </w:p>
    <w:p w14:paraId="70B372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§5507.</w:t>
      </w:r>
      <w:r w:rsidRPr="006E50FF">
        <w:rPr>
          <w:b/>
          <w:kern w:val="2"/>
        </w:rPr>
        <w:tab/>
        <w:t>Permit Requirements</w:t>
      </w:r>
    </w:p>
    <w:p w14:paraId="2F4B85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 obtain a permit in accordance with this Chapter, the operator of a facility shall submit a permit application to the department. A permit application shall include the following information and documents:</w:t>
      </w:r>
    </w:p>
    <w:p w14:paraId="7F42A0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copy of the operator’s registration form;</w:t>
      </w:r>
    </w:p>
    <w:p w14:paraId="3A2231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name, location, projected storage capacity, and expected lifespan of the facility and the batteries installed;</w:t>
      </w:r>
    </w:p>
    <w:p w14:paraId="4CC74A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detailed and labeled plat, survey, or map of the facility that identifies and illustrates the location of the batteries to be installed;</w:t>
      </w:r>
    </w:p>
    <w:p w14:paraId="14736F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name, mailing address, email address, and phone number of the operator and, if applicable, the federal employer identification number and a copy of the detailed business record from the Secretary of State’s website;</w:t>
      </w:r>
    </w:p>
    <w:p w14:paraId="2B7A7B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decommissioning plan prepared in accordance with Section 5509(B); and</w:t>
      </w:r>
    </w:p>
    <w:p w14:paraId="14F155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proof of the form(s) of financial security that secures the cost to decommission a facility’s battery storage system as provided by Section 5511;</w:t>
      </w:r>
    </w:p>
    <w:p w14:paraId="097707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any other information required by the department for issuing permits under this Subpart or that is relevant and reasonable to implement this Chapter.</w:t>
      </w:r>
    </w:p>
    <w:p w14:paraId="36555C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Within 60 days of receipt, the department shall review each permit application to determine if it is administratively complete and meets all the requirements of this Chapter and Subpart when applicable.</w:t>
      </w:r>
    </w:p>
    <w:p w14:paraId="03DAD1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department determines an application is administratively complete, the department shall issue a written notice to the operator certifying that the application is administratively complete and has been moved to technical review.</w:t>
      </w:r>
    </w:p>
    <w:p w14:paraId="7CA700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department finds the application is not administratively complete, the department shall provide written notice of each deficiency to the operator and suspend further review pending resolution of the deficiencies. Upon request and a showing of good cause by the operator, the department may extend the 30-day submission deadline. Failure to timely correct or provide the information identified in the notice shall constitute abandonment of the application, but shall not preclude the operator from reapplying for a permit under this Chapter or Subpart.</w:t>
      </w:r>
    </w:p>
    <w:p w14:paraId="2DD17B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timing of the technical review and when the department issues its final permit decision depends on whether the facility is subject to multiple permits under this Subpart. For example, a solar power generation facility with a battery storage system shall be subject to the timing of Section 5109. For separate, standalone renewable energy storage facilities, the department shall issue a final decision within 60 days of certifying the application as administratively complete. </w:t>
      </w:r>
    </w:p>
    <w:p w14:paraId="586EA20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274B6B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135A3A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Conservation and Energy, Office of the Secretary, LR 52:</w:t>
      </w:r>
    </w:p>
    <w:p w14:paraId="0784A0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§5509.</w:t>
      </w:r>
      <w:r w:rsidRPr="006E50FF">
        <w:rPr>
          <w:b/>
          <w:kern w:val="2"/>
        </w:rPr>
        <w:tab/>
        <w:t>Decommissioning Requirements</w:t>
      </w:r>
    </w:p>
    <w:p w14:paraId="06138B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facilities that utilize a battery storage system shall be decommissioned in accordance with this and other applicable Chapters under this Subpart. Each facility and its battery storage system shall be decommissioned within 18 months after its final day of use. The operator shall notify the department in writing within 30 days of the facility’s final day of storage operations.</w:t>
      </w:r>
    </w:p>
    <w:p w14:paraId="36E016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facility is presumed to have reached its final day of utilizing its battery storage system if the batteries have not stored energy for 12 consecutive months. The operator may rebut the presumption by providing written notice to the department showing good cause thereof and, if applicable, providing a timeline for recommencement of battery storage operations.</w:t>
      </w:r>
    </w:p>
    <w:p w14:paraId="4DD1A78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If the department determines that good cause was shown, it shall issue a written finding regarding the status of the facility and, if applicable, establish a deadline to comply with the rules of this Chapter and Subpart as applicable.</w:t>
      </w:r>
    </w:p>
    <w:p w14:paraId="7F1411D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the department determines that good cause was not shown, it may order the operator to recommence storage operations or proceed with decommissioning. If no action is taken within 30 days of the order, the department may commence decommissioning in accordance with the rules of this Chapter and Subpart as applicable.</w:t>
      </w:r>
    </w:p>
    <w:p w14:paraId="3FFC9F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a force majeure event unreasonably hinders or prevents decommissioning within 18 months of the facility’s final day of storage operations, the operator shall notify the department in writing 30 days after the event. The notice shall provide a detailed description of the nature of the event, the anticipated duration of the delay, an estimated timeline for resuming the decommissioning plan, and any documentation supporting inability to comply with the applicable deadline. If the department determines that the circumstances warrant an extension, it shall provide a reasonable deadline for compliance to the operator in writing. The department may order the operator to submit one or more written reports illustrating good faith efforts to resume decommissioning in accordance with the deadline.</w:t>
      </w:r>
    </w:p>
    <w:p w14:paraId="59742F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decommissioning plan is required to obtain a permit under this Chapter. A facility’s decommissioning plan shall be prepared, signed, and sealed by a Louisiana-licensed engineer and shall meet the following requirements:</w:t>
      </w:r>
    </w:p>
    <w:p w14:paraId="594AA3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Facility Description. The operator must provide information regarding the types of batteries to be used, including the manufacturer and model, expected storage capacity, and expected operational lifespan. The operator must include in the plan an itemized inventory of the number of battery cells, modules, racks, containers, battery management systems, and other equipment used to monitor battery conditions. The detailed plat, survey, and/or map of the facility must identify and illustrate the location of the batteries and related equipment to be installed, including, all foundations and structures; electrical transformers, inverters, and controllers; above- and underground wires and conduit; telecommunications equipment; roads; meteorological stations; switchyards; maintenance yards; and security fencing used to construct and operate the battery storage system and facility.</w:t>
      </w:r>
    </w:p>
    <w:p w14:paraId="1F7CFF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Decommissioning Activities. The operator must provide information relating to the anticipated labor, equipment, and transportation needed to dismantle, remove, recycle, and dispose of all batteries and components of the battery storage system, along with restoring the land after removal of all foundations, structures, and other materials that supported the facility.</w:t>
      </w:r>
    </w:p>
    <w:p w14:paraId="1972C1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Decommissioning Schedule. The operator must provide information on the anticipated sequence of decommissioning activities and the anticipated period of time needed to complete such activities.</w:t>
      </w:r>
    </w:p>
    <w:p w14:paraId="628095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Management. The operator must identify all battery chemistries and associated components that are hazardous materials and may be present during decommissioning. The operator must also provide a summary of these materials and must ensure that the materials are properly recycled or disposed of in accordance with all applicable laws and regulations. It is the duty of the operator to ensure that the facility is compliant with the Department of Environmental Quality regulations pertaining to Universal Wastes in LAC 33:V. Ch. 38, Recyclable Materials in LAC 33:V. Ch. 41 or Recycling and Waste Reduction in LAC 33:VII. Ch. 103.</w:t>
      </w:r>
    </w:p>
    <w:p w14:paraId="7A02C7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Decommissioning Cost Estimate. The operator must provide an estimate of the cost of performing all decommissioning activities described within the decommissioning plan. The plan shall provide the estimate in an itemized schedule that is formatted to show each of the following:</w:t>
      </w:r>
    </w:p>
    <w:p w14:paraId="57ABA55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cost of all activities to decommission the battery storage system and facility;</w:t>
      </w:r>
    </w:p>
    <w:p w14:paraId="6EF36EA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 escalation rate, determined by the department, to account for future inflation until the decommissioning plan and decommissioning cost estimate is revised in accordance with Subsection (C), that shall not exceed three percent annum; and</w:t>
      </w:r>
    </w:p>
    <w:p w14:paraId="0BE8A0F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the total estimated amount of decommissioning </w:t>
      </w:r>
      <w:r w:rsidRPr="006E50FF">
        <w:rPr>
          <w:iCs/>
          <w:kern w:val="2"/>
        </w:rPr>
        <w:t>(</w:t>
      </w:r>
      <w:r w:rsidRPr="006E50FF">
        <w:rPr>
          <w:i/>
          <w:iCs/>
          <w:kern w:val="2"/>
        </w:rPr>
        <w:t>i.e.</w:t>
      </w:r>
      <w:r w:rsidRPr="006E50FF">
        <w:rPr>
          <w:kern w:val="2"/>
        </w:rPr>
        <w:t>, the sum of (a) and (b)) to be covered by the selected financial security instrument and approved by the department.</w:t>
      </w:r>
    </w:p>
    <w:p w14:paraId="7672C7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Financial Security. The operator must identify and provide proof of the financial security instrument chosen to secure the cost of decommissioning the batteries and related storage infrastructure.</w:t>
      </w:r>
    </w:p>
    <w:p w14:paraId="2C5733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Emergency Plans. The operator must include details regarding the types of emergency detection and suppression equipment to be installed and a statement of committed assurance that the operator will establish an emergency plan in conjunction with local authorities.</w:t>
      </w:r>
    </w:p>
    <w:p w14:paraId="2850FB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decommissioning plan and decommissioning cost estimate shall be revised and submitted to the department every five years on or before the anniversary date of the permit’s issuance and within six months following any modification to the facility that is estimated to increase or decrease the cost of decommissioning by 10 percent or more. The revised decommissioning plan shall be prepared in accordance with Paragraph (B) and must include all relevant adjustments to the cost estimate.</w:t>
      </w:r>
    </w:p>
    <w:p w14:paraId="45C5F7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A facility with a battery storage system that is under construction or operating prior to the effective date and has either provided a decommissioning plan or agreed to </w:t>
      </w:r>
      <w:r w:rsidRPr="006E50FF">
        <w:rPr>
          <w:kern w:val="2"/>
        </w:rPr>
        <w:br w:type="page"/>
      </w:r>
      <w:r w:rsidRPr="006E50FF">
        <w:rPr>
          <w:kern w:val="2"/>
        </w:rPr>
        <w:lastRenderedPageBreak/>
        <w:t>decommissioning terms and conditions in a lease or other form of agreement with the landowner, local police jury or council, or both may use the existing plan or agreement provisions in its permit application. However, the operator must submit revised plans as required by Subsection (C) that comply with the requirements set forth in Subsection (B).</w:t>
      </w:r>
    </w:p>
    <w:p w14:paraId="56BDF9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51078C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29B59A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§5511.</w:t>
      </w:r>
      <w:r w:rsidRPr="006E50FF">
        <w:rPr>
          <w:b/>
          <w:kern w:val="2"/>
        </w:rPr>
        <w:tab/>
        <w:t>Financial Security Requirements</w:t>
      </w:r>
    </w:p>
    <w:p w14:paraId="370010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operator of a facility shall provide the department with proof of financial security in an amount that will ensure sufficient funds are available to decommission the battery storage system and facility. </w:t>
      </w:r>
    </w:p>
    <w:p w14:paraId="1887AA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Acceptable forms of financial security may include a performance bond, irrevocable letter(s) of credit, or any other instrument approved by the secretary through formal order, or a combination thereof. The financial security instrument(s) must name the department as the beneficiary, cover 100 percent of the approved decommissioning cost estimate, and be provided to the department before installing batteries at the facility.</w:t>
      </w:r>
    </w:p>
    <w:p w14:paraId="27A66E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will not release the financial security instrument(s) until it receives proof that the facility was fully decommissioned as required by this Chapter or receives a replacement form of financial security as provided herein. To ensure that the financial security instrument(s) is properly maintained, the designated operator shall provide the department with written notice at least 120 days before the existing form(s) of financial security expires. The designated operator must submit a replacement financial security instrument(s) consistent with the requirements of this Chapter no later than 30 days before the existing form(s) of financial security expires. Failure to provide a replacement financial security instrument(s) before this 30-day period shall be deemed a violation of these rules and subject the designated operator to revocation of the facility’s permit, the calling of the financial security instrument(s) and any other remedy authorized by law.</w:t>
      </w:r>
    </w:p>
    <w:p w14:paraId="36EE47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6E48BA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7737689D" w14:textId="77777777" w:rsidR="006E50FF" w:rsidRPr="006E50FF" w:rsidRDefault="006E50FF" w:rsidP="006E50FF">
      <w:pPr>
        <w:keepNext/>
        <w:jc w:val="center"/>
        <w:rPr>
          <w:b/>
          <w:kern w:val="28"/>
        </w:rPr>
      </w:pPr>
      <w:r w:rsidRPr="006E50FF">
        <w:rPr>
          <w:b/>
          <w:kern w:val="28"/>
        </w:rPr>
        <w:t>Family Impact Statement</w:t>
      </w:r>
    </w:p>
    <w:p w14:paraId="23B545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Rule on the family has been considered. The department anticipates that this proposed Rule will have no impact on family functioning, stability, and autonomy as described in R.S. 49:972(B). In particular, the proposed Rule has no known or foreseeable impact on: </w:t>
      </w:r>
    </w:p>
    <w:p w14:paraId="7C37F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stability of the family. </w:t>
      </w:r>
    </w:p>
    <w:p w14:paraId="0A73E6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effect on the authority and rights of parents regarding the education and supervision of their children. </w:t>
      </w:r>
    </w:p>
    <w:p w14:paraId="1B6C1F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effect on the functioning of the family. </w:t>
      </w:r>
    </w:p>
    <w:p w14:paraId="1DFA7C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effect on family earnings and family budget. </w:t>
      </w:r>
    </w:p>
    <w:p w14:paraId="2D8FFA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effect on the behavior and personal responsibility of children. </w:t>
      </w:r>
    </w:p>
    <w:p w14:paraId="077704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the ability of the family or a local government to perform the function as contained in the proposed Rule. </w:t>
      </w:r>
    </w:p>
    <w:p w14:paraId="7BE2708F" w14:textId="77777777" w:rsidR="006E50FF" w:rsidRPr="006E50FF" w:rsidRDefault="006E50FF" w:rsidP="006E50FF">
      <w:pPr>
        <w:keepNext/>
        <w:jc w:val="center"/>
        <w:rPr>
          <w:b/>
          <w:kern w:val="28"/>
        </w:rPr>
      </w:pPr>
      <w:r w:rsidRPr="006E50FF">
        <w:rPr>
          <w:b/>
          <w:kern w:val="28"/>
        </w:rPr>
        <w:t>Poverty Impact Statement</w:t>
      </w:r>
    </w:p>
    <w:p w14:paraId="39050C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anticipates that this proposed Rule should not have any known or foreseeable impact on any child, individual, or family as defined by R.S. 49:973(B). In particular, there should be no known or foreseeable effect on: </w:t>
      </w:r>
    </w:p>
    <w:p w14:paraId="11D04D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household income, assets, and financial security. </w:t>
      </w:r>
    </w:p>
    <w:p w14:paraId="7F3E0B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0A435F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55BB96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188A38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0998B664" w14:textId="77777777" w:rsidR="006E50FF" w:rsidRPr="006E50FF" w:rsidRDefault="006E50FF" w:rsidP="006E50FF">
      <w:pPr>
        <w:keepNext/>
        <w:jc w:val="center"/>
        <w:rPr>
          <w:b/>
          <w:kern w:val="28"/>
        </w:rPr>
      </w:pPr>
      <w:r w:rsidRPr="006E50FF">
        <w:rPr>
          <w:b/>
          <w:kern w:val="28"/>
        </w:rPr>
        <w:t>Small Business Analysis</w:t>
      </w:r>
    </w:p>
    <w:p w14:paraId="4299D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impact of the proposed Rule on small businesses as defined in R.S. 49:974.5, the Regulatory Flexibility Act, have been considered by the department. The proposed Rule is not expected to have a significant adverse impact on the health, safety, environmental or economic welfare of small businesses; therefore, a Small Business Economic Impact Statement as required by R.S. 49:974.4 has not been prepared. </w:t>
      </w:r>
    </w:p>
    <w:p w14:paraId="21E94477" w14:textId="77777777" w:rsidR="006E50FF" w:rsidRPr="006E50FF" w:rsidRDefault="006E50FF" w:rsidP="006E50FF">
      <w:pPr>
        <w:keepNext/>
        <w:jc w:val="center"/>
        <w:rPr>
          <w:b/>
          <w:kern w:val="28"/>
        </w:rPr>
      </w:pPr>
      <w:r w:rsidRPr="006E50FF">
        <w:rPr>
          <w:b/>
          <w:kern w:val="28"/>
        </w:rPr>
        <w:t>Provider Impact Statement</w:t>
      </w:r>
    </w:p>
    <w:p w14:paraId="0CF45B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anticipates that the proposed Rule should not have any known or foreseeable impact on providers as defined by House Concurrent Resolution No. 170 of 2014 Regular Legislative Session. In particular, there should be no known or foreseeable effect on:</w:t>
      </w:r>
    </w:p>
    <w:p w14:paraId="156168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staffing level requirements or qualifications required to provide the same level of service. </w:t>
      </w:r>
    </w:p>
    <w:p w14:paraId="54F405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 to provide the same level of service.</w:t>
      </w:r>
    </w:p>
    <w:p w14:paraId="307AF6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overall effect on the ability of the provider to provide the same level of service. </w:t>
      </w:r>
    </w:p>
    <w:p w14:paraId="783EC762" w14:textId="77777777" w:rsidR="006E50FF" w:rsidRPr="006E50FF" w:rsidRDefault="006E50FF" w:rsidP="006E50FF">
      <w:pPr>
        <w:keepNext/>
        <w:jc w:val="center"/>
        <w:rPr>
          <w:b/>
          <w:kern w:val="28"/>
        </w:rPr>
      </w:pPr>
      <w:r w:rsidRPr="006E50FF">
        <w:rPr>
          <w:b/>
          <w:kern w:val="28"/>
        </w:rPr>
        <w:t>Public Comments</w:t>
      </w:r>
    </w:p>
    <w:p w14:paraId="1B73F9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on the proposed Rule no later than Monday, October 12, 2026, by 4:30 p.m. Written comments should be addressed to Elizabeth Ferrier, Attorney, Office of Legal Services, Department of Conservation and Energy, 617 North Third Street, 11th Floor, Baton Rouge, LA 70802 or via email to DCE-Renewables@la.gov. Please reference “Renewable Energy Storage Regulations” in your comments and include your name and who you represent if someone other than yourself.</w:t>
      </w:r>
    </w:p>
    <w:p w14:paraId="4B30052B" w14:textId="77777777" w:rsidR="006E50FF" w:rsidRPr="006E50FF" w:rsidRDefault="006E50FF" w:rsidP="006E50FF">
      <w:pPr>
        <w:keepNext/>
        <w:jc w:val="center"/>
        <w:rPr>
          <w:b/>
          <w:kern w:val="28"/>
        </w:rPr>
      </w:pPr>
      <w:r w:rsidRPr="006E50FF">
        <w:rPr>
          <w:b/>
          <w:kern w:val="28"/>
        </w:rPr>
        <w:t>Public Hearing</w:t>
      </w:r>
    </w:p>
    <w:p w14:paraId="0C4328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a written request for a public hearing no later than Monday, October 12, 2026, by 4:30 p.m. Requests may be submitted either by mail, addressed to Elizabeth Ferrier, Attorney, Office of Legal Services, Department of Conservation and Energy, 617 North Third Street, 11th Floor, Baton Rouge, LA 70802 or via email to DCE-Renewables@la.gov. If the criteria set forth in R.S. 49:961(B)(1) are satisfied, a public hearing will be held on Monday, October 26, 2026, at 9 a.m. in the Griffon Room, located on the first floor of the LaSalle Building, 617 North Third Street, Baton Rouge, LA 70802, for all interested persons to attend and submit oral or written comments. Please visit the department’s website at https://www.dce.louisiana.gov/page/hearing-comment-calendar or email DCE-Renewables@la.gov after the request </w:t>
      </w:r>
      <w:r w:rsidRPr="006E50FF">
        <w:rPr>
          <w:kern w:val="2"/>
        </w:rPr>
        <w:br w:type="page"/>
      </w:r>
      <w:r w:rsidRPr="006E50FF">
        <w:rPr>
          <w:kern w:val="2"/>
        </w:rPr>
        <w:lastRenderedPageBreak/>
        <w:t xml:space="preserve">deadline to confirm if the public hearing is scheduled. In accordance with the Americans with Disabilities Act, please contact the department’s ADA Coordinator, Shannon Hunt, at (225) 342-4522 or by email at Shannon.Hunt@la.gov within 10 working days of the hearing if you need assistance or accommodations. </w:t>
      </w:r>
    </w:p>
    <w:p w14:paraId="077C37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3686FB3" w14:textId="77777777" w:rsidR="006E50FF" w:rsidRPr="006E50FF" w:rsidRDefault="006E50FF" w:rsidP="006E50FF">
      <w:pPr>
        <w:keepNext/>
        <w:ind w:left="2160"/>
        <w:jc w:val="both"/>
      </w:pPr>
      <w:r w:rsidRPr="006E50FF">
        <w:t>Dustin Davidson</w:t>
      </w:r>
    </w:p>
    <w:p w14:paraId="18920AF5" w14:textId="77777777" w:rsidR="006E50FF" w:rsidRPr="006E50FF" w:rsidRDefault="006E50FF" w:rsidP="006E50FF">
      <w:pPr>
        <w:keepNext/>
        <w:ind w:left="2160"/>
        <w:jc w:val="both"/>
      </w:pPr>
      <w:r w:rsidRPr="006E50FF">
        <w:t>Secretary</w:t>
      </w:r>
    </w:p>
    <w:p w14:paraId="35BB262E" w14:textId="77777777" w:rsidR="006E50FF" w:rsidRPr="006E50FF" w:rsidRDefault="006E50FF" w:rsidP="006E50FF">
      <w:pPr>
        <w:keepNext/>
        <w:jc w:val="center"/>
        <w:rPr>
          <w:b/>
        </w:rPr>
      </w:pPr>
    </w:p>
    <w:p w14:paraId="67B48FFF" w14:textId="77777777" w:rsidR="006E50FF" w:rsidRPr="006E50FF" w:rsidRDefault="006E50FF" w:rsidP="006E50FF">
      <w:pPr>
        <w:keepNext/>
        <w:jc w:val="center"/>
        <w:rPr>
          <w:b/>
        </w:rPr>
      </w:pPr>
      <w:r w:rsidRPr="006E50FF">
        <w:rPr>
          <w:b/>
        </w:rPr>
        <w:t>FISCAL AND ECONOMIC IMPACT STATEMENT FOR ADMINISTRATIVE RULES</w:t>
      </w:r>
    </w:p>
    <w:p w14:paraId="150508F3" w14:textId="77777777" w:rsidR="006E50FF" w:rsidRPr="006E50FF" w:rsidRDefault="006E50FF" w:rsidP="006E50FF">
      <w:pPr>
        <w:keepNext/>
        <w:jc w:val="center"/>
        <w:rPr>
          <w:b/>
          <w:noProof/>
        </w:rPr>
      </w:pPr>
      <w:r w:rsidRPr="006E50FF">
        <w:rPr>
          <w:b/>
          <w:noProof/>
        </w:rPr>
        <w:t>RULE TITLE:  Regulation of Renewable Energy Storage Facilities</w:t>
      </w:r>
    </w:p>
    <w:p w14:paraId="7D35078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66F8BA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04E7BF0" w14:textId="77777777" w:rsidR="006E50FF" w:rsidRPr="006E50FF" w:rsidRDefault="006E50FF" w:rsidP="006E50FF">
      <w:pPr>
        <w:ind w:left="288" w:firstLine="288"/>
        <w:jc w:val="both"/>
        <w:rPr>
          <w:sz w:val="18"/>
        </w:rPr>
      </w:pPr>
      <w:r w:rsidRPr="006E50FF">
        <w:rPr>
          <w:sz w:val="18"/>
        </w:rPr>
        <w:t>The proposed rule is anticipated to result in indeterminable, but minimal costs to implement, related to operating costs such as office supplies, travel expenses, fuel costs, and vehicle maintenance. The proposed rule implements R.S. 30:1131 established by Act 279 of the 2025 Regular Session by establishing permitting requirements for renewable energy storage facilities to install batteries, including requirements for a decommissioning plan and proof of financial security.</w:t>
      </w:r>
    </w:p>
    <w:p w14:paraId="4DF5650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5A328CC5" w14:textId="77777777" w:rsidR="006E50FF" w:rsidRPr="006E50FF" w:rsidRDefault="006E50FF" w:rsidP="006E50FF">
      <w:pPr>
        <w:ind w:left="288" w:firstLine="288"/>
        <w:jc w:val="both"/>
        <w:rPr>
          <w:sz w:val="18"/>
        </w:rPr>
      </w:pPr>
      <w:r w:rsidRPr="006E50FF">
        <w:rPr>
          <w:sz w:val="18"/>
        </w:rPr>
        <w:t>Act 279 does not provide for or authorize an application or permit fee specifically for the renewable energy storage permit established pursuant to R.S. 30:1131. However, to the extent a facility is subject to multiple permitting requirements under Title 43, Part I, Subpart 5 of the Louisiana Administrative Code, the proposed rule allows permit applications to be combined to streamline regulatory compliance. In such cases, revenues may be generated from fees associated with other applicable permits, including solar facility permitting fees, which are deposited into the Mineral and Energy Operation Fund and may help offset costs associated with implementing and administering the proposed rule.</w:t>
      </w:r>
    </w:p>
    <w:p w14:paraId="604F54BB"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E726ABD" w14:textId="77777777" w:rsidR="006E50FF" w:rsidRPr="006E50FF" w:rsidRDefault="006E50FF" w:rsidP="006E50FF">
      <w:pPr>
        <w:ind w:left="288" w:firstLine="288"/>
        <w:jc w:val="both"/>
        <w:rPr>
          <w:sz w:val="18"/>
        </w:rPr>
      </w:pPr>
      <w:r w:rsidRPr="006E50FF">
        <w:rPr>
          <w:sz w:val="18"/>
        </w:rPr>
        <w:t>The proposed rule directly affects operators and persons with equity in or control over renewable energy generation facilities with storage capabilities and standalone renewable energy storage facilities by implementing the permitting requirements for the installation of batteries used to store electrical energy. Obtaining a permit will require submission of a decommissioning plan prepared by a Louisiana-licensed engineer and proof of financial security, resulting in additional costs that cannot be quantified because they will vary based on the size and complexity of each facility. Although the impact on receipts and income for individuals, small businesses, and nongovernmental groups is difficult to quantify due to limited publicly available information on proposed and existing renewable energy generation and storage facilities, the proposed rule is anticipated to have overall positive economic impacts.</w:t>
      </w:r>
    </w:p>
    <w:p w14:paraId="6675C892"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F9C892A" w14:textId="77777777" w:rsidR="006E50FF" w:rsidRPr="006E50FF" w:rsidRDefault="006E50FF" w:rsidP="006E50FF">
      <w:pPr>
        <w:ind w:left="288" w:firstLine="288"/>
        <w:jc w:val="both"/>
        <w:rPr>
          <w:sz w:val="18"/>
        </w:rPr>
      </w:pPr>
      <w:r w:rsidRPr="006E50FF">
        <w:rPr>
          <w:sz w:val="18"/>
        </w:rPr>
        <w:t>The permit, decommissioning, and proof of financial security set forth in the proposed rule are anticipated to have a neutral to positive impact on public and private sectors. Impacts cannot be determined as they vary based on the complexity and size of a facility but are expected to increase employment and business activity associated with the construction, operation, maintenance, engineering, consulting, transportation, and eventual decommissioning of batteries installed at facilities.</w:t>
      </w:r>
    </w:p>
    <w:p w14:paraId="43470153" w14:textId="77777777" w:rsidR="006E50FF" w:rsidRPr="006E50FF" w:rsidRDefault="006E50FF" w:rsidP="006E50FF">
      <w:pPr>
        <w:ind w:left="288" w:firstLine="288"/>
        <w:jc w:val="both"/>
        <w:rPr>
          <w:sz w:val="18"/>
        </w:rPr>
      </w:pPr>
    </w:p>
    <w:p w14:paraId="160AAAAA" w14:textId="77777777" w:rsidR="006E50FF" w:rsidRPr="006E50FF" w:rsidRDefault="006E50FF" w:rsidP="006E50FF">
      <w:pPr>
        <w:tabs>
          <w:tab w:val="left" w:pos="2880"/>
          <w:tab w:val="decimal" w:pos="2988"/>
        </w:tabs>
        <w:outlineLvl w:val="8"/>
        <w:rPr>
          <w:kern w:val="2"/>
          <w:sz w:val="18"/>
        </w:rPr>
      </w:pPr>
      <w:r w:rsidRPr="006E50FF">
        <w:rPr>
          <w:kern w:val="2"/>
          <w:sz w:val="18"/>
        </w:rPr>
        <w:t>Mark Normand, Jr.</w:t>
      </w:r>
      <w:r w:rsidRPr="006E50FF">
        <w:rPr>
          <w:kern w:val="2"/>
          <w:sz w:val="18"/>
        </w:rPr>
        <w:tab/>
        <w:t>Alan M. Boxberger</w:t>
      </w:r>
    </w:p>
    <w:p w14:paraId="3242099C"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Legislative Fiscal Officer</w:t>
      </w:r>
    </w:p>
    <w:p w14:paraId="2A7774F3" w14:textId="77777777" w:rsidR="006E50FF" w:rsidRPr="006E50FF" w:rsidRDefault="006E50FF" w:rsidP="006E50FF">
      <w:pPr>
        <w:tabs>
          <w:tab w:val="left" w:pos="2880"/>
          <w:tab w:val="decimal" w:pos="2988"/>
        </w:tabs>
        <w:outlineLvl w:val="8"/>
        <w:rPr>
          <w:kern w:val="2"/>
          <w:sz w:val="18"/>
        </w:rPr>
      </w:pPr>
      <w:r w:rsidRPr="006E50FF">
        <w:rPr>
          <w:noProof/>
          <w:sz w:val="16"/>
        </w:rPr>
        <w:t>2609#033</w:t>
      </w:r>
      <w:r w:rsidRPr="006E50FF">
        <w:rPr>
          <w:kern w:val="2"/>
        </w:rPr>
        <w:tab/>
      </w:r>
      <w:r w:rsidRPr="006E50FF">
        <w:rPr>
          <w:kern w:val="2"/>
          <w:sz w:val="18"/>
        </w:rPr>
        <w:t>Legislative Fiscal Office</w:t>
      </w:r>
    </w:p>
    <w:p w14:paraId="43CE487F" w14:textId="77777777" w:rsidR="006E50FF" w:rsidRPr="006E50FF" w:rsidRDefault="006E50FF" w:rsidP="006E50FF"/>
    <w:p w14:paraId="5BC00F25" w14:textId="77777777" w:rsidR="006E50FF" w:rsidRPr="006E50FF" w:rsidRDefault="006E50FF" w:rsidP="006E50FF">
      <w:pPr>
        <w:keepNext/>
        <w:tabs>
          <w:tab w:val="left" w:pos="-1440"/>
        </w:tabs>
        <w:spacing w:after="120"/>
        <w:jc w:val="center"/>
        <w:rPr>
          <w:b/>
          <w:noProof/>
          <w:lang w:eastAsia="zh-CN"/>
        </w:rPr>
      </w:pPr>
      <w:r w:rsidRPr="006E50FF">
        <w:rPr>
          <w:b/>
          <w:noProof/>
          <w:lang w:eastAsia="zh-CN"/>
        </w:rPr>
        <w:t>NOTICE OF INTENT</w:t>
      </w:r>
    </w:p>
    <w:p w14:paraId="7211E491" w14:textId="77777777" w:rsidR="006E50FF" w:rsidRPr="006E50FF" w:rsidRDefault="006E50FF" w:rsidP="006E50FF">
      <w:pPr>
        <w:keepNext/>
        <w:jc w:val="center"/>
        <w:rPr>
          <w:b/>
          <w:noProof/>
          <w:lang w:eastAsia="zh-CN"/>
        </w:rPr>
      </w:pPr>
      <w:r w:rsidRPr="006E50FF">
        <w:rPr>
          <w:b/>
          <w:noProof/>
          <w:lang w:eastAsia="zh-CN"/>
        </w:rPr>
        <w:t>Department of Culture, Recreation, and Tourism</w:t>
      </w:r>
    </w:p>
    <w:p w14:paraId="337A7E9F" w14:textId="77777777" w:rsidR="006E50FF" w:rsidRPr="006E50FF" w:rsidRDefault="006E50FF" w:rsidP="006E50FF">
      <w:pPr>
        <w:keepNext/>
        <w:jc w:val="center"/>
        <w:rPr>
          <w:b/>
          <w:noProof/>
          <w:lang w:eastAsia="zh-CN"/>
        </w:rPr>
      </w:pPr>
      <w:r w:rsidRPr="006E50FF">
        <w:rPr>
          <w:b/>
          <w:noProof/>
          <w:lang w:eastAsia="zh-CN"/>
        </w:rPr>
        <w:t>Office of Cultural Development</w:t>
      </w:r>
    </w:p>
    <w:p w14:paraId="7D585B9F" w14:textId="77777777" w:rsidR="006E50FF" w:rsidRPr="006E50FF" w:rsidRDefault="006E50FF" w:rsidP="006E50FF">
      <w:pPr>
        <w:keepNext/>
        <w:spacing w:before="240" w:after="240"/>
        <w:jc w:val="center"/>
        <w:rPr>
          <w:noProof/>
          <w:lang w:eastAsia="zh-CN"/>
        </w:rPr>
      </w:pPr>
      <w:r w:rsidRPr="006E50FF">
        <w:rPr>
          <w:noProof/>
          <w:lang w:eastAsia="zh-CN"/>
        </w:rPr>
        <w:t xml:space="preserve">Louisiana Cultural Districts Program </w:t>
      </w:r>
      <w:r w:rsidRPr="006E50FF">
        <w:rPr>
          <w:noProof/>
          <w:lang w:eastAsia="zh-CN"/>
        </w:rPr>
        <w:br/>
        <w:t xml:space="preserve">(LAC 25:I.Chapter 11) </w:t>
      </w:r>
    </w:p>
    <w:p w14:paraId="41BFD6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eastAsia="zh-CN"/>
        </w:rPr>
      </w:pPr>
      <w:r w:rsidRPr="006E50FF">
        <w:rPr>
          <w:kern w:val="2"/>
          <w:lang w:eastAsia="zh-CN"/>
        </w:rPr>
        <w:t>The Department of Culture, Recreation and Tourism, Office of Cultural Development, proposes to amend the rules contained in Title 25, Part I, Chapter 11 of the Louisiana Administrative Code concerning Cultural Districts, pursuant to the authority granted in R.S. 47:6019. The Department of Culture, Recreation and Tourism, Office of Cultural Development proposes to update references and terminology, clarify application reporting, recertification, and termination procedures, revise annual report components, and remove outdated sales tax exemption provisions.</w:t>
      </w:r>
    </w:p>
    <w:p w14:paraId="7781A5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eastAsia="zh-CN"/>
        </w:rPr>
      </w:pPr>
      <w:r w:rsidRPr="006E50FF">
        <w:rPr>
          <w:kern w:val="2"/>
          <w:lang w:eastAsia="zh-CN"/>
        </w:rPr>
        <w:t>The proposed amendments are intended to improve program administration, provide greater clarity to participating local governing authorities, promote consistent statewide implementation of the Cultural Districts Program, and ensure that certified cultural districts continue to advance the purposes established by R.S. 47:6019. The amendments also incorporate technical and organizational revisions intended to improve readability and eliminate obsolete provisions resulting from statutory changes.</w:t>
      </w:r>
    </w:p>
    <w:p w14:paraId="43C74C77" w14:textId="77777777" w:rsidR="006E50FF" w:rsidRPr="006E50FF" w:rsidRDefault="006E50FF" w:rsidP="006E50FF">
      <w:pPr>
        <w:keepNext/>
        <w:jc w:val="center"/>
        <w:rPr>
          <w:b/>
          <w:kern w:val="28"/>
          <w:lang w:eastAsia="zh-CN"/>
        </w:rPr>
      </w:pPr>
      <w:r w:rsidRPr="006E50FF">
        <w:rPr>
          <w:b/>
          <w:kern w:val="28"/>
          <w:lang w:eastAsia="zh-CN"/>
        </w:rPr>
        <w:t>Title 25</w:t>
      </w:r>
    </w:p>
    <w:p w14:paraId="4FCD4347" w14:textId="77777777" w:rsidR="006E50FF" w:rsidRPr="006E50FF" w:rsidRDefault="006E50FF" w:rsidP="006E50FF">
      <w:pPr>
        <w:keepNext/>
        <w:jc w:val="center"/>
        <w:rPr>
          <w:b/>
          <w:kern w:val="28"/>
          <w:lang w:eastAsia="zh-CN"/>
        </w:rPr>
      </w:pPr>
      <w:r w:rsidRPr="006E50FF">
        <w:rPr>
          <w:b/>
          <w:kern w:val="28"/>
          <w:lang w:eastAsia="zh-CN"/>
        </w:rPr>
        <w:t>CULTURAL RESOURCES</w:t>
      </w:r>
    </w:p>
    <w:p w14:paraId="109AD0AA" w14:textId="77777777" w:rsidR="006E50FF" w:rsidRPr="006E50FF" w:rsidRDefault="006E50FF" w:rsidP="006E50FF">
      <w:pPr>
        <w:keepNext/>
        <w:jc w:val="center"/>
        <w:rPr>
          <w:b/>
          <w:noProof/>
          <w:lang w:eastAsia="zh-CN"/>
        </w:rPr>
      </w:pPr>
      <w:r w:rsidRPr="006E50FF">
        <w:rPr>
          <w:b/>
          <w:noProof/>
          <w:lang w:eastAsia="zh-CN"/>
        </w:rPr>
        <w:t>Part I.  Office of Cultural Development</w:t>
      </w:r>
    </w:p>
    <w:p w14:paraId="1E43C3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lang w:eastAsia="zh-CN"/>
        </w:rPr>
      </w:pPr>
      <w:r w:rsidRPr="006E50FF">
        <w:rPr>
          <w:b/>
          <w:kern w:val="2"/>
          <w:lang w:eastAsia="zh-CN"/>
        </w:rPr>
        <w:t>Chapter 11.</w:t>
      </w:r>
      <w:r w:rsidRPr="006E50FF">
        <w:rPr>
          <w:b/>
          <w:kern w:val="2"/>
          <w:lang w:eastAsia="zh-CN"/>
        </w:rPr>
        <w:tab/>
        <w:t>Cultural Districts</w:t>
      </w:r>
    </w:p>
    <w:p w14:paraId="28AB2DD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§1101.</w:t>
      </w:r>
      <w:r w:rsidRPr="006E50FF">
        <w:rPr>
          <w:b/>
          <w:kern w:val="2"/>
        </w:rPr>
        <w:tab/>
        <w:t xml:space="preserve">Purpose and Authority </w:t>
      </w:r>
    </w:p>
    <w:p w14:paraId="4A0B58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Chapter sets forth the standards and procedures for the creation and management of cultural products districts, also called cultural districts, which may be used by local governing authorities as a mechanism for community revitalization through the creation of hubs of cultural activity. </w:t>
      </w:r>
    </w:p>
    <w:p w14:paraId="303C7E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R.S. 47:6019.</w:t>
      </w:r>
    </w:p>
    <w:p w14:paraId="1BC9EC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Culture, Recreation and Tourism, Office of Cultural Development, LR 34:599 (April 2008), amended LR 52: </w:t>
      </w:r>
    </w:p>
    <w:p w14:paraId="2C93A3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§1103.</w:t>
      </w:r>
      <w:r w:rsidRPr="006E50FF">
        <w:rPr>
          <w:b/>
          <w:kern w:val="2"/>
        </w:rPr>
        <w:tab/>
        <w:t xml:space="preserve">Definitions </w:t>
      </w:r>
    </w:p>
    <w:p w14:paraId="3702CF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following definitions shall apply for purposes of this Chapter, unless specifically defined otherwise. </w:t>
      </w:r>
    </w:p>
    <w:p w14:paraId="01E99B0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Assistant Secretary</w:t>
      </w:r>
      <w:r w:rsidRPr="006E50FF">
        <w:rPr>
          <w:kern w:val="2"/>
        </w:rPr>
        <w:t xml:space="preserve">—the Assistant Secretary of the Office of Cultural Development, Department of Culture, Recreation and Tourism. </w:t>
      </w:r>
    </w:p>
    <w:p w14:paraId="79ED02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C</w:t>
      </w:r>
      <w:r w:rsidRPr="006E50FF">
        <w:rPr>
          <w:i/>
          <w:kern w:val="2"/>
        </w:rPr>
        <w:t>ultural District</w:t>
      </w:r>
      <w:r w:rsidRPr="006E50FF">
        <w:rPr>
          <w:kern w:val="2"/>
        </w:rPr>
        <w:t xml:space="preserve">—an area designated by a local governing authority and certified by the Department of Culture, Recreation and Tourism in accordance with the statutory and regulatory procedures, standards, and criteria pertaining to such districts, which district shall be created for the purpose of revitalizing a community by creating a hub of cultural activity. </w:t>
      </w:r>
    </w:p>
    <w:p w14:paraId="1488D9F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Department</w:t>
      </w:r>
      <w:r w:rsidRPr="006E50FF">
        <w:rPr>
          <w:kern w:val="2"/>
        </w:rPr>
        <w:t xml:space="preserve">—the Department of Culture, Recreation and Tourism. </w:t>
      </w:r>
    </w:p>
    <w:p w14:paraId="611E7607" w14:textId="77777777" w:rsidR="006E50FF" w:rsidRPr="006E50FF" w:rsidRDefault="006E50FF" w:rsidP="006E50FF">
      <w:pPr>
        <w:tabs>
          <w:tab w:val="left" w:pos="720"/>
          <w:tab w:val="left" w:pos="979"/>
          <w:tab w:val="left" w:pos="1152"/>
        </w:tabs>
        <w:ind w:firstLine="360"/>
        <w:jc w:val="both"/>
        <w:outlineLvl w:val="4"/>
        <w:rPr>
          <w:i/>
          <w:kern w:val="2"/>
        </w:rPr>
      </w:pPr>
      <w:r w:rsidRPr="006E50FF">
        <w:rPr>
          <w:i/>
          <w:kern w:val="2"/>
        </w:rPr>
        <w:br w:type="page"/>
      </w:r>
    </w:p>
    <w:p w14:paraId="68A2C53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lastRenderedPageBreak/>
        <w:t>Local Governing Authority</w:t>
      </w:r>
      <w:r w:rsidRPr="006E50FF">
        <w:rPr>
          <w:kern w:val="2"/>
        </w:rPr>
        <w:t xml:space="preserve">—the governing authority of the parish in which the Cultural District is located unless the district is located within a municipality, in which case "local governing authority" shall mean the governing authority of the municipality. If the district is located partly in a municipality, "local governing authority" shall mean the governing authority of the parish and the governing authority of the municipality. </w:t>
      </w:r>
    </w:p>
    <w:p w14:paraId="477453D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Secretary</w:t>
      </w:r>
      <w:r w:rsidRPr="006E50FF">
        <w:rPr>
          <w:kern w:val="2"/>
        </w:rPr>
        <w:t xml:space="preserve">—the Secretary of the Department of Culture, Recreation and Tourism. </w:t>
      </w:r>
    </w:p>
    <w:p w14:paraId="54C1A4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23D513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34:599 (April 2008), amended LR 36:469 (March 2010), amended LR 52:</w:t>
      </w:r>
    </w:p>
    <w:p w14:paraId="406351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§1105.</w:t>
      </w:r>
      <w:r w:rsidRPr="006E50FF">
        <w:rPr>
          <w:b/>
          <w:kern w:val="2"/>
        </w:rPr>
        <w:tab/>
        <w:t xml:space="preserve">Application </w:t>
      </w:r>
    </w:p>
    <w:p w14:paraId="3D449B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local governing authority may submit to the department an application to designate and certify a specified geographic area as a cultural district. </w:t>
      </w:r>
    </w:p>
    <w:p w14:paraId="0C1617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Applications shall be submitted in accordance with the timetable and in the format provided by department policy. </w:t>
      </w:r>
    </w:p>
    <w:p w14:paraId="4690F5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If the department, acting through the assistant secretary, deems the application incomplete or requires additional information, the department shall notify the local governing authority through its designated contact, and in such notice, the department shall specify the deficiencies and/or information required to complete the application. </w:t>
      </w:r>
    </w:p>
    <w:p w14:paraId="422AD5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If the local governing authority is notified of a deficiency in the application or additional information is requested, the local governing authority shall remedy the deficiency or provide the requested information by the date specified in the notice of deficiency. </w:t>
      </w:r>
    </w:p>
    <w:p w14:paraId="005A31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If the local governing authority does not remedy the deficiency or provide the requested information by the date specified in the notice of deficiency, the application will be deemed incomplete and will not be reviewed further. </w:t>
      </w:r>
    </w:p>
    <w:p w14:paraId="1F33B0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1CF79A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34:599 (April 2008), amended LR 36:469 (March 2010), amended LR 52:</w:t>
      </w:r>
    </w:p>
    <w:p w14:paraId="61DC084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§1107.</w:t>
      </w:r>
      <w:r w:rsidRPr="006E50FF">
        <w:rPr>
          <w:b/>
          <w:kern w:val="2"/>
        </w:rPr>
        <w:tab/>
        <w:t xml:space="preserve">Criteria </w:t>
      </w:r>
    </w:p>
    <w:p w14:paraId="513780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assistant secretary shall evaluate the proposed cultural district to determine whether it meets the mandatory criteria set forth in law. </w:t>
      </w:r>
    </w:p>
    <w:p w14:paraId="594621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If the proposed district meets the mandatory criteria, the assistant secretary shall then evaluate the potential of the proposed cultural district to accomplish the following purposes: </w:t>
      </w:r>
    </w:p>
    <w:p w14:paraId="727E02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revitalize a neighborhood or area; </w:t>
      </w:r>
    </w:p>
    <w:p w14:paraId="673025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stimulate the economy; </w:t>
      </w:r>
    </w:p>
    <w:p w14:paraId="3D0878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engage residents; </w:t>
      </w:r>
    </w:p>
    <w:p w14:paraId="090B1C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draw tourists; </w:t>
      </w:r>
    </w:p>
    <w:p w14:paraId="0A562F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provide a sense of community; </w:t>
      </w:r>
    </w:p>
    <w:p w14:paraId="277365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serve as a gathering place; </w:t>
      </w:r>
    </w:p>
    <w:p w14:paraId="1118C7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encourage creativity; </w:t>
      </w:r>
    </w:p>
    <w:p w14:paraId="7E9914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strengthen community partnerships; </w:t>
      </w:r>
    </w:p>
    <w:p w14:paraId="51BF65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promote the arts and support artists; </w:t>
      </w:r>
    </w:p>
    <w:p w14:paraId="36B00F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 xml:space="preserve">develop a positive image for the area; </w:t>
      </w:r>
    </w:p>
    <w:p w14:paraId="1B3E79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 xml:space="preserve">enhance property values; and </w:t>
      </w:r>
    </w:p>
    <w:p w14:paraId="46D2C4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 xml:space="preserve">capitalize on local cultural, economic and social assets. </w:t>
      </w:r>
    </w:p>
    <w:p w14:paraId="1EC929F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47:6019.</w:t>
      </w:r>
    </w:p>
    <w:p w14:paraId="265C66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34:599 (April 2008), amended LR 36:469 (March 2010), amended LR 52:</w:t>
      </w:r>
    </w:p>
    <w:p w14:paraId="41E6D0F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§1109.</w:t>
      </w:r>
      <w:r w:rsidRPr="006E50FF">
        <w:rPr>
          <w:b/>
          <w:kern w:val="2"/>
        </w:rPr>
        <w:tab/>
        <w:t xml:space="preserve">Determination and Appeals </w:t>
      </w:r>
    </w:p>
    <w:p w14:paraId="4EEB9F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department, through the assistant secretary, shall notify the local governing authority in writing whether the proposed cultural district has been certified as proposed, has been certified with amendments, or has been returned with no action. </w:t>
      </w:r>
    </w:p>
    <w:p w14:paraId="405775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effective date of the certification shall be the date specified in the final written notice of approval. </w:t>
      </w:r>
    </w:p>
    <w:p w14:paraId="763CAD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Within 30 days of the local governing authority's receipt of the decision of the department, the local governing authority may submit a request for administrative review to the secretary. A request for administrative review shall include the following: </w:t>
      </w:r>
    </w:p>
    <w:p w14:paraId="10D7B6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identification of the decision to which the request pertains; </w:t>
      </w:r>
    </w:p>
    <w:p w14:paraId="3E907B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 statement of the decision sought; </w:t>
      </w:r>
    </w:p>
    <w:p w14:paraId="47DA32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 statement of the facts and reasons upon which such relief is requested; and </w:t>
      </w:r>
    </w:p>
    <w:p w14:paraId="18D6C2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name and address to which the department will send all communications regarding the request. </w:t>
      </w:r>
    </w:p>
    <w:p w14:paraId="01F771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effective date for determining whether qualifying rehabilitation expenses may be eligible for historic tax credits shall be governed by the federal, state laws, rules and policies of the historic tax credit programs administered by the Division of Historic Preservation. </w:t>
      </w:r>
    </w:p>
    <w:p w14:paraId="0CB77E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767112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34:600 (April 2008), amended LR 36:469 (March 2010), amended LR 52:</w:t>
      </w:r>
    </w:p>
    <w:p w14:paraId="6AE128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§1111.</w:t>
      </w:r>
      <w:r w:rsidRPr="006E50FF">
        <w:rPr>
          <w:b/>
          <w:kern w:val="2"/>
        </w:rPr>
        <w:tab/>
        <w:t xml:space="preserve">Reporting Requirements </w:t>
      </w:r>
    </w:p>
    <w:p w14:paraId="5AE7AB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year, the local governing authority shall prepare and submit to the department an annual report on the impact of the certified cultural district with regard to the purposes of the creation of a cultural district. This reporting requirement begins one full year after certification. </w:t>
      </w:r>
    </w:p>
    <w:p w14:paraId="04B785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local governing authority shall submit the annual report in the format set forth by the department. </w:t>
      </w:r>
    </w:p>
    <w:p w14:paraId="0F8F6D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annual report shall reflect the activity of the year. </w:t>
      </w:r>
    </w:p>
    <w:p w14:paraId="0C5E12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annual report shall also include cumulative data reflecting activity since the date of the creation of the cultural district. </w:t>
      </w:r>
    </w:p>
    <w:p w14:paraId="100510C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E.</w:t>
      </w:r>
      <w:r w:rsidRPr="006E50FF">
        <w:rPr>
          <w:kern w:val="2"/>
        </w:rPr>
        <w:tab/>
        <w:t xml:space="preserve">The annual report shall include information that describes the impact, including the economic impact, of the cultural district on the community. Illustrative examples of relevant information the local governing authority may include in its annual report: </w:t>
      </w:r>
    </w:p>
    <w:p w14:paraId="2D6274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number of businesses, including the net new businesses, located in the cultural districts</w:t>
      </w:r>
    </w:p>
    <w:p w14:paraId="352588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Evidence of cultural activity in the district, including the number of cultural events and attendees at each</w:t>
      </w:r>
    </w:p>
    <w:p w14:paraId="7C028EC9"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F.</w:t>
      </w:r>
      <w:r w:rsidRPr="006E50FF">
        <w:rPr>
          <w:kern w:val="2"/>
        </w:rPr>
        <w:tab/>
        <w:t xml:space="preserve">If the local governing authority fails to submit the annual report for three consecutive years, the department shall require the local governing authority to apply for certification </w:t>
      </w:r>
      <w:r w:rsidRPr="006E50FF">
        <w:rPr>
          <w:kern w:val="2"/>
        </w:rPr>
        <w:lastRenderedPageBreak/>
        <w:t xml:space="preserve">of the cultural district using the procedure set forth in Section 1119 (A)-(B). In the event the local governing authority fails to apply for or obtain recertification, the department shall initiate the procedures to terminate certification set forth in Section 1119(C). </w:t>
      </w:r>
    </w:p>
    <w:p w14:paraId="092CB9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47:6019.</w:t>
      </w:r>
    </w:p>
    <w:p w14:paraId="13C3B6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34:600 (April 2008), amended LR 36:470 (March 2010), amended LR 52:</w:t>
      </w:r>
    </w:p>
    <w:p w14:paraId="564DC3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§1113.</w:t>
      </w:r>
      <w:r w:rsidRPr="006E50FF">
        <w:rPr>
          <w:b/>
          <w:kern w:val="2"/>
        </w:rPr>
        <w:tab/>
        <w:t xml:space="preserve">Boundaries </w:t>
      </w:r>
    </w:p>
    <w:p w14:paraId="005D1B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Following adequate public notice and a period for public comment, a local governing authority may submit to the department an application to amend the boundaries of an established cultural district. </w:t>
      </w:r>
    </w:p>
    <w:p w14:paraId="0F01B9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Applications shall be submitted in accordance with the timetable and in the format provided by the department, and shall include: </w:t>
      </w:r>
    </w:p>
    <w:p w14:paraId="503499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identification of the changes from the current to proposed boundaries; </w:t>
      </w:r>
    </w:p>
    <w:p w14:paraId="0CFAE6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 description of the zoning and/or use of the property that would be included or excluded under the proposed boundary change; </w:t>
      </w:r>
    </w:p>
    <w:p w14:paraId="1077C4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reasons for the proposed change; </w:t>
      </w:r>
    </w:p>
    <w:p w14:paraId="5DC17F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documentation that the public was notified of the proposed boundary change and had an opportunity to respond in writing to support or oppose the change; </w:t>
      </w:r>
    </w:p>
    <w:p w14:paraId="633DDE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all letters, statements, surveys or other indicia of support for the boundary change, including a resolution of support by the local governing entity; </w:t>
      </w:r>
    </w:p>
    <w:p w14:paraId="579573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all letters, statements, surveys or other indicia of opposition to the proposed boundary change, to the extent such are known or should be known to the local governing authority. </w:t>
      </w:r>
    </w:p>
    <w:p w14:paraId="1B7E27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If the department deems the application incomplete or requires additional information, the department shall notify the local governing authority through its designated contact, and in such notice, the department shall specify the deficiencies and/or information required to complete the application. The local governing authority shall remedy the deficiency as set forth in §1105 C. </w:t>
      </w:r>
    </w:p>
    <w:p w14:paraId="51CEDB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department shall inform the local governing authority whether the proposed boundary change has been approved as proposed or has been returned with no action. </w:t>
      </w:r>
    </w:p>
    <w:p w14:paraId="07C7E2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Within 30 days of the local governing authority's receipt of the decision of the department, acting through the assistant secretary, the local governing authority may submit a request for administrative review to the secretary by following the procedure outlined in §1109.B. </w:t>
      </w:r>
    </w:p>
    <w:p w14:paraId="1A4314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The effective date of the approved boundary change shall be the date specified in the final approval from the department. </w:t>
      </w:r>
    </w:p>
    <w:p w14:paraId="1A82A7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2169C3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34:601 (April 2008), amended LR 36:470 (March 2010), amended LR 52:</w:t>
      </w:r>
    </w:p>
    <w:p w14:paraId="7174FE1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§1115.</w:t>
      </w:r>
      <w:r w:rsidRPr="006E50FF">
        <w:rPr>
          <w:b/>
          <w:kern w:val="2"/>
        </w:rPr>
        <w:tab/>
        <w:t xml:space="preserve">Termination by Local Governing Authority </w:t>
      </w:r>
    </w:p>
    <w:p w14:paraId="304491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Following adequate public notification and a period for public comment, a local governing authority may terminate </w:t>
      </w:r>
      <w:r w:rsidRPr="006E50FF">
        <w:rPr>
          <w:kern w:val="2"/>
        </w:rPr>
        <w:t xml:space="preserve">the existence of an established cultural district by resolution or ordinance. </w:t>
      </w:r>
    </w:p>
    <w:p w14:paraId="519DDA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At a minimum, the local governing authority shall publish notice of its intent to terminate the cultural district in the official parish journal, and the official website of the local governing authority, and shall take all necessary and reasonable steps to contact all property owners, tenants, the department, and any other organization or individual who have requested to receive such notices. </w:t>
      </w:r>
    </w:p>
    <w:p w14:paraId="2FD178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notice shall include: </w:t>
      </w:r>
    </w:p>
    <w:p w14:paraId="12064F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identification of the cultural district to be terminated; </w:t>
      </w:r>
    </w:p>
    <w:p w14:paraId="172ABA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reasons for the proposed termination; </w:t>
      </w:r>
    </w:p>
    <w:p w14:paraId="5D37D1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name and contact information for the individual to whom the public may submit comments to support or oppose the termination; </w:t>
      </w:r>
    </w:p>
    <w:p w14:paraId="415B31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date, time, and location of a public hearing, if any; </w:t>
      </w:r>
    </w:p>
    <w:p w14:paraId="6283A5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deadline to receive public comment. </w:t>
      </w:r>
    </w:p>
    <w:p w14:paraId="6F82FB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effective date of the termination shall be the date specified in the written notice issued by the local governing authority. </w:t>
      </w:r>
    </w:p>
    <w:p w14:paraId="0EFB1A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R.S. 47:6019.</w:t>
      </w:r>
    </w:p>
    <w:p w14:paraId="52471F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34:601 (April 2008), amended LR 36:470 (March 2010), amended LR 52:</w:t>
      </w:r>
    </w:p>
    <w:p w14:paraId="0D9E7E3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§1117.</w:t>
      </w:r>
      <w:r w:rsidRPr="006E50FF">
        <w:rPr>
          <w:b/>
          <w:kern w:val="2"/>
        </w:rPr>
        <w:tab/>
        <w:t>Procedure for Recertification of a Cultural District</w:t>
      </w:r>
    </w:p>
    <w:p w14:paraId="145BB8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department shall provide written notice and instruction to the local governing authority to apply for recertification of a cultural district under any of the following circumstances: </w:t>
      </w:r>
    </w:p>
    <w:p w14:paraId="1DC3CD2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the local governing authority has failed to submit the required reports and documentation for the cultural district for at least three consecutive years;</w:t>
      </w:r>
    </w:p>
    <w:p w14:paraId="7BA1C8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local governing authority has failed to submit the required reports and documentation for the cultural district timely, accurately, or completely for at least three consecutive years; </w:t>
      </w:r>
    </w:p>
    <w:p w14:paraId="089D67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an audit or review conducted or approved by the department reveals that the cultural district no longer meets the mandatory criteria, goals, or objectives; </w:t>
      </w:r>
    </w:p>
    <w:p w14:paraId="19881B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a cost-benefit analysis conducted or approved by the department reveals that the cultural district is no longer in the public interest. </w:t>
      </w:r>
    </w:p>
    <w:p w14:paraId="158258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Following the local governing authority’s failure to apply for or obtain recertification of a cultural district, the department may proceed with the of a cultural district as follows. </w:t>
      </w:r>
    </w:p>
    <w:p w14:paraId="448448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department shall provide the public notice of its intent to decertify the cultural district in the official parish journal, publication on the department website, and through written notice by mail to the local governing authority through its designated contact. </w:t>
      </w:r>
    </w:p>
    <w:p w14:paraId="21F0F9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notice shall set forth the facts that warrant decertification, the proposed date of decertification, and the procedure and deadline by which a member of the public may submit comment, feedback, or opposition. </w:t>
      </w:r>
    </w:p>
    <w:p w14:paraId="348DBF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department shall issue its final decision no less than ninety days following its initial notice of intent to decertify the district. </w:t>
      </w:r>
    </w:p>
    <w:p w14:paraId="3CF99D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 xml:space="preserve">The effective date of the decertification shall be the date specified in the written notice of intent. </w:t>
      </w:r>
    </w:p>
    <w:p w14:paraId="4F134A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Notwithstanding the foregoing, any project approved by the Division of Historic Preservation for a State commercial Part 1 Application withing the five-year period preceding decertification of a cultural district shall remain eligible for a state tax credit pursuant to R.S. 47:6019. However, in accordance with applicable laws, regulations and policies, the project shall lose eligibility if the project is dormant for five years following the approval of the Part 1 Application.</w:t>
      </w:r>
    </w:p>
    <w:p w14:paraId="3213EEC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41BB78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34:601 (April 2008), amended LR 36:470 (March 2010), amended LR 52:</w:t>
      </w:r>
    </w:p>
    <w:p w14:paraId="4FFEE955" w14:textId="77777777" w:rsidR="006E50FF" w:rsidRPr="006E50FF" w:rsidRDefault="006E50FF" w:rsidP="006E50FF">
      <w:pPr>
        <w:keepNext/>
        <w:jc w:val="center"/>
        <w:rPr>
          <w:b/>
          <w:kern w:val="28"/>
        </w:rPr>
      </w:pPr>
      <w:r w:rsidRPr="006E50FF">
        <w:rPr>
          <w:b/>
          <w:kern w:val="28"/>
        </w:rPr>
        <w:t>Family Impact Statement</w:t>
      </w:r>
    </w:p>
    <w:p w14:paraId="014A53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family formation, stability, and autonomy as described in R.S. 49:972.</w:t>
      </w:r>
    </w:p>
    <w:p w14:paraId="1B73EA64" w14:textId="77777777" w:rsidR="006E50FF" w:rsidRPr="006E50FF" w:rsidRDefault="006E50FF" w:rsidP="006E50FF">
      <w:pPr>
        <w:keepNext/>
        <w:jc w:val="center"/>
        <w:rPr>
          <w:b/>
          <w:kern w:val="28"/>
        </w:rPr>
      </w:pPr>
      <w:r w:rsidRPr="006E50FF">
        <w:rPr>
          <w:b/>
          <w:kern w:val="28"/>
        </w:rPr>
        <w:t>Poverty Impact Statement</w:t>
      </w:r>
    </w:p>
    <w:p w14:paraId="48F3D19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poverty as defined by R.S. 49:973.</w:t>
      </w:r>
    </w:p>
    <w:p w14:paraId="4CBBD22D" w14:textId="77777777" w:rsidR="006E50FF" w:rsidRPr="006E50FF" w:rsidRDefault="006E50FF" w:rsidP="006E50FF">
      <w:pPr>
        <w:keepNext/>
        <w:jc w:val="center"/>
        <w:rPr>
          <w:b/>
          <w:kern w:val="28"/>
        </w:rPr>
      </w:pPr>
      <w:r w:rsidRPr="006E50FF">
        <w:rPr>
          <w:b/>
          <w:w w:val="105"/>
          <w:kern w:val="28"/>
        </w:rPr>
        <w:t>Small</w:t>
      </w:r>
      <w:r w:rsidRPr="006E50FF">
        <w:rPr>
          <w:b/>
          <w:spacing w:val="-11"/>
          <w:w w:val="105"/>
          <w:kern w:val="28"/>
        </w:rPr>
        <w:t xml:space="preserve"> </w:t>
      </w:r>
      <w:r w:rsidRPr="006E50FF">
        <w:rPr>
          <w:b/>
          <w:kern w:val="28"/>
        </w:rPr>
        <w:t>Business</w:t>
      </w:r>
      <w:r w:rsidRPr="006E50FF">
        <w:rPr>
          <w:b/>
          <w:spacing w:val="-13"/>
          <w:w w:val="105"/>
          <w:kern w:val="28"/>
        </w:rPr>
        <w:t xml:space="preserve"> </w:t>
      </w:r>
      <w:r w:rsidRPr="006E50FF">
        <w:rPr>
          <w:b/>
          <w:spacing w:val="-2"/>
          <w:w w:val="105"/>
          <w:kern w:val="28"/>
        </w:rPr>
        <w:t>Analysis</w:t>
      </w:r>
    </w:p>
    <w:p w14:paraId="5C7ADB5E" w14:textId="77777777" w:rsidR="006E50FF" w:rsidRPr="006E50FF" w:rsidRDefault="006E50FF" w:rsidP="006E50FF">
      <w:pPr>
        <w:tabs>
          <w:tab w:val="left" w:pos="144"/>
          <w:tab w:val="left" w:pos="187"/>
          <w:tab w:val="left" w:pos="540"/>
          <w:tab w:val="left" w:pos="907"/>
          <w:tab w:val="left" w:pos="1080"/>
        </w:tabs>
        <w:ind w:firstLine="187"/>
        <w:jc w:val="both"/>
        <w:outlineLvl w:val="3"/>
        <w:rPr>
          <w:spacing w:val="-9"/>
          <w:w w:val="105"/>
          <w:kern w:val="2"/>
        </w:rPr>
      </w:pPr>
      <w:r w:rsidRPr="006E50FF">
        <w:rPr>
          <w:w w:val="105"/>
          <w:kern w:val="2"/>
        </w:rPr>
        <w:t>In</w:t>
      </w:r>
      <w:r w:rsidRPr="006E50FF">
        <w:rPr>
          <w:spacing w:val="-16"/>
          <w:w w:val="105"/>
          <w:kern w:val="2"/>
        </w:rPr>
        <w:t xml:space="preserve"> </w:t>
      </w:r>
      <w:r w:rsidRPr="006E50FF">
        <w:rPr>
          <w:w w:val="105"/>
          <w:kern w:val="2"/>
        </w:rPr>
        <w:t>accordance</w:t>
      </w:r>
      <w:r w:rsidRPr="006E50FF">
        <w:rPr>
          <w:spacing w:val="-5"/>
          <w:w w:val="105"/>
          <w:kern w:val="2"/>
        </w:rPr>
        <w:t xml:space="preserve"> </w:t>
      </w:r>
      <w:r w:rsidRPr="006E50FF">
        <w:rPr>
          <w:w w:val="105"/>
          <w:kern w:val="2"/>
        </w:rPr>
        <w:t>with</w:t>
      </w:r>
      <w:r w:rsidRPr="006E50FF">
        <w:rPr>
          <w:spacing w:val="-7"/>
          <w:w w:val="105"/>
          <w:kern w:val="2"/>
        </w:rPr>
        <w:t xml:space="preserve"> </w:t>
      </w:r>
      <w:r w:rsidRPr="006E50FF">
        <w:rPr>
          <w:w w:val="105"/>
          <w:kern w:val="2"/>
        </w:rPr>
        <w:t>R.S.</w:t>
      </w:r>
      <w:r w:rsidRPr="006E50FF">
        <w:rPr>
          <w:spacing w:val="-8"/>
          <w:w w:val="105"/>
          <w:kern w:val="2"/>
        </w:rPr>
        <w:t xml:space="preserve"> </w:t>
      </w:r>
      <w:r w:rsidRPr="006E50FF">
        <w:rPr>
          <w:w w:val="105"/>
          <w:kern w:val="2"/>
        </w:rPr>
        <w:t>49:974.5,</w:t>
      </w:r>
      <w:r w:rsidRPr="006E50FF">
        <w:rPr>
          <w:spacing w:val="-5"/>
          <w:w w:val="105"/>
          <w:kern w:val="2"/>
        </w:rPr>
        <w:t xml:space="preserve"> </w:t>
      </w:r>
      <w:r w:rsidRPr="006E50FF">
        <w:rPr>
          <w:w w:val="105"/>
          <w:kern w:val="2"/>
        </w:rPr>
        <w:t>the</w:t>
      </w:r>
      <w:r w:rsidRPr="006E50FF">
        <w:rPr>
          <w:spacing w:val="-13"/>
          <w:w w:val="105"/>
          <w:kern w:val="2"/>
        </w:rPr>
        <w:t xml:space="preserve"> </w:t>
      </w:r>
      <w:r w:rsidRPr="006E50FF">
        <w:rPr>
          <w:w w:val="105"/>
          <w:kern w:val="2"/>
        </w:rPr>
        <w:t>impact</w:t>
      </w:r>
      <w:r w:rsidRPr="006E50FF">
        <w:rPr>
          <w:spacing w:val="-8"/>
          <w:w w:val="105"/>
          <w:kern w:val="2"/>
        </w:rPr>
        <w:t xml:space="preserve"> </w:t>
      </w:r>
      <w:r w:rsidRPr="006E50FF">
        <w:rPr>
          <w:w w:val="105"/>
          <w:kern w:val="2"/>
        </w:rPr>
        <w:t>of</w:t>
      </w:r>
      <w:r w:rsidRPr="006E50FF">
        <w:rPr>
          <w:spacing w:val="-12"/>
          <w:w w:val="105"/>
          <w:kern w:val="2"/>
        </w:rPr>
        <w:t xml:space="preserve"> </w:t>
      </w:r>
      <w:r w:rsidRPr="006E50FF">
        <w:rPr>
          <w:w w:val="105"/>
          <w:kern w:val="2"/>
        </w:rPr>
        <w:t>this</w:t>
      </w:r>
      <w:r w:rsidRPr="006E50FF">
        <w:rPr>
          <w:spacing w:val="-10"/>
          <w:w w:val="105"/>
          <w:kern w:val="2"/>
        </w:rPr>
        <w:t xml:space="preserve"> </w:t>
      </w:r>
      <w:r w:rsidRPr="006E50FF">
        <w:rPr>
          <w:w w:val="105"/>
          <w:kern w:val="2"/>
        </w:rPr>
        <w:t>proposed</w:t>
      </w:r>
      <w:r w:rsidRPr="006E50FF">
        <w:rPr>
          <w:spacing w:val="-4"/>
          <w:w w:val="105"/>
          <w:kern w:val="2"/>
        </w:rPr>
        <w:t xml:space="preserve"> </w:t>
      </w:r>
      <w:r w:rsidRPr="006E50FF">
        <w:rPr>
          <w:w w:val="105"/>
          <w:kern w:val="2"/>
        </w:rPr>
        <w:t>Rule</w:t>
      </w:r>
      <w:r w:rsidRPr="006E50FF">
        <w:rPr>
          <w:spacing w:val="-10"/>
          <w:w w:val="105"/>
          <w:kern w:val="2"/>
        </w:rPr>
        <w:t xml:space="preserve"> </w:t>
      </w:r>
      <w:r w:rsidRPr="006E50FF">
        <w:rPr>
          <w:w w:val="105"/>
          <w:kern w:val="2"/>
        </w:rPr>
        <w:t>on</w:t>
      </w:r>
      <w:r w:rsidRPr="006E50FF">
        <w:rPr>
          <w:spacing w:val="-16"/>
          <w:w w:val="105"/>
          <w:kern w:val="2"/>
        </w:rPr>
        <w:t xml:space="preserve"> </w:t>
      </w:r>
      <w:r w:rsidRPr="006E50FF">
        <w:rPr>
          <w:w w:val="105"/>
          <w:kern w:val="2"/>
        </w:rPr>
        <w:t>small</w:t>
      </w:r>
      <w:r w:rsidRPr="006E50FF">
        <w:rPr>
          <w:spacing w:val="-5"/>
          <w:w w:val="105"/>
          <w:kern w:val="2"/>
        </w:rPr>
        <w:t xml:space="preserve"> </w:t>
      </w:r>
      <w:r w:rsidRPr="006E50FF">
        <w:rPr>
          <w:w w:val="105"/>
          <w:kern w:val="2"/>
        </w:rPr>
        <w:t>businesses</w:t>
      </w:r>
      <w:r w:rsidRPr="006E50FF">
        <w:rPr>
          <w:spacing w:val="-5"/>
          <w:w w:val="105"/>
          <w:kern w:val="2"/>
        </w:rPr>
        <w:t xml:space="preserve"> </w:t>
      </w:r>
      <w:r w:rsidRPr="006E50FF">
        <w:rPr>
          <w:w w:val="105"/>
          <w:kern w:val="2"/>
        </w:rPr>
        <w:t>has been</w:t>
      </w:r>
      <w:r w:rsidRPr="006E50FF">
        <w:rPr>
          <w:spacing w:val="-2"/>
          <w:w w:val="105"/>
          <w:kern w:val="2"/>
        </w:rPr>
        <w:t xml:space="preserve"> </w:t>
      </w:r>
      <w:r w:rsidRPr="006E50FF">
        <w:rPr>
          <w:w w:val="105"/>
          <w:kern w:val="2"/>
        </w:rPr>
        <w:t>considered. There is</w:t>
      </w:r>
      <w:r w:rsidRPr="006E50FF">
        <w:rPr>
          <w:spacing w:val="-7"/>
          <w:w w:val="105"/>
          <w:kern w:val="2"/>
        </w:rPr>
        <w:t xml:space="preserve"> </w:t>
      </w:r>
      <w:r w:rsidRPr="006E50FF">
        <w:rPr>
          <w:w w:val="105"/>
          <w:kern w:val="2"/>
        </w:rPr>
        <w:t>no</w:t>
      </w:r>
      <w:r w:rsidRPr="006E50FF">
        <w:rPr>
          <w:spacing w:val="-6"/>
          <w:w w:val="105"/>
          <w:kern w:val="2"/>
        </w:rPr>
        <w:t xml:space="preserve"> </w:t>
      </w:r>
      <w:r w:rsidRPr="006E50FF">
        <w:rPr>
          <w:w w:val="105"/>
          <w:kern w:val="2"/>
        </w:rPr>
        <w:t>known adverse impact on</w:t>
      </w:r>
      <w:r w:rsidRPr="006E50FF">
        <w:rPr>
          <w:spacing w:val="-9"/>
          <w:w w:val="105"/>
          <w:kern w:val="2"/>
        </w:rPr>
        <w:t xml:space="preserve"> the establishment of less stringent compliance or reporting requirements for small businesses; t</w:t>
      </w:r>
      <w:r w:rsidRPr="006E50FF">
        <w:rPr>
          <w:kern w:val="2"/>
          <w:shd w:val="clear" w:color="auto" w:fill="FFFFFF"/>
        </w:rPr>
        <w:t>h</w:t>
      </w:r>
      <w:r w:rsidRPr="006E50FF">
        <w:rPr>
          <w:spacing w:val="-9"/>
          <w:w w:val="105"/>
          <w:kern w:val="2"/>
        </w:rPr>
        <w:t>e establishment of less stringent schedules or deadlines for compliance or reporting requirements for small businesses; t</w:t>
      </w:r>
      <w:r w:rsidRPr="006E50FF">
        <w:rPr>
          <w:kern w:val="2"/>
          <w:shd w:val="clear" w:color="auto" w:fill="FFFFFF"/>
        </w:rPr>
        <w:t>h</w:t>
      </w:r>
      <w:r w:rsidRPr="006E50FF">
        <w:rPr>
          <w:spacing w:val="-9"/>
          <w:w w:val="105"/>
          <w:kern w:val="2"/>
        </w:rPr>
        <w:t>e consolidation or simplification of compliance or reporting requirements for small businesses; the establishment of performance standards for small businesses to replace design or operational standards required in the proposed Rule; or the exemption of small businesses from all or any part of the requirements contained in the proposed Rule.</w:t>
      </w:r>
    </w:p>
    <w:p w14:paraId="703E88E0" w14:textId="77777777" w:rsidR="006E50FF" w:rsidRPr="006E50FF" w:rsidRDefault="006E50FF" w:rsidP="006E50FF">
      <w:pPr>
        <w:keepNext/>
        <w:jc w:val="center"/>
        <w:rPr>
          <w:b/>
          <w:kern w:val="28"/>
        </w:rPr>
      </w:pPr>
      <w:r w:rsidRPr="006E50FF">
        <w:rPr>
          <w:b/>
          <w:w w:val="105"/>
          <w:kern w:val="28"/>
        </w:rPr>
        <w:t>Provider</w:t>
      </w:r>
      <w:r w:rsidRPr="006E50FF">
        <w:rPr>
          <w:b/>
          <w:spacing w:val="-12"/>
          <w:w w:val="105"/>
          <w:kern w:val="28"/>
        </w:rPr>
        <w:t xml:space="preserve"> </w:t>
      </w:r>
      <w:r w:rsidRPr="006E50FF">
        <w:rPr>
          <w:b/>
          <w:kern w:val="28"/>
        </w:rPr>
        <w:t>Impact</w:t>
      </w:r>
      <w:r w:rsidRPr="006E50FF">
        <w:rPr>
          <w:b/>
          <w:spacing w:val="-15"/>
          <w:w w:val="105"/>
          <w:kern w:val="28"/>
        </w:rPr>
        <w:t xml:space="preserve"> </w:t>
      </w:r>
      <w:r w:rsidRPr="006E50FF">
        <w:rPr>
          <w:b/>
          <w:spacing w:val="-2"/>
          <w:w w:val="105"/>
          <w:kern w:val="28"/>
        </w:rPr>
        <w:t>Statement</w:t>
      </w:r>
    </w:p>
    <w:p w14:paraId="2A15F083" w14:textId="77777777" w:rsidR="006E50FF" w:rsidRPr="006E50FF" w:rsidRDefault="006E50FF" w:rsidP="006E50FF">
      <w:pPr>
        <w:tabs>
          <w:tab w:val="left" w:pos="144"/>
          <w:tab w:val="left" w:pos="187"/>
          <w:tab w:val="left" w:pos="540"/>
          <w:tab w:val="left" w:pos="907"/>
          <w:tab w:val="left" w:pos="1080"/>
        </w:tabs>
        <w:ind w:firstLine="187"/>
        <w:jc w:val="both"/>
        <w:outlineLvl w:val="3"/>
        <w:rPr>
          <w:w w:val="105"/>
          <w:kern w:val="2"/>
        </w:rPr>
      </w:pPr>
      <w:r w:rsidRPr="006E50FF">
        <w:rPr>
          <w:w w:val="105"/>
          <w:kern w:val="2"/>
        </w:rPr>
        <w:t>In</w:t>
      </w:r>
      <w:r w:rsidRPr="006E50FF">
        <w:rPr>
          <w:spacing w:val="-16"/>
          <w:w w:val="105"/>
          <w:kern w:val="2"/>
        </w:rPr>
        <w:t xml:space="preserve"> </w:t>
      </w:r>
      <w:r w:rsidRPr="006E50FF">
        <w:rPr>
          <w:w w:val="105"/>
          <w:kern w:val="2"/>
        </w:rPr>
        <w:t>accordance</w:t>
      </w:r>
      <w:r w:rsidRPr="006E50FF">
        <w:rPr>
          <w:spacing w:val="-4"/>
          <w:w w:val="105"/>
          <w:kern w:val="2"/>
        </w:rPr>
        <w:t xml:space="preserve"> </w:t>
      </w:r>
      <w:r w:rsidRPr="006E50FF">
        <w:rPr>
          <w:w w:val="105"/>
          <w:kern w:val="2"/>
        </w:rPr>
        <w:t>with</w:t>
      </w:r>
      <w:r w:rsidRPr="006E50FF">
        <w:rPr>
          <w:spacing w:val="-10"/>
          <w:w w:val="105"/>
          <w:kern w:val="2"/>
        </w:rPr>
        <w:t xml:space="preserve"> </w:t>
      </w:r>
      <w:r w:rsidRPr="006E50FF">
        <w:rPr>
          <w:w w:val="105"/>
          <w:kern w:val="2"/>
        </w:rPr>
        <w:t>House</w:t>
      </w:r>
      <w:r w:rsidRPr="006E50FF">
        <w:rPr>
          <w:spacing w:val="-9"/>
          <w:w w:val="105"/>
          <w:kern w:val="2"/>
        </w:rPr>
        <w:t xml:space="preserve"> </w:t>
      </w:r>
      <w:r w:rsidRPr="006E50FF">
        <w:rPr>
          <w:w w:val="105"/>
          <w:kern w:val="2"/>
        </w:rPr>
        <w:t>Concurrent Resolution</w:t>
      </w:r>
      <w:r w:rsidRPr="006E50FF">
        <w:rPr>
          <w:spacing w:val="-6"/>
          <w:w w:val="105"/>
          <w:kern w:val="2"/>
        </w:rPr>
        <w:t xml:space="preserve"> </w:t>
      </w:r>
      <w:r w:rsidRPr="006E50FF">
        <w:rPr>
          <w:w w:val="105"/>
          <w:kern w:val="2"/>
        </w:rPr>
        <w:t>170</w:t>
      </w:r>
      <w:r w:rsidRPr="006E50FF">
        <w:rPr>
          <w:spacing w:val="-16"/>
          <w:w w:val="105"/>
          <w:kern w:val="2"/>
        </w:rPr>
        <w:t xml:space="preserve"> </w:t>
      </w:r>
      <w:r w:rsidRPr="006E50FF">
        <w:rPr>
          <w:w w:val="105"/>
          <w:kern w:val="2"/>
        </w:rPr>
        <w:t>of</w:t>
      </w:r>
      <w:r w:rsidRPr="006E50FF">
        <w:rPr>
          <w:spacing w:val="-13"/>
          <w:w w:val="105"/>
          <w:kern w:val="2"/>
        </w:rPr>
        <w:t xml:space="preserve"> </w:t>
      </w:r>
      <w:r w:rsidRPr="006E50FF">
        <w:rPr>
          <w:w w:val="105"/>
          <w:kern w:val="2"/>
        </w:rPr>
        <w:t>the</w:t>
      </w:r>
      <w:r w:rsidRPr="006E50FF">
        <w:rPr>
          <w:spacing w:val="-16"/>
          <w:w w:val="105"/>
          <w:kern w:val="2"/>
        </w:rPr>
        <w:t xml:space="preserve"> </w:t>
      </w:r>
      <w:r w:rsidRPr="006E50FF">
        <w:rPr>
          <w:w w:val="105"/>
          <w:kern w:val="2"/>
        </w:rPr>
        <w:t>2014</w:t>
      </w:r>
      <w:r w:rsidRPr="006E50FF">
        <w:rPr>
          <w:spacing w:val="-6"/>
          <w:w w:val="105"/>
          <w:kern w:val="2"/>
        </w:rPr>
        <w:t xml:space="preserve"> </w:t>
      </w:r>
      <w:r w:rsidRPr="006E50FF">
        <w:rPr>
          <w:w w:val="105"/>
          <w:kern w:val="2"/>
        </w:rPr>
        <w:t>Regular</w:t>
      </w:r>
      <w:r w:rsidRPr="006E50FF">
        <w:rPr>
          <w:spacing w:val="-9"/>
          <w:w w:val="105"/>
          <w:kern w:val="2"/>
        </w:rPr>
        <w:t xml:space="preserve"> </w:t>
      </w:r>
      <w:r w:rsidRPr="006E50FF">
        <w:rPr>
          <w:w w:val="105"/>
          <w:kern w:val="2"/>
        </w:rPr>
        <w:t>Session,</w:t>
      </w:r>
      <w:r w:rsidRPr="006E50FF">
        <w:rPr>
          <w:spacing w:val="-6"/>
          <w:w w:val="105"/>
          <w:kern w:val="2"/>
        </w:rPr>
        <w:t xml:space="preserve"> </w:t>
      </w:r>
      <w:r w:rsidRPr="006E50FF">
        <w:rPr>
          <w:w w:val="105"/>
          <w:kern w:val="2"/>
        </w:rPr>
        <w:t>the</w:t>
      </w:r>
      <w:r w:rsidRPr="006E50FF">
        <w:rPr>
          <w:spacing w:val="-16"/>
          <w:w w:val="105"/>
          <w:kern w:val="2"/>
        </w:rPr>
        <w:t xml:space="preserve"> </w:t>
      </w:r>
      <w:r w:rsidRPr="006E50FF">
        <w:rPr>
          <w:w w:val="105"/>
          <w:kern w:val="2"/>
        </w:rPr>
        <w:t>impact of</w:t>
      </w:r>
      <w:r w:rsidRPr="006E50FF">
        <w:rPr>
          <w:spacing w:val="-7"/>
          <w:w w:val="105"/>
          <w:kern w:val="2"/>
        </w:rPr>
        <w:t xml:space="preserve"> </w:t>
      </w:r>
      <w:r w:rsidRPr="006E50FF">
        <w:rPr>
          <w:w w:val="105"/>
          <w:kern w:val="2"/>
        </w:rPr>
        <w:t>this</w:t>
      </w:r>
      <w:r w:rsidRPr="006E50FF">
        <w:rPr>
          <w:spacing w:val="-4"/>
          <w:w w:val="105"/>
          <w:kern w:val="2"/>
        </w:rPr>
        <w:t xml:space="preserve"> </w:t>
      </w:r>
      <w:r w:rsidRPr="006E50FF">
        <w:rPr>
          <w:w w:val="105"/>
          <w:kern w:val="2"/>
        </w:rPr>
        <w:t>proposed Rule</w:t>
      </w:r>
      <w:r w:rsidRPr="006E50FF">
        <w:rPr>
          <w:spacing w:val="-4"/>
          <w:w w:val="105"/>
          <w:kern w:val="2"/>
        </w:rPr>
        <w:t xml:space="preserve"> </w:t>
      </w:r>
      <w:r w:rsidRPr="006E50FF">
        <w:rPr>
          <w:w w:val="105"/>
          <w:kern w:val="2"/>
        </w:rPr>
        <w:t>on</w:t>
      </w:r>
      <w:r w:rsidRPr="006E50FF">
        <w:rPr>
          <w:spacing w:val="-10"/>
          <w:w w:val="105"/>
          <w:kern w:val="2"/>
        </w:rPr>
        <w:t xml:space="preserve"> </w:t>
      </w:r>
      <w:r w:rsidRPr="006E50FF">
        <w:rPr>
          <w:kern w:val="2"/>
        </w:rPr>
        <w:t>organizations</w:t>
      </w:r>
      <w:r w:rsidRPr="006E50FF">
        <w:rPr>
          <w:spacing w:val="19"/>
          <w:w w:val="105"/>
          <w:kern w:val="2"/>
        </w:rPr>
        <w:t xml:space="preserve"> </w:t>
      </w:r>
      <w:r w:rsidRPr="006E50FF">
        <w:rPr>
          <w:w w:val="105"/>
          <w:kern w:val="2"/>
        </w:rPr>
        <w:t>that</w:t>
      </w:r>
      <w:r w:rsidRPr="006E50FF">
        <w:rPr>
          <w:spacing w:val="-3"/>
          <w:w w:val="105"/>
          <w:kern w:val="2"/>
        </w:rPr>
        <w:t xml:space="preserve"> </w:t>
      </w:r>
      <w:r w:rsidRPr="006E50FF">
        <w:rPr>
          <w:w w:val="105"/>
          <w:kern w:val="2"/>
        </w:rPr>
        <w:t>provide services</w:t>
      </w:r>
      <w:r w:rsidRPr="006E50FF">
        <w:rPr>
          <w:spacing w:val="-1"/>
          <w:w w:val="105"/>
          <w:kern w:val="2"/>
        </w:rPr>
        <w:t xml:space="preserve"> </w:t>
      </w:r>
      <w:r w:rsidRPr="006E50FF">
        <w:rPr>
          <w:w w:val="105"/>
          <w:kern w:val="2"/>
        </w:rPr>
        <w:t>for</w:t>
      </w:r>
      <w:r w:rsidRPr="006E50FF">
        <w:rPr>
          <w:spacing w:val="-13"/>
          <w:w w:val="105"/>
          <w:kern w:val="2"/>
        </w:rPr>
        <w:t xml:space="preserve"> </w:t>
      </w:r>
      <w:r w:rsidRPr="006E50FF">
        <w:rPr>
          <w:w w:val="105"/>
          <w:kern w:val="2"/>
        </w:rPr>
        <w:t>individuals with</w:t>
      </w:r>
      <w:r w:rsidRPr="006E50FF">
        <w:rPr>
          <w:spacing w:val="-4"/>
          <w:w w:val="105"/>
          <w:kern w:val="2"/>
        </w:rPr>
        <w:t xml:space="preserve"> </w:t>
      </w:r>
      <w:r w:rsidRPr="006E50FF">
        <w:rPr>
          <w:w w:val="105"/>
          <w:kern w:val="2"/>
        </w:rPr>
        <w:t>developmental disabilities has</w:t>
      </w:r>
      <w:r w:rsidRPr="006E50FF">
        <w:rPr>
          <w:spacing w:val="-9"/>
          <w:w w:val="105"/>
          <w:kern w:val="2"/>
        </w:rPr>
        <w:t xml:space="preserve"> </w:t>
      </w:r>
      <w:r w:rsidRPr="006E50FF">
        <w:rPr>
          <w:w w:val="105"/>
          <w:kern w:val="2"/>
        </w:rPr>
        <w:t>been considered.</w:t>
      </w:r>
      <w:r w:rsidRPr="006E50FF">
        <w:rPr>
          <w:spacing w:val="25"/>
          <w:w w:val="105"/>
          <w:kern w:val="2"/>
        </w:rPr>
        <w:t xml:space="preserve"> </w:t>
      </w:r>
      <w:r w:rsidRPr="006E50FF">
        <w:rPr>
          <w:w w:val="105"/>
          <w:kern w:val="2"/>
        </w:rPr>
        <w:t>It</w:t>
      </w:r>
      <w:r w:rsidRPr="006E50FF">
        <w:rPr>
          <w:spacing w:val="-3"/>
          <w:w w:val="105"/>
          <w:kern w:val="2"/>
        </w:rPr>
        <w:t xml:space="preserve"> </w:t>
      </w:r>
      <w:r w:rsidRPr="006E50FF">
        <w:rPr>
          <w:w w:val="105"/>
          <w:kern w:val="2"/>
        </w:rPr>
        <w:t>does not</w:t>
      </w:r>
      <w:r w:rsidRPr="006E50FF">
        <w:rPr>
          <w:spacing w:val="-8"/>
          <w:w w:val="105"/>
          <w:kern w:val="2"/>
        </w:rPr>
        <w:t xml:space="preserve"> </w:t>
      </w:r>
      <w:r w:rsidRPr="006E50FF">
        <w:rPr>
          <w:w w:val="105"/>
          <w:kern w:val="2"/>
        </w:rPr>
        <w:t>have any</w:t>
      </w:r>
      <w:r w:rsidRPr="006E50FF">
        <w:rPr>
          <w:spacing w:val="-2"/>
          <w:w w:val="105"/>
          <w:kern w:val="2"/>
        </w:rPr>
        <w:t xml:space="preserve"> </w:t>
      </w:r>
      <w:r w:rsidRPr="006E50FF">
        <w:rPr>
          <w:w w:val="105"/>
          <w:kern w:val="2"/>
        </w:rPr>
        <w:t>effect on</w:t>
      </w:r>
      <w:r w:rsidRPr="006E50FF">
        <w:rPr>
          <w:spacing w:val="-4"/>
          <w:w w:val="105"/>
          <w:kern w:val="2"/>
        </w:rPr>
        <w:t xml:space="preserve"> </w:t>
      </w:r>
      <w:r w:rsidRPr="006E50FF">
        <w:rPr>
          <w:w w:val="105"/>
          <w:kern w:val="2"/>
        </w:rPr>
        <w:t>provider staffing levels, qualifications,</w:t>
      </w:r>
      <w:r w:rsidRPr="006E50FF">
        <w:rPr>
          <w:spacing w:val="-15"/>
          <w:w w:val="105"/>
          <w:kern w:val="2"/>
        </w:rPr>
        <w:t xml:space="preserve"> </w:t>
      </w:r>
      <w:r w:rsidRPr="006E50FF">
        <w:rPr>
          <w:w w:val="105"/>
          <w:kern w:val="2"/>
        </w:rPr>
        <w:t>costs, or overall ability of</w:t>
      </w:r>
      <w:r w:rsidRPr="006E50FF">
        <w:rPr>
          <w:spacing w:val="-3"/>
          <w:w w:val="105"/>
          <w:kern w:val="2"/>
        </w:rPr>
        <w:t xml:space="preserve"> </w:t>
      </w:r>
      <w:r w:rsidRPr="006E50FF">
        <w:rPr>
          <w:w w:val="105"/>
          <w:kern w:val="2"/>
        </w:rPr>
        <w:t>providers to</w:t>
      </w:r>
      <w:r w:rsidRPr="006E50FF">
        <w:rPr>
          <w:spacing w:val="-2"/>
          <w:w w:val="105"/>
          <w:kern w:val="2"/>
        </w:rPr>
        <w:t xml:space="preserve"> </w:t>
      </w:r>
      <w:r w:rsidRPr="006E50FF">
        <w:rPr>
          <w:w w:val="105"/>
          <w:kern w:val="2"/>
        </w:rPr>
        <w:t>provide the</w:t>
      </w:r>
      <w:r w:rsidRPr="006E50FF">
        <w:rPr>
          <w:spacing w:val="-12"/>
          <w:w w:val="105"/>
          <w:kern w:val="2"/>
        </w:rPr>
        <w:t xml:space="preserve"> </w:t>
      </w:r>
      <w:r w:rsidRPr="006E50FF">
        <w:rPr>
          <w:w w:val="105"/>
          <w:kern w:val="2"/>
        </w:rPr>
        <w:t>same level of</w:t>
      </w:r>
      <w:r w:rsidRPr="006E50FF">
        <w:rPr>
          <w:spacing w:val="-2"/>
          <w:w w:val="105"/>
          <w:kern w:val="2"/>
        </w:rPr>
        <w:t xml:space="preserve"> </w:t>
      </w:r>
      <w:r w:rsidRPr="006E50FF">
        <w:rPr>
          <w:w w:val="105"/>
          <w:kern w:val="2"/>
        </w:rPr>
        <w:t>service.</w:t>
      </w:r>
    </w:p>
    <w:p w14:paraId="26B8A43D" w14:textId="77777777" w:rsidR="006E50FF" w:rsidRPr="006E50FF" w:rsidRDefault="006E50FF" w:rsidP="006E50FF">
      <w:pPr>
        <w:keepNext/>
        <w:jc w:val="center"/>
        <w:rPr>
          <w:b/>
          <w:kern w:val="28"/>
        </w:rPr>
      </w:pPr>
      <w:r w:rsidRPr="006E50FF">
        <w:rPr>
          <w:b/>
          <w:kern w:val="28"/>
        </w:rPr>
        <w:t>Public Comments</w:t>
      </w:r>
    </w:p>
    <w:p w14:paraId="148179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Francesca Vega, Office of Cultural Development, Division of the Arts, P.O. Box 44247, Baton Rouge, LA 70804-4247 or via email at fvega@crt.la.gov. The deadline for submitting written comments is at 4:30 p.m. on October 10, 2026.</w:t>
      </w:r>
    </w:p>
    <w:p w14:paraId="460DA6BD" w14:textId="77777777" w:rsidR="006E50FF" w:rsidRPr="006E50FF" w:rsidRDefault="006E50FF" w:rsidP="006E50FF">
      <w:pPr>
        <w:keepNext/>
        <w:jc w:val="center"/>
        <w:rPr>
          <w:b/>
          <w:kern w:val="28"/>
        </w:rPr>
      </w:pPr>
      <w:r w:rsidRPr="006E50FF">
        <w:rPr>
          <w:b/>
          <w:kern w:val="28"/>
        </w:rPr>
        <w:t>Public Hearing</w:t>
      </w:r>
    </w:p>
    <w:p w14:paraId="14C271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to receive comments on the Notice of Intent will be held on October 27, 2026 beginning at 9 a.m. All interested persons will be afforded an opportunity to </w:t>
      </w:r>
      <w:r w:rsidRPr="006E50FF">
        <w:rPr>
          <w:kern w:val="2"/>
        </w:rPr>
        <w:br w:type="column"/>
      </w:r>
      <w:r w:rsidRPr="006E50FF">
        <w:rPr>
          <w:kern w:val="2"/>
        </w:rPr>
        <w:t>submit data, views, or arguments, orally or in writing, at said hearing. The hearing will be held at the Louisiana Office of Cultural Development, Division of the Arts, 1051 N. Third Street, Baton Rouge, LA 70802.</w:t>
      </w:r>
    </w:p>
    <w:p w14:paraId="0280C2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0A25AD3" w14:textId="77777777" w:rsidR="006E50FF" w:rsidRPr="006E50FF" w:rsidRDefault="006E50FF" w:rsidP="006E50FF">
      <w:pPr>
        <w:keepNext/>
        <w:ind w:left="2160"/>
        <w:jc w:val="both"/>
      </w:pPr>
      <w:r w:rsidRPr="006E50FF">
        <w:t>Carrie Broussard</w:t>
      </w:r>
    </w:p>
    <w:p w14:paraId="0F83172A" w14:textId="77777777" w:rsidR="006E50FF" w:rsidRPr="006E50FF" w:rsidRDefault="006E50FF" w:rsidP="006E50FF">
      <w:pPr>
        <w:keepNext/>
        <w:ind w:left="2160"/>
        <w:jc w:val="both"/>
      </w:pPr>
      <w:r w:rsidRPr="006E50FF">
        <w:t>Assistant Secretary</w:t>
      </w:r>
    </w:p>
    <w:p w14:paraId="331C6DD1" w14:textId="77777777" w:rsidR="006E50FF" w:rsidRPr="006E50FF" w:rsidRDefault="006E50FF" w:rsidP="006E50FF">
      <w:pPr>
        <w:keepNext/>
        <w:jc w:val="center"/>
        <w:rPr>
          <w:b/>
        </w:rPr>
      </w:pPr>
    </w:p>
    <w:p w14:paraId="64ADB04F" w14:textId="77777777" w:rsidR="006E50FF" w:rsidRPr="006E50FF" w:rsidRDefault="006E50FF" w:rsidP="006E50FF">
      <w:pPr>
        <w:keepNext/>
        <w:jc w:val="center"/>
        <w:rPr>
          <w:b/>
        </w:rPr>
      </w:pPr>
      <w:r w:rsidRPr="006E50FF">
        <w:rPr>
          <w:b/>
        </w:rPr>
        <w:t>FISCAL AND ECONOMIC IMPACT STATEMENT FOR ADMINISTRATIVE RULES</w:t>
      </w:r>
    </w:p>
    <w:p w14:paraId="7651A82E" w14:textId="77777777" w:rsidR="006E50FF" w:rsidRPr="006E50FF" w:rsidRDefault="006E50FF" w:rsidP="006E50FF">
      <w:pPr>
        <w:keepNext/>
        <w:jc w:val="center"/>
        <w:rPr>
          <w:b/>
          <w:noProof/>
        </w:rPr>
      </w:pPr>
      <w:r w:rsidRPr="006E50FF">
        <w:rPr>
          <w:b/>
          <w:noProof/>
        </w:rPr>
        <w:t>RULE TITLE:  Louisiana Cultural Districts Program</w:t>
      </w:r>
    </w:p>
    <w:p w14:paraId="35ADD29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6875AC12"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55722FB" w14:textId="77777777" w:rsidR="006E50FF" w:rsidRPr="006E50FF" w:rsidRDefault="006E50FF" w:rsidP="006E50FF">
      <w:pPr>
        <w:ind w:left="288" w:firstLine="288"/>
        <w:jc w:val="both"/>
        <w:rPr>
          <w:noProof/>
          <w:sz w:val="18"/>
        </w:rPr>
      </w:pPr>
      <w:r w:rsidRPr="006E50FF">
        <w:rPr>
          <w:noProof/>
          <w:sz w:val="18"/>
        </w:rPr>
        <w:t xml:space="preserve">There are no anticipated costs or savings to the Louisiana Department of Culture, Recreation, and Tourism (CRT), other than the cost to promulgate the proposed rule change. There is no anticipated cost or savings to other state agencies or local governmental units as a result of the proposed rule change. </w:t>
      </w:r>
    </w:p>
    <w:p w14:paraId="7AE5B4FF" w14:textId="77777777" w:rsidR="006E50FF" w:rsidRPr="006E50FF" w:rsidRDefault="006E50FF" w:rsidP="006E50FF">
      <w:pPr>
        <w:ind w:left="288" w:firstLine="288"/>
        <w:jc w:val="both"/>
        <w:rPr>
          <w:noProof/>
          <w:sz w:val="18"/>
        </w:rPr>
      </w:pPr>
      <w:r w:rsidRPr="006E50FF">
        <w:rPr>
          <w:noProof/>
          <w:sz w:val="18"/>
        </w:rPr>
        <w:t>The proposed rule change repeals LAC Title 25, Part I, Chapter 11, Section 1113, which governs the sales and use tax exemption formerly administered by the Louisiana Office of Cultural Development. Act 11 of the 2024 Third Extraordinary Session repealed, effective January 1, 2025, the state and local sales and use tax exemption for original, one-of-a-kind works of art sold from established locations within cultural districts.</w:t>
      </w:r>
    </w:p>
    <w:p w14:paraId="595D9538" w14:textId="77777777" w:rsidR="006E50FF" w:rsidRPr="006E50FF" w:rsidRDefault="006E50FF" w:rsidP="006E50FF">
      <w:pPr>
        <w:ind w:left="288" w:firstLine="288"/>
        <w:jc w:val="both"/>
        <w:rPr>
          <w:noProof/>
          <w:sz w:val="18"/>
        </w:rPr>
      </w:pPr>
      <w:r w:rsidRPr="006E50FF">
        <w:rPr>
          <w:noProof/>
          <w:sz w:val="18"/>
        </w:rPr>
        <w:t>The proposed rule change amends LAC Title 25, Part I, Chapter 11, sections</w:t>
      </w:r>
      <w:r w:rsidRPr="006E50FF" w:rsidDel="00BE285D">
        <w:rPr>
          <w:noProof/>
          <w:sz w:val="18"/>
        </w:rPr>
        <w:t xml:space="preserve"> </w:t>
      </w:r>
      <w:r w:rsidRPr="006E50FF">
        <w:rPr>
          <w:noProof/>
          <w:sz w:val="18"/>
        </w:rPr>
        <w:t xml:space="preserve">1101, 1103, 1107, 1111, 1115, and 1117 to clarify language regarding procedures for recertification of a cultural district. </w:t>
      </w:r>
    </w:p>
    <w:p w14:paraId="76326579" w14:textId="77777777" w:rsidR="006E50FF" w:rsidRPr="006E50FF" w:rsidRDefault="006E50FF" w:rsidP="006E50FF">
      <w:pPr>
        <w:ind w:left="288" w:firstLine="288"/>
        <w:jc w:val="both"/>
        <w:rPr>
          <w:sz w:val="18"/>
        </w:rPr>
      </w:pPr>
      <w:r w:rsidRPr="006E50FF">
        <w:rPr>
          <w:sz w:val="18"/>
        </w:rPr>
        <w:t>The proposed rule change amends LAC Title 25, Part I, Chapter 11, sections 1111 and 1119 to provide updated information on rules for reporting if a district is nonreporting for three consecutive years, rules for recertification, and how state commercial tax credit application periods relate to decertification.</w:t>
      </w:r>
    </w:p>
    <w:p w14:paraId="066BD4E3"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1D2BABD" w14:textId="77777777" w:rsidR="006E50FF" w:rsidRPr="006E50FF" w:rsidRDefault="006E50FF" w:rsidP="006E50FF">
      <w:pPr>
        <w:ind w:left="288" w:firstLine="288"/>
        <w:jc w:val="both"/>
        <w:rPr>
          <w:sz w:val="18"/>
        </w:rPr>
      </w:pPr>
      <w:r w:rsidRPr="006E50FF">
        <w:rPr>
          <w:sz w:val="18"/>
        </w:rPr>
        <w:t>The proposed rule change is not anticipated to have an independent fiscal impact on state or local governmental revenues. It conforms CRT's administrative rules to Act 11 of the 2024 Third Extraordinary Session, which repealed the sales and use tax exemption for qualifying original works of art sold in cultural districts, effective January 1, 2025.</w:t>
      </w:r>
    </w:p>
    <w:p w14:paraId="3C52E04B"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2736BFF"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 as a result of the proposed rule change.</w:t>
      </w:r>
    </w:p>
    <w:p w14:paraId="3102EBC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81D1354"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sectors.</w:t>
      </w:r>
    </w:p>
    <w:p w14:paraId="6E7B6105" w14:textId="77777777" w:rsidR="006E50FF" w:rsidRPr="006E50FF" w:rsidRDefault="006E50FF" w:rsidP="006E50FF">
      <w:pPr>
        <w:ind w:left="288" w:firstLine="288"/>
        <w:jc w:val="both"/>
        <w:rPr>
          <w:sz w:val="18"/>
        </w:rPr>
      </w:pPr>
    </w:p>
    <w:p w14:paraId="0E45DF0D" w14:textId="77777777" w:rsidR="006E50FF" w:rsidRPr="006E50FF" w:rsidRDefault="006E50FF" w:rsidP="006E50FF">
      <w:pPr>
        <w:tabs>
          <w:tab w:val="left" w:pos="2880"/>
          <w:tab w:val="decimal" w:pos="2988"/>
        </w:tabs>
        <w:outlineLvl w:val="8"/>
        <w:rPr>
          <w:kern w:val="2"/>
          <w:sz w:val="18"/>
        </w:rPr>
      </w:pPr>
      <w:r w:rsidRPr="006E50FF">
        <w:rPr>
          <w:kern w:val="2"/>
          <w:sz w:val="18"/>
        </w:rPr>
        <w:t>Nancy Watkins</w:t>
      </w:r>
      <w:r w:rsidRPr="006E50FF">
        <w:rPr>
          <w:kern w:val="2"/>
          <w:sz w:val="18"/>
        </w:rPr>
        <w:tab/>
        <w:t>Patrice Thomas</w:t>
      </w:r>
    </w:p>
    <w:p w14:paraId="298AAE4C"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484D5268" w14:textId="77777777" w:rsidR="006E50FF" w:rsidRPr="006E50FF" w:rsidRDefault="006E50FF" w:rsidP="006E50FF">
      <w:pPr>
        <w:tabs>
          <w:tab w:val="left" w:pos="2880"/>
          <w:tab w:val="decimal" w:pos="2988"/>
        </w:tabs>
        <w:outlineLvl w:val="8"/>
        <w:rPr>
          <w:kern w:val="2"/>
          <w:sz w:val="18"/>
        </w:rPr>
      </w:pPr>
      <w:r w:rsidRPr="006E50FF">
        <w:rPr>
          <w:noProof/>
          <w:sz w:val="16"/>
        </w:rPr>
        <w:t>2609#025</w:t>
      </w:r>
      <w:r w:rsidRPr="006E50FF">
        <w:rPr>
          <w:kern w:val="2"/>
        </w:rPr>
        <w:tab/>
      </w:r>
      <w:r w:rsidRPr="006E50FF">
        <w:rPr>
          <w:kern w:val="2"/>
          <w:sz w:val="18"/>
        </w:rPr>
        <w:t>Legislative Fiscal Office</w:t>
      </w:r>
    </w:p>
    <w:p w14:paraId="595F2D7B" w14:textId="77777777" w:rsidR="006E50FF" w:rsidRPr="006E50FF" w:rsidRDefault="006E50FF" w:rsidP="006E50FF"/>
    <w:p w14:paraId="3360AF63" w14:textId="77777777" w:rsidR="006E50FF" w:rsidRPr="006E50FF" w:rsidRDefault="006E50FF" w:rsidP="006E50FF">
      <w:pPr>
        <w:keepNext/>
        <w:tabs>
          <w:tab w:val="left" w:pos="-1440"/>
        </w:tabs>
        <w:spacing w:after="120"/>
        <w:jc w:val="center"/>
        <w:rPr>
          <w:b/>
          <w:noProof/>
        </w:rPr>
      </w:pPr>
      <w:r w:rsidRPr="006E50FF">
        <w:rPr>
          <w:b/>
          <w:noProof/>
        </w:rPr>
        <w:br w:type="page"/>
      </w:r>
    </w:p>
    <w:p w14:paraId="1F352B6E"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55CFD2DB" w14:textId="77777777" w:rsidR="006E50FF" w:rsidRPr="006E50FF" w:rsidRDefault="006E50FF" w:rsidP="006E50FF">
      <w:pPr>
        <w:keepNext/>
        <w:jc w:val="center"/>
        <w:rPr>
          <w:b/>
          <w:noProof/>
        </w:rPr>
      </w:pPr>
      <w:r w:rsidRPr="006E50FF">
        <w:rPr>
          <w:b/>
          <w:noProof/>
        </w:rPr>
        <w:t>Board of Elementary and Secondary Education</w:t>
      </w:r>
    </w:p>
    <w:p w14:paraId="20D908BB" w14:textId="77777777" w:rsidR="006E50FF" w:rsidRPr="006E50FF" w:rsidRDefault="006E50FF" w:rsidP="006E50FF">
      <w:pPr>
        <w:keepNext/>
        <w:spacing w:before="240" w:after="240"/>
        <w:jc w:val="center"/>
        <w:rPr>
          <w:noProof/>
        </w:rPr>
      </w:pPr>
      <w:r w:rsidRPr="006E50FF">
        <w:rPr>
          <w:noProof/>
        </w:rPr>
        <w:t>Adolescent Literacy</w:t>
      </w:r>
      <w:r w:rsidRPr="006E50FF">
        <w:rPr>
          <w:noProof/>
        </w:rPr>
        <w:br/>
        <w:t xml:space="preserve">(LAC 28:CXV.509, 1701, 2301, and 2307; LAC 28:XXXIX.501, 705, and 709; </w:t>
      </w:r>
      <w:r w:rsidRPr="006E50FF">
        <w:rPr>
          <w:noProof/>
        </w:rPr>
        <w:br/>
        <w:t xml:space="preserve">LAC 28:XLV.103, 303, 743, and 745; </w:t>
      </w:r>
      <w:r w:rsidRPr="006E50FF">
        <w:rPr>
          <w:noProof/>
        </w:rPr>
        <w:br/>
        <w:t>LAC 28:CXLVI.319)</w:t>
      </w:r>
    </w:p>
    <w:p w14:paraId="4130BA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amend LAC 28:CXV in </w:t>
      </w:r>
      <w:r w:rsidRPr="006E50FF">
        <w:rPr>
          <w:i/>
          <w:kern w:val="2"/>
        </w:rPr>
        <w:t>Bulletin 741―Louisiana Handbook for School Administrators</w:t>
      </w:r>
      <w:r w:rsidRPr="006E50FF">
        <w:rPr>
          <w:kern w:val="2"/>
        </w:rPr>
        <w:t xml:space="preserve">, LAC 28:XXXIX in </w:t>
      </w:r>
      <w:r w:rsidRPr="006E50FF">
        <w:rPr>
          <w:i/>
          <w:kern w:val="2"/>
        </w:rPr>
        <w:t>Bulletin 1566―Pupil Progression Policies and Procedures</w:t>
      </w:r>
      <w:r w:rsidRPr="006E50FF">
        <w:rPr>
          <w:kern w:val="2"/>
        </w:rPr>
        <w:t xml:space="preserve">, LAC 28:XLV in </w:t>
      </w:r>
      <w:r w:rsidRPr="006E50FF">
        <w:rPr>
          <w:i/>
          <w:kern w:val="2"/>
        </w:rPr>
        <w:t>Bulletin 996—Standards for Approval of Teacher and/or Educational Leader Preparation Programs</w:t>
      </w:r>
      <w:r w:rsidRPr="006E50FF">
        <w:rPr>
          <w:kern w:val="2"/>
        </w:rPr>
        <w:t xml:space="preserve">, and LAC 28:CXLVI in </w:t>
      </w:r>
      <w:r w:rsidRPr="006E50FF">
        <w:rPr>
          <w:i/>
          <w:kern w:val="2"/>
        </w:rPr>
        <w:t>Bulletin 146—Competencies and Standards for Teachers and Educational Leaders</w:t>
      </w:r>
      <w:r w:rsidRPr="006E50FF">
        <w:rPr>
          <w:kern w:val="2"/>
        </w:rPr>
        <w:t>. The proposed revisions implement Act 964 of the 2026 Regular Legislative Session, which enacted R.S. 17:24.14 and R.S. 17:7.2(A)(11) through (13), amended R.S. 17:24.10(K), and repealed R.S. 17:24.9(C), relative to adolescent literacy for students in grades four through eight. The revisions establish adolescent literacy core instruction, a reading assessment administered within the first thirty days of the school year to students who scored below mastery in English language arts on the prior year state assessment, parental notification, intensive interventions, individual reading improvement plans, annual plan review, and a triennial adolescent literacy skills plan. The revisions further require educator preparation programs to provide instruction on adolescent literacy skills for candidates seeking certification in secondary and special education areas, add adolescent literacy, content literacy, and disciplinary literacy definitions, adopt teacher competencies addressing the three-cueing systems model and high-quality instructional materials, and conform the literacy screener and instructional materials provisions to Act 964. The revisions also implement Act 413 of the 2026 Regular Legislative Session, which enacted R.S. 17:2926(E) and requires each local public school board to include a description of its plan to provide career coaching to each student as part of the pupil progression plan</w:t>
      </w:r>
      <w:r w:rsidRPr="006E50FF">
        <w:rPr>
          <w:kern w:val="2"/>
          <w:shd w:val="clear" w:color="auto" w:fill="FFFFFF"/>
        </w:rPr>
        <w:t>.</w:t>
      </w:r>
    </w:p>
    <w:p w14:paraId="056A3FC1" w14:textId="77777777" w:rsidR="006E50FF" w:rsidRPr="006E50FF" w:rsidRDefault="006E50FF" w:rsidP="006E50FF">
      <w:pPr>
        <w:keepNext/>
        <w:jc w:val="center"/>
        <w:rPr>
          <w:b/>
          <w:kern w:val="28"/>
        </w:rPr>
      </w:pPr>
      <w:r w:rsidRPr="006E50FF">
        <w:rPr>
          <w:b/>
          <w:kern w:val="28"/>
        </w:rPr>
        <w:t>Title 28</w:t>
      </w:r>
    </w:p>
    <w:p w14:paraId="581C8AE8" w14:textId="77777777" w:rsidR="006E50FF" w:rsidRPr="006E50FF" w:rsidRDefault="006E50FF" w:rsidP="006E50FF">
      <w:pPr>
        <w:keepNext/>
        <w:jc w:val="center"/>
        <w:rPr>
          <w:b/>
          <w:kern w:val="28"/>
        </w:rPr>
      </w:pPr>
      <w:r w:rsidRPr="006E50FF">
        <w:rPr>
          <w:b/>
          <w:kern w:val="28"/>
        </w:rPr>
        <w:t>EDUCATION</w:t>
      </w:r>
    </w:p>
    <w:p w14:paraId="5A09BE2C" w14:textId="77777777" w:rsidR="006E50FF" w:rsidRPr="006E50FF" w:rsidRDefault="006E50FF" w:rsidP="006E50FF">
      <w:pPr>
        <w:keepNext/>
        <w:tabs>
          <w:tab w:val="left" w:pos="1260"/>
        </w:tabs>
        <w:jc w:val="center"/>
        <w:rPr>
          <w:b/>
          <w:noProof/>
        </w:rPr>
      </w:pPr>
      <w:r w:rsidRPr="006E50FF">
        <w:rPr>
          <w:b/>
          <w:noProof/>
        </w:rPr>
        <w:t>Part CXV.  Bulletin 741―Louisiana Handbook for School Administrators</w:t>
      </w:r>
    </w:p>
    <w:p w14:paraId="42D17A4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Personnel</w:t>
      </w:r>
    </w:p>
    <w:p w14:paraId="794D870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Completion of Approved Foundational Literacy Skills Course</w:t>
      </w:r>
    </w:p>
    <w:p w14:paraId="2E430E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A.4.</w:t>
      </w:r>
      <w:r w:rsidRPr="006E50FF">
        <w:rPr>
          <w:kern w:val="2"/>
        </w:rPr>
        <w:tab/>
        <w:t>…</w:t>
      </w:r>
    </w:p>
    <w:p w14:paraId="5DA0C1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Adolescent Literacy Professional Development. Each school shall provide identified students regular access to instruction from an individual who has completed an adolescent literacy intervention course developed, identified, or approved by the LDOE and who is a reading teacher, reading specialist, or reading interventionist.</w:t>
      </w:r>
    </w:p>
    <w:p w14:paraId="7B2E89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Any adolescent literacy intervention course or adolescent literacy professional development course shall be completed during existing weekly, job-embedded teacher collaboration time and shall not require or authorize an </w:t>
      </w:r>
      <w:r w:rsidRPr="006E50FF">
        <w:rPr>
          <w:kern w:val="2"/>
        </w:rPr>
        <w:t>increase in such time or extend the teacher's work day or work year.</w:t>
      </w:r>
    </w:p>
    <w:p w14:paraId="436C4B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completion of any such course occurs during a teacher's planning time or outside of any employee's regular work hours, the employee shall be compensated. Any requirement for such a course shall be implemented in a manner consistent with R.S. 17:419.4(A).</w:t>
      </w:r>
    </w:p>
    <w:p w14:paraId="2C8791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R.S.17:24.10; and R.S. 17:24.12.</w:t>
      </w:r>
    </w:p>
    <w:p w14:paraId="67E2F7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ascii="Palatino" w:hAnsi="Palatino"/>
          <w:kern w:val="2"/>
          <w:sz w:val="18"/>
        </w:rPr>
      </w:pPr>
      <w:r w:rsidRPr="006E50FF">
        <w:rPr>
          <w:kern w:val="2"/>
          <w:sz w:val="18"/>
        </w:rPr>
        <w:t>HISTORICAL NOTE:</w:t>
      </w:r>
      <w:r w:rsidRPr="006E50FF">
        <w:rPr>
          <w:kern w:val="2"/>
          <w:sz w:val="18"/>
        </w:rPr>
        <w:tab/>
        <w:t>Promulgated by the Board of Elementary and Secondary Education, LR: 48:1747 (July 2022), amended LR 52:</w:t>
      </w:r>
    </w:p>
    <w:p w14:paraId="0948B72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17.</w:t>
      </w:r>
      <w:r w:rsidRPr="006E50FF">
        <w:rPr>
          <w:b/>
          <w:kern w:val="2"/>
        </w:rPr>
        <w:tab/>
        <w:t>Instructional Support</w:t>
      </w:r>
    </w:p>
    <w:p w14:paraId="45A74A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§1701.</w:t>
      </w:r>
      <w:r w:rsidRPr="006E50FF">
        <w:rPr>
          <w:b/>
          <w:kern w:val="2"/>
        </w:rPr>
        <w:tab/>
        <w:t>Instructional Materials and Equipment</w:t>
      </w:r>
    </w:p>
    <w:p w14:paraId="3DF163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G.</w:t>
      </w:r>
      <w:r w:rsidRPr="006E50FF">
        <w:rPr>
          <w:kern w:val="2"/>
        </w:rPr>
        <w:tab/>
        <w:t>…</w:t>
      </w:r>
    </w:p>
    <w:p w14:paraId="708E67D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H.</w:t>
      </w:r>
      <w:r w:rsidRPr="006E50FF">
        <w:rPr>
          <w:kern w:val="2"/>
        </w:rPr>
        <w:tab/>
        <w:t>Curricula, supplemental materials, and interventions used to teach reading shall focus on decoding, fluency, and language structure as well as vocabulary, comprehension, and content writing instruction and shall not include the use of the three-cueing systems model.</w:t>
      </w:r>
    </w:p>
    <w:p w14:paraId="2231AD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 R.S. 17:351 et seq.</w:t>
      </w:r>
    </w:p>
    <w:p w14:paraId="66DB87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31:1286 (June 2005), amended LR 51:2059 (December 2025), LR 52:</w:t>
      </w:r>
    </w:p>
    <w:p w14:paraId="0EEF3F6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Curriculum and Instruction</w:t>
      </w:r>
    </w:p>
    <w:p w14:paraId="0B5FF4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Standards and Curricula</w:t>
      </w:r>
    </w:p>
    <w:p w14:paraId="7B45511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§2301.</w:t>
      </w:r>
      <w:r w:rsidRPr="006E50FF">
        <w:rPr>
          <w:b/>
          <w:kern w:val="2"/>
        </w:rPr>
        <w:tab/>
        <w:t xml:space="preserve">Content Standards </w:t>
      </w:r>
    </w:p>
    <w:p w14:paraId="2D44C3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420873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Adolescent Literacy Instruction and Materials. Beginning with the 2027-2028 school year and beyond, each school shall provide all fourth through eighth grade students with core instruction that includes advanced phonics, morphology, etymology, fluency, vocabulary, comprehension, and writing according to grade-level standards for ELA. Daily class schedules shall be adaptable and allocate sufficient instructional time for core instruction, intervention, and academic enrichment as deemed appropriate by analysis of student data.</w:t>
      </w:r>
    </w:p>
    <w:p w14:paraId="593D00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w:t>
      </w:r>
    </w:p>
    <w:p w14:paraId="143AEF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31:1288 (June 2005), amended LR 31:3070 (December 2005), LR 33:429 (March 2007), LR 39:2213 (August 2013), LR 40:764 (April 2014), LR 52:</w:t>
      </w:r>
    </w:p>
    <w:p w14:paraId="33F158E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§2307.</w:t>
      </w:r>
      <w:r w:rsidRPr="006E50FF">
        <w:rPr>
          <w:b/>
          <w:kern w:val="2"/>
        </w:rPr>
        <w:tab/>
        <w:t>Literacy Assessment and Screener</w:t>
      </w:r>
    </w:p>
    <w:p w14:paraId="4CEC82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286816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Adolescent Reading Assessment, Grades 4-8. Beginning with the 2027-2028 school year and beyond, each school shall, within the first thirty days of each school year, administer a reading assessment from the LDOE-approved list to any student in fourth through eighth grade who scored below mastery in English Language Arts (ELA) on the state assessment administered the prior year. The school shall report assessment results within the timeframes and according to the guidance established by LDOE.</w:t>
      </w:r>
    </w:p>
    <w:p w14:paraId="3C226A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Within fifteen days of identifying that a student has demonstrated reading deficiencies based on the results of the reading assessment, notify the student’s parent or legal guardian in writing that the student has been identified as having such deficiencies.</w:t>
      </w:r>
    </w:p>
    <w:p w14:paraId="0F512E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Within 30 days of being identified as having reading deficiencies, provide the student with an individual reading improvement plan.</w:t>
      </w:r>
    </w:p>
    <w:p w14:paraId="3869F8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F.</w:t>
      </w:r>
      <w:r w:rsidRPr="006E50FF">
        <w:rPr>
          <w:kern w:val="2"/>
        </w:rPr>
        <w:tab/>
        <w:t xml:space="preserve">A student in fourth through eighth grade who is identified as having a reading deficiency shall be provided with intensive interventions to address the specific deficiencies. </w:t>
      </w:r>
    </w:p>
    <w:p w14:paraId="5470CB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Each school shall ensure that all textbooks and instructional materials used to teach and provide intervention services for students in fourth through eighth grade are high-quality, fully aligned to state content standards, content-rich, aligned with scientifically based reading research, and focused on advanced phonics, vocabulary, comprehension, and content writing embedded throughout all core subject areas.</w:t>
      </w:r>
    </w:p>
    <w:p w14:paraId="0641B9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reading intervention services shall provide all of the following:</w:t>
      </w:r>
    </w:p>
    <w:p w14:paraId="227F22A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regular access to instruction from a reading teacher, reading specialist, or reading interventionist who has completed an approved adolescent literacy intervention course;</w:t>
      </w:r>
    </w:p>
    <w:p w14:paraId="026089A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reading interventions and support using high quality instructional materials;</w:t>
      </w:r>
    </w:p>
    <w:p w14:paraId="4C8E901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time in the student schedule, in addition to core instruction, for intensive interventions;</w:t>
      </w:r>
    </w:p>
    <w:p w14:paraId="143B48F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targeted small group reading intervention based on student needs and specified in an individual reading improvement plan; and</w:t>
      </w:r>
    </w:p>
    <w:p w14:paraId="416BA89D"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summer school remediation programs or other forms of remediation as appropriate to meet the academic needs of the student based on the results of the universal screener, diagnostic tool, or the ELA state assessment. </w:t>
      </w:r>
    </w:p>
    <w:p w14:paraId="5A306A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Adolescent Literacy Skills Plan. Beginning September 1, 2026, and triennially thereafter, each school serving any student in fourth through eighth grade shall develop and submit to the LDOE an adolescent literacy skills plan for students and post the plan on the school website. Each plan shall include:</w:t>
      </w:r>
    </w:p>
    <w:p w14:paraId="0E6AC8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amount of time to be spent daily on literacy skills instruction and a description of how the instructional time shall be used;</w:t>
      </w:r>
    </w:p>
    <w:p w14:paraId="319E20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list of ELA textbooks and instructional materials used by the school;</w:t>
      </w:r>
    </w:p>
    <w:p w14:paraId="1A583B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description of the interventions and support available to students identified as having literacy skills below grade level; and</w:t>
      </w:r>
    </w:p>
    <w:p w14:paraId="45FC09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description of any professional development in literacy instruction provided to teachers.</w:t>
      </w:r>
    </w:p>
    <w:p w14:paraId="710883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plan may be consolidated with the foundational literacy skills plan into a single school plan.</w:t>
      </w:r>
    </w:p>
    <w:p w14:paraId="6EAD89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R.S.17:24.4; R.S. 17:24.14; R.S.17:418; and R.S.17:24.10.</w:t>
      </w:r>
    </w:p>
    <w:p w14:paraId="126FBD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31:1289 (June 2005), amended LR 38:1224 (May 2012), LR 39:2214 (August 2013), LR 42:1878 (November 2016), LR 45:36 (January 2019), LR 48:1747 (July 2022), LR 49:252 (February 2023), repromulgated LR 49:857 (May 2023), amended LR 52:</w:t>
      </w:r>
    </w:p>
    <w:p w14:paraId="63BEC788" w14:textId="77777777" w:rsidR="006E50FF" w:rsidRPr="006E50FF" w:rsidRDefault="006E50FF" w:rsidP="006E50FF">
      <w:pPr>
        <w:keepNext/>
        <w:jc w:val="center"/>
        <w:rPr>
          <w:b/>
          <w:noProof/>
        </w:rPr>
      </w:pPr>
      <w:r w:rsidRPr="006E50FF">
        <w:rPr>
          <w:b/>
          <w:noProof/>
        </w:rPr>
        <w:t>Part XXXIX.  Bulletin 1566―Pupil Progression Policies and Procedures</w:t>
      </w:r>
    </w:p>
    <w:p w14:paraId="28F996F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Placement Policies―General Requirements</w:t>
      </w:r>
    </w:p>
    <w:p w14:paraId="0A20F3B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ascii="Palatino" w:hAnsi="Palatino"/>
          <w:b/>
          <w:kern w:val="2"/>
        </w:rPr>
      </w:pPr>
      <w:r w:rsidRPr="006E50FF">
        <w:rPr>
          <w:b/>
          <w:kern w:val="2"/>
        </w:rPr>
        <w:t>§501.</w:t>
      </w:r>
      <w:r w:rsidRPr="006E50FF">
        <w:rPr>
          <w:b/>
          <w:kern w:val="2"/>
        </w:rPr>
        <w:tab/>
        <w:t>General Requirements</w:t>
      </w:r>
    </w:p>
    <w:p w14:paraId="2D32B4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0D54F0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plan shall include a description of its plan for providing career coaching to each student.</w:t>
      </w:r>
    </w:p>
    <w:p w14:paraId="0E89DC6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 R.S. 17:24.4, R.S. 2926, and R.S. 17:414.2.</w:t>
      </w:r>
    </w:p>
    <w:p w14:paraId="59D9C9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25:2171 (November 1999), amended LR 3:2062 (October 2007), LR 36:2003 (September 2010), LR 44:479 (March 2018), amended LR 48:35 (January 2022), LR 52:</w:t>
      </w:r>
    </w:p>
    <w:p w14:paraId="1312B6D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kern w:val="2"/>
        </w:rPr>
        <w:t>Chapter 7.</w:t>
      </w:r>
      <w:r w:rsidRPr="006E50FF">
        <w:rPr>
          <w:b/>
          <w:kern w:val="2"/>
        </w:rPr>
        <w:tab/>
        <w:t xml:space="preserve">Promotion and Support </w:t>
      </w:r>
      <w:r w:rsidRPr="006E50FF">
        <w:rPr>
          <w:b/>
          <w:bCs/>
          <w:kern w:val="2"/>
        </w:rPr>
        <w:t>Policy</w:t>
      </w:r>
    </w:p>
    <w:p w14:paraId="4FFD43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§705.</w:t>
      </w:r>
      <w:r w:rsidRPr="006E50FF">
        <w:rPr>
          <w:b/>
          <w:kern w:val="2"/>
        </w:rPr>
        <w:tab/>
        <w:t>Supports for Students</w:t>
      </w:r>
    </w:p>
    <w:p w14:paraId="421086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B.4.d.</w:t>
      </w:r>
      <w:r w:rsidRPr="006E50FF">
        <w:rPr>
          <w:kern w:val="2"/>
        </w:rPr>
        <w:tab/>
        <w:t>…</w:t>
      </w:r>
    </w:p>
    <w:p w14:paraId="0F16677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individual reading improvement plan, in accordance with §709 of this Chapter;</w:t>
      </w:r>
    </w:p>
    <w:p w14:paraId="698BB0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B.5. - C.8.</w:t>
      </w:r>
      <w:r w:rsidRPr="006E50FF">
        <w:rPr>
          <w:kern w:val="2"/>
        </w:rPr>
        <w:tab/>
        <w:t>…</w:t>
      </w:r>
    </w:p>
    <w:p w14:paraId="2EED8D3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17:7, and 17:24.4.</w:t>
      </w:r>
    </w:p>
    <w:p w14:paraId="6A4F03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36:2005 (September 2010), amended LR 40:2533 (December 2014), LR 44:482 (March 2018), LR 44:1004 (June 2018), LR 46:18 (January 2020), LR 49:245 (February 2023), LR 51:52 (January 2025), LR 52:</w:t>
      </w:r>
    </w:p>
    <w:p w14:paraId="744E7F0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§709.</w:t>
      </w:r>
      <w:r w:rsidRPr="006E50FF">
        <w:rPr>
          <w:b/>
          <w:kern w:val="2"/>
        </w:rPr>
        <w:tab/>
        <w:t>Adolescent Literacy Supports for Grades 4-8</w:t>
      </w:r>
    </w:p>
    <w:p w14:paraId="026C6A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Beginning with the 2027-2028 school year, within fifteen days of identifying that a student in fourth through eighth grade has demonstrated reading deficiencies based on the results of the reading assessment administered in accordance with LAC 28:CXV.2307, each LEA shall notify the student’s parent or legal guardian in writing that the student has been identified as having such deficiencies. The notification shall include:</w:t>
      </w:r>
    </w:p>
    <w:p w14:paraId="14357F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that an individual reading improvement plan is being developed;</w:t>
      </w:r>
    </w:p>
    <w:p w14:paraId="635819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description of the current services that are provided to the student and suggested resources or strategies that the parent can use to support reading at home; and</w:t>
      </w:r>
    </w:p>
    <w:p w14:paraId="45D527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notification that the parent shall be informed in writing of the student’s progress toward becoming a skilled reader throughout the school year with each progress report.</w:t>
      </w:r>
    </w:p>
    <w:p w14:paraId="1D60A6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school shall provide each student identified as having such deficiencies with intensive interventions to address the specific deficiencies, including but not limited to the following:</w:t>
      </w:r>
    </w:p>
    <w:p w14:paraId="1FD187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regular access to instruction from an individual who has completed an approved adolescent literacy intervention course and is a reading teacher, reading specialist, or reading interventionist in accordance with LAC 28:CXV.509 </w:t>
      </w:r>
      <w:r w:rsidRPr="006E50FF">
        <w:rPr>
          <w:i/>
          <w:iCs/>
          <w:kern w:val="2"/>
        </w:rPr>
        <w:t>Bulletin 741</w:t>
      </w:r>
      <w:r w:rsidRPr="006E50FF">
        <w:rPr>
          <w:kern w:val="2"/>
        </w:rPr>
        <w:t>;</w:t>
      </w:r>
    </w:p>
    <w:p w14:paraId="443C48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reading interventions and support using high-quality instructional materials in accordance with LAC 28:CXV.1701 </w:t>
      </w:r>
      <w:r w:rsidRPr="006E50FF">
        <w:rPr>
          <w:i/>
          <w:iCs/>
          <w:kern w:val="2"/>
        </w:rPr>
        <w:t>Bulletin 741</w:t>
      </w:r>
      <w:r w:rsidRPr="006E50FF">
        <w:rPr>
          <w:kern w:val="2"/>
        </w:rPr>
        <w:t>;</w:t>
      </w:r>
    </w:p>
    <w:p w14:paraId="57C0DC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time in the student schedule, in addition to core instruction, for intensive interventions;</w:t>
      </w:r>
    </w:p>
    <w:p w14:paraId="1CD03F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targeted small group reading intervention based on student needs and specified in the individual reading improvement plan; and</w:t>
      </w:r>
    </w:p>
    <w:p w14:paraId="7C314B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summer school remediation programs or other forms of remediation as appropriate to meet the academic needs of the student based on the results of the universal screener, diagnostic tool, or the ELA state assessment.</w:t>
      </w:r>
    </w:p>
    <w:p w14:paraId="0A3016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Within thirty days of a student being identified as having reading deficiencies, the school shall provide such student with an individual reading improvement plan created by the teacher, reading specialist or interventionist, principal or designee, and other pertinent school personnel in collaboration with the parents or legal guardians, who shall be </w:t>
      </w:r>
      <w:r w:rsidRPr="006E50FF">
        <w:rPr>
          <w:kern w:val="2"/>
        </w:rPr>
        <w:br w:type="page"/>
      </w:r>
      <w:r w:rsidRPr="006E50FF">
        <w:rPr>
          <w:kern w:val="2"/>
        </w:rPr>
        <w:lastRenderedPageBreak/>
        <w:t>provided a written copy of the plan. The plan shall offer intensive reading instructional intervention time for the student, while continuing grade-level instruction, and shall remain in place until the student no longer demonstrates a deficiency in reading as measured by a state-approved ELA or LEAP assessment tool. The plan shall be documented using the form provided by the LDOE and shall include:</w:t>
      </w:r>
    </w:p>
    <w:p w14:paraId="71D6DF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specific deficiencies in reading as determined by the state assessment and the reading assessment system;</w:t>
      </w:r>
    </w:p>
    <w:p w14:paraId="5B52AD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goals and benchmarks for student growth in reading;</w:t>
      </w:r>
    </w:p>
    <w:p w14:paraId="0DC99A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description of the specific measures used to evaluate and monitor the student’s reading progress;</w:t>
      </w:r>
    </w:p>
    <w:p w14:paraId="0A3103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description of the proposed interventions and supplemental instructional services aligned with scientifically based reading research that shall be provided to the student and that are designed to remedy each identified reading deficiency;</w:t>
      </w:r>
    </w:p>
    <w:p w14:paraId="154D8D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strategies, resources, and materials provided to the parent or legal guardian to support student reading progress at home;</w:t>
      </w:r>
    </w:p>
    <w:p w14:paraId="5B2C6C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for students who receive special education services, the alignment with the student’s IEP or IAP; and</w:t>
      </w:r>
    </w:p>
    <w:p w14:paraId="523838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any additional services the teacher deems available and appropriate to accelerate the student’s reading development.</w:t>
      </w:r>
    </w:p>
    <w:p w14:paraId="51E06E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LEA shall ensure that any individual reading improvement plan or consolidated plan developed in a prior school year is annually reviewed during the first eight weeks of the school year. Each review shall include at a minimum:</w:t>
      </w:r>
    </w:p>
    <w:p w14:paraId="2A065A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evaluation of the effectiveness of prior year interventions, additional support, and services offered to the student in the previous year;</w:t>
      </w:r>
    </w:p>
    <w:p w14:paraId="50DBFE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identification of updates needed to the support offered through the plan; and</w:t>
      </w:r>
    </w:p>
    <w:p w14:paraId="22CDFF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input from any members of the team that initially developed the plan, including but not limited to the teacher, reading specialist or interventionist, principal or designee, other pertinent school personnel, and the parent or legal guardian.</w:t>
      </w:r>
    </w:p>
    <w:p w14:paraId="53CD55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 R.S. 17:24.4; R.S. 17:24.9; R.S. 17:24.10 and R.S. 17:24.11.</w:t>
      </w:r>
    </w:p>
    <w:p w14:paraId="075B21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E30BD5D" w14:textId="77777777" w:rsidR="006E50FF" w:rsidRPr="006E50FF" w:rsidRDefault="006E50FF" w:rsidP="006E50FF">
      <w:pPr>
        <w:keepNext/>
        <w:jc w:val="center"/>
        <w:rPr>
          <w:b/>
          <w:noProof/>
        </w:rPr>
      </w:pPr>
      <w:r w:rsidRPr="006E50FF">
        <w:rPr>
          <w:b/>
          <w:noProof/>
        </w:rPr>
        <w:t>Part XLV.  Bulletin 996—Standards for Approval of Teacher and/or Educational Leader Preparation Programs</w:t>
      </w:r>
    </w:p>
    <w:p w14:paraId="3EDD6AD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Introduction</w:t>
      </w:r>
    </w:p>
    <w:p w14:paraId="4F5843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§103.</w:t>
      </w:r>
      <w:r w:rsidRPr="006E50FF">
        <w:rPr>
          <w:b/>
          <w:kern w:val="2"/>
        </w:rPr>
        <w:tab/>
        <w:t>Definitions</w:t>
      </w:r>
    </w:p>
    <w:p w14:paraId="0818A7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Accredited</w:t>
      </w:r>
      <w:r w:rsidRPr="006E50FF">
        <w:rPr>
          <w:kern w:val="2"/>
        </w:rPr>
        <w:t xml:space="preserve"> (formerly </w:t>
      </w:r>
      <w:r w:rsidRPr="006E50FF">
        <w:rPr>
          <w:i/>
          <w:kern w:val="2"/>
        </w:rPr>
        <w:t>regionally accredited</w:t>
      </w:r>
      <w:r w:rsidRPr="006E50FF">
        <w:rPr>
          <w:kern w:val="2"/>
        </w:rPr>
        <w:t>)—a term used to denote the status of public recognition that a nationally recognized accrediting agency grants to an educational institution or program that meets the agency standards and requirements in accordance with 34 CFR 602. When used in this Part, regionally accredited shall be replaced with accredited in accordance with 34 CFR 602.</w:t>
      </w:r>
    </w:p>
    <w:p w14:paraId="34ECE3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Adolescent Literacy</w:t>
      </w:r>
      <w:r w:rsidRPr="006E50FF">
        <w:rPr>
          <w:kern w:val="2"/>
        </w:rPr>
        <w:t>—the development and application of reading, writing, language, and comprehension skills necessary for students in fourth through eighth grades to access, understand, analyze, and produce grade-level text across all subject areas.</w:t>
      </w:r>
    </w:p>
    <w:p w14:paraId="7EE5C4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br w:type="column"/>
      </w:r>
      <w:r w:rsidRPr="006E50FF">
        <w:rPr>
          <w:i/>
          <w:kern w:val="2"/>
        </w:rPr>
        <w:t>Alternative Teacher Preparation Program</w:t>
      </w:r>
      <w:r w:rsidRPr="006E50FF">
        <w:rPr>
          <w:kern w:val="2"/>
        </w:rPr>
        <w:t>—a pathway for candidates with a minimum of a baccalaureate degree earned at an institution accredited in accordance with 34 CFR 602 which combines professional knowledge with field experiences, including a one-year supervised internship in a school setting. For admission to an alternative program, applicants must demonstrate content mastery.</w:t>
      </w:r>
    </w:p>
    <w:p w14:paraId="4FC164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94729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Competencies</w:t>
      </w:r>
      <w:r w:rsidRPr="006E50FF">
        <w:rPr>
          <w:kern w:val="2"/>
        </w:rPr>
        <w:t>—a set of learning outcomes teacher candidates must demonstrate to show mastery in general and content specific content areas.</w:t>
      </w:r>
    </w:p>
    <w:p w14:paraId="4A2174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Content Literacy</w:t>
      </w:r>
      <w:r w:rsidRPr="006E50FF">
        <w:rPr>
          <w:kern w:val="2"/>
        </w:rPr>
        <w:t>—a literacy instructional approach where students use general reading and writing strategies to learn information across subject and content areas.</w:t>
      </w:r>
    </w:p>
    <w:p w14:paraId="007653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Disciplinary Literacy</w:t>
      </w:r>
      <w:r w:rsidRPr="006E50FF">
        <w:rPr>
          <w:kern w:val="2"/>
        </w:rPr>
        <w:t>—a literacy instructional approach that teaches students how to use literacy to think, interpret text, and engage in advanced participation and conversations like a disciplinary expert would.</w:t>
      </w:r>
    </w:p>
    <w:p w14:paraId="567BDB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Endorsement</w:t>
      </w:r>
      <w:r w:rsidRPr="006E50FF">
        <w:rPr>
          <w:kern w:val="2"/>
        </w:rPr>
        <w:t>—a permanent certification, license, or credential added to an existing teaching certificate.</w:t>
      </w:r>
    </w:p>
    <w:p w14:paraId="68AAB4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7DDCC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17:7(6), R.S. 17:3902, and R.S. 17:407.81, and R.S. 17:8.1-8.5.</w:t>
      </w:r>
    </w:p>
    <w:p w14:paraId="1304FD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51:272 (February 2025), amended LR 51:2049 (December 2025), LR 52:</w:t>
      </w:r>
    </w:p>
    <w:p w14:paraId="4170908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Initial State Approval for Teacher or Educational Leader Preparation Programs</w:t>
      </w:r>
    </w:p>
    <w:p w14:paraId="1664FF8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Initial Approval</w:t>
      </w:r>
    </w:p>
    <w:p w14:paraId="3BAAD2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2363F64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Teacher, early childhood ancillary certificate program, and/or educational leader proposals that meet all initial submission requirements will be evaluated by a panel of reviewers. The panel will include at least one external reviewer. An external reviewer may serve as a preparation program administrator, a preparation program faculty member, or a current or former K-12 educator or leader. The panel shall also include LDOE staff with demonstrated expertise in content areas relevant to the proposal under review. The panel will evaluate each proposal using an evaluation tool that was reviewed by representatives from LDOE and BOR and will evaluate the proposal to ensure the proposal meets professional, state, and, when applicable, national standards for quality and state certification policy. The panel’s evaluation will include an interview with the provider and at least one partner LEA. The panel may interview additional representatives of the provider and LEA partner organizations.</w:t>
      </w:r>
    </w:p>
    <w:p w14:paraId="4CEAE1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O.</w:t>
      </w:r>
      <w:r w:rsidRPr="006E50FF">
        <w:rPr>
          <w:kern w:val="2"/>
        </w:rPr>
        <w:tab/>
        <w:t>…</w:t>
      </w:r>
    </w:p>
    <w:p w14:paraId="69E056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17:6(10), 17:7(6), and 17:7.2.</w:t>
      </w:r>
    </w:p>
    <w:p w14:paraId="5E74B5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30:2453 (November 2004), amended LR 35:2327 (November 2009), LR 37:561 (February 2011), LR 43:2486 (December 2017), LR 45:228 (February 2019), LR 45:902 (July 2019), repromulgated LR 46:892 (July 2020), amended LR 48:1757 (July 2022), LR 50:675 (May 2024), LR 51:272 (February 2025), LR 52:</w:t>
      </w:r>
    </w:p>
    <w:p w14:paraId="3E6FF15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lastRenderedPageBreak/>
        <w:t>Chapter 7.</w:t>
      </w:r>
      <w:r w:rsidRPr="006E50FF">
        <w:rPr>
          <w:b/>
          <w:kern w:val="2"/>
        </w:rPr>
        <w:tab/>
        <w:t>Louisiana State Standards for Educator Preparation Programs</w:t>
      </w:r>
    </w:p>
    <w:p w14:paraId="678A44F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Teacher Preparation Programs</w:t>
      </w:r>
    </w:p>
    <w:p w14:paraId="3E85621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§743.</w:t>
      </w:r>
      <w:r w:rsidRPr="006E50FF">
        <w:rPr>
          <w:b/>
          <w:kern w:val="2"/>
        </w:rPr>
        <w:tab/>
        <w:t>Minimum Requirements for Traditional Teacher Preparation Programs</w:t>
      </w:r>
    </w:p>
    <w:p w14:paraId="1E1117CD" w14:textId="77777777" w:rsidR="006E50FF" w:rsidRPr="006E50FF" w:rsidRDefault="006E50FF" w:rsidP="006E50FF">
      <w:pPr>
        <w:tabs>
          <w:tab w:val="left" w:pos="144"/>
          <w:tab w:val="left" w:pos="187"/>
          <w:tab w:val="left" w:pos="540"/>
          <w:tab w:val="left" w:pos="907"/>
          <w:tab w:val="left" w:pos="1080"/>
          <w:tab w:val="left" w:pos="1890"/>
        </w:tabs>
        <w:ind w:firstLine="187"/>
        <w:jc w:val="both"/>
        <w:outlineLvl w:val="3"/>
        <w:rPr>
          <w:kern w:val="2"/>
        </w:rPr>
      </w:pPr>
      <w:r w:rsidRPr="006E50FF">
        <w:rPr>
          <w:kern w:val="2"/>
        </w:rPr>
        <w:t>A. - A.1.a.ii.(c).</w:t>
      </w:r>
      <w:r w:rsidRPr="006E50FF">
        <w:rPr>
          <w:kern w:val="2"/>
        </w:rPr>
        <w:tab/>
        <w:t>…</w:t>
      </w:r>
    </w:p>
    <w:p w14:paraId="10CAC83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(d).</w:t>
      </w:r>
      <w:r w:rsidRPr="006E50FF">
        <w:rPr>
          <w:kern w:val="2"/>
        </w:rPr>
        <w:tab/>
        <w:t xml:space="preserve">how to administer literacy screeners to students, interpret results using state-established benchmarks, and apply data to instructional planning and intervention decisions; and </w:t>
      </w:r>
    </w:p>
    <w:p w14:paraId="4E7007C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(e).</w:t>
      </w:r>
      <w:r w:rsidRPr="006E50FF">
        <w:rPr>
          <w:kern w:val="2"/>
        </w:rPr>
        <w:tab/>
        <w:t>how to understand the negative impacts of the three-cueing systems model, how to identify three-cueing in curriculum, and why the three-cueing model of teaching children is flawed;</w:t>
      </w:r>
    </w:p>
    <w:p w14:paraId="3AE630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A.1.a.iii. - I.</w:t>
      </w:r>
      <w:r w:rsidRPr="006E50FF">
        <w:rPr>
          <w:kern w:val="2"/>
        </w:rPr>
        <w:tab/>
        <w:t>…</w:t>
      </w:r>
    </w:p>
    <w:p w14:paraId="2BEB49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Beginning with candidates entering a teacher preparation program during or after the 2027-2028 academic year, for certification in secondary grades 6-12, including integrated to merged, all-level K-12, and early interventionist, hearing impaired, significant disabilities, visually impaired, or mild/moderate special education areas, the program shall include instruction on adolescent literacy skills, which may be incorporated into the required reading and literacy credit hours. The instruction shall include:</w:t>
      </w:r>
    </w:p>
    <w:p w14:paraId="7C7ACD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effective strategies for teaching reading aligned to instruction based on the science of reading, including explicit and systematic instruction in phonological awareness, the alphabetic principle, oral language development, comprehension, content literacy instruction, disciplinary literacy instruction, writing, and advanced phonics including encoding, fluency, and morphology including etymology;</w:t>
      </w:r>
    </w:p>
    <w:p w14:paraId="0E2509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implementation of reading instruction using high-quality instructional materials as identified by the LDOE;</w:t>
      </w:r>
    </w:p>
    <w:p w14:paraId="3DE5A8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 of effective instruction on interventions for all students, including students with dyslexia;</w:t>
      </w:r>
    </w:p>
    <w:p w14:paraId="2E84D7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understanding and use of student data to make instructional decisions; and</w:t>
      </w:r>
    </w:p>
    <w:p w14:paraId="395B97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incorporation of content literacy across disciplinary areas.</w:t>
      </w:r>
    </w:p>
    <w:p w14:paraId="09D7A5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(11), and (15), 17:7(6), 17:10, 17:22(6), 17:391.1-391.10, and 17:411, and 17:7.2.</w:t>
      </w:r>
    </w:p>
    <w:p w14:paraId="30F94DF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43:1330 (July 2017), amended LR 43:2492 (December 2017), LR 45:229 (February 2019), LR 48:1274 (May 2022), LR 48:1758 (July 2022), LR 49:41 (January 2023), LR 49:246 (February 2023), repromulgated LR 49:851 (May 2023), LR 50:20 (January 2024), amended LR 50:678 (May 2024), LR 51:273 (February 2025), LR 51:1129 (August 2025), LR 51:2050 (December 2025), LR 52:</w:t>
      </w:r>
    </w:p>
    <w:p w14:paraId="673156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§745.</w:t>
      </w:r>
      <w:r w:rsidRPr="006E50FF">
        <w:rPr>
          <w:b/>
          <w:kern w:val="2"/>
        </w:rPr>
        <w:tab/>
        <w:t>Minimum Requirements for Alternate Teacher Preparation Programs</w:t>
      </w:r>
    </w:p>
    <w:p w14:paraId="6ADAB36F" w14:textId="77777777" w:rsidR="006E50FF" w:rsidRPr="006E50FF" w:rsidRDefault="006E50FF" w:rsidP="006E50FF">
      <w:pPr>
        <w:tabs>
          <w:tab w:val="left" w:pos="144"/>
          <w:tab w:val="left" w:pos="187"/>
          <w:tab w:val="left" w:pos="540"/>
          <w:tab w:val="left" w:pos="907"/>
          <w:tab w:val="left" w:pos="1080"/>
          <w:tab w:val="left" w:pos="1710"/>
        </w:tabs>
        <w:ind w:firstLine="187"/>
        <w:jc w:val="both"/>
        <w:outlineLvl w:val="3"/>
        <w:rPr>
          <w:kern w:val="2"/>
        </w:rPr>
      </w:pPr>
      <w:r w:rsidRPr="006E50FF">
        <w:rPr>
          <w:kern w:val="2"/>
        </w:rPr>
        <w:t>A. - B.1.a.ii.(d).</w:t>
      </w:r>
      <w:r w:rsidRPr="006E50FF">
        <w:rPr>
          <w:kern w:val="2"/>
        </w:rPr>
        <w:tab/>
        <w:t>…</w:t>
      </w:r>
    </w:p>
    <w:p w14:paraId="63228A6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(e).</w:t>
      </w:r>
      <w:r w:rsidRPr="006E50FF">
        <w:rPr>
          <w:kern w:val="2"/>
        </w:rPr>
        <w:tab/>
        <w:t xml:space="preserve">how to administer literacy screeners to students interpret results using state-established benchmarks, and apply data to instructional planning and intervention decisions; and </w:t>
      </w:r>
    </w:p>
    <w:p w14:paraId="3F25876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(f).</w:t>
      </w:r>
      <w:r w:rsidRPr="006E50FF">
        <w:rPr>
          <w:kern w:val="2"/>
        </w:rPr>
        <w:tab/>
        <w:t>how to understand the negative impacts of the three-cueing systems model, how to identify three-cueing in curriculum, and why the three-cueing model of teaching children is flawed;</w:t>
      </w:r>
    </w:p>
    <w:p w14:paraId="1DC7AA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B.1.a.iii. - J.</w:t>
      </w:r>
      <w:r w:rsidRPr="006E50FF">
        <w:rPr>
          <w:kern w:val="2"/>
        </w:rPr>
        <w:tab/>
        <w:t>…</w:t>
      </w:r>
    </w:p>
    <w:p w14:paraId="0FDAFF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Beginning with candidates entering an alternate teacher preparation program during or after the 2027-2028 academic year, for certification in secondary grades 6-12, including integrated to merged, all-level K-12, and identified special education areas, the program shall include instruction on adolescent literacy skills, which may be incorporated into the required reading and literacy credit hours. The instruction shall include:</w:t>
      </w:r>
    </w:p>
    <w:p w14:paraId="5F78E4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effective strategies for teaching reading aligned to instruction based on the science of reading, including explicit and systematic instruction in phonological awareness, the alphabetic principle, oral language development, comprehension, content literacy instruction, disciplinary literacy instruction, writing, and advanced phonics including encoding, fluency, and morphology including etymology;</w:t>
      </w:r>
    </w:p>
    <w:p w14:paraId="3BED94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implementation of reading instruction using high-quality instructional materials as identified by the LDOE;</w:t>
      </w:r>
    </w:p>
    <w:p w14:paraId="2472C6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 of effective instruction on interventions for all students, including students with dyslexia;</w:t>
      </w:r>
    </w:p>
    <w:p w14:paraId="622F6B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understanding and use of student data to make instructional decisions; and</w:t>
      </w:r>
    </w:p>
    <w:p w14:paraId="5037C4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incorporation of content literacy across disciplinary areas.</w:t>
      </w:r>
    </w:p>
    <w:p w14:paraId="066FCA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(11), and (15), 17:7(6), 17:10, 17:22(6), 17:391.1-391.10, and 17:411; and 17:7.2.</w:t>
      </w:r>
    </w:p>
    <w:p w14:paraId="09B0AE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43:1331 (July 2017), amended LR 43:2492 (December 2017), LR 45:1751 (December 2019), LR 46:324 (March 2020), LR: 48:1274 (May 2022), LR 48:1759 (July 2022), LR 49:41 (January 2023), LR 49:246 (February 2023), LR 49:256 (February 2023), repromulgated LR 49:852 (May 2023), LR 50:20 (January 2024), amended LR 50:678 (May 2024), LR 51:273 (February 2025), LR 51:1130 (August 2025), LR 51:2050 (December 2025), LR 52:</w:t>
      </w:r>
    </w:p>
    <w:p w14:paraId="5A295632" w14:textId="77777777" w:rsidR="006E50FF" w:rsidRPr="006E50FF" w:rsidRDefault="006E50FF" w:rsidP="006E50FF">
      <w:pPr>
        <w:keepNext/>
        <w:jc w:val="center"/>
        <w:rPr>
          <w:b/>
          <w:noProof/>
        </w:rPr>
      </w:pPr>
      <w:r w:rsidRPr="006E50FF">
        <w:rPr>
          <w:b/>
          <w:noProof/>
        </w:rPr>
        <w:t>Part CXLVI.  Bulletin 146—Competencies and Standards for Teachers and Educational Leaders</w:t>
      </w:r>
    </w:p>
    <w:p w14:paraId="7EDC9CF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Teacher Competencies</w:t>
      </w:r>
    </w:p>
    <w:p w14:paraId="707ECA0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C.</w:t>
      </w:r>
      <w:r w:rsidRPr="006E50FF">
        <w:rPr>
          <w:b/>
          <w:kern w:val="2"/>
        </w:rPr>
        <w:tab/>
        <w:t>English Language Arts (ELA) and Literacy Teacher Competencies</w:t>
      </w:r>
    </w:p>
    <w:p w14:paraId="4B1888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§319.</w:t>
      </w:r>
      <w:r w:rsidRPr="006E50FF">
        <w:rPr>
          <w:b/>
          <w:kern w:val="2"/>
        </w:rPr>
        <w:tab/>
        <w:t>ELA Content Pedagogy Competencies</w:t>
      </w:r>
    </w:p>
    <w:p w14:paraId="073BF46D"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 - D.7.</w:t>
      </w:r>
      <w:r w:rsidRPr="006E50FF">
        <w:rPr>
          <w:kern w:val="2"/>
        </w:rPr>
        <w:tab/>
        <w:t>…</w:t>
      </w:r>
    </w:p>
    <w:p w14:paraId="221CB3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teacher candidate understands the negative impacts of the three-cueing systems model on the development of student reading skills.</w:t>
      </w:r>
    </w:p>
    <w:p w14:paraId="422298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teacher candidate explains the negative impacts of the three-cueing systems model, identifies the model and its components in curricula and instructional materials, and explains the reasons why three-cueing is a flawed model of teaching children to read.</w:t>
      </w:r>
    </w:p>
    <w:p w14:paraId="443A74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teacher candidate selects or designs and implements literacy instruction using high-quality instructional materials.</w:t>
      </w:r>
    </w:p>
    <w:p w14:paraId="118BB6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17:7(6), R.S. 17:8.1-8.3, and R.S. 17:3902.</w:t>
      </w:r>
    </w:p>
    <w:p w14:paraId="37E971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51:284 (February 2025), amended LR 52:1168 (July 2026), LR 52:</w:t>
      </w:r>
    </w:p>
    <w:p w14:paraId="11ACE075" w14:textId="77777777" w:rsidR="006E50FF" w:rsidRPr="006E50FF" w:rsidRDefault="006E50FF" w:rsidP="006E50FF">
      <w:pPr>
        <w:keepNext/>
        <w:jc w:val="center"/>
        <w:rPr>
          <w:b/>
          <w:kern w:val="28"/>
        </w:rPr>
      </w:pPr>
      <w:r w:rsidRPr="006E50FF">
        <w:rPr>
          <w:b/>
          <w:kern w:val="28"/>
        </w:rPr>
        <w:t>Family Impact Statement</w:t>
      </w:r>
    </w:p>
    <w:p w14:paraId="302BAC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w:t>
      </w:r>
      <w:r w:rsidRPr="006E50FF">
        <w:rPr>
          <w:kern w:val="2"/>
        </w:rPr>
        <w:lastRenderedPageBreak/>
        <w:t>repealed a rule in accordance with the applicable provisions of the law relating to public records.</w:t>
      </w:r>
    </w:p>
    <w:p w14:paraId="168701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5448BD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05A59C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3D6A90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3C2972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1D2215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3FAEB600" w14:textId="77777777" w:rsidR="006E50FF" w:rsidRPr="006E50FF" w:rsidRDefault="006E50FF" w:rsidP="006E50FF">
      <w:pPr>
        <w:keepNext/>
        <w:jc w:val="center"/>
        <w:rPr>
          <w:b/>
          <w:kern w:val="28"/>
        </w:rPr>
      </w:pPr>
      <w:r w:rsidRPr="006E50FF">
        <w:rPr>
          <w:b/>
          <w:kern w:val="28"/>
        </w:rPr>
        <w:t>Poverty Impact Statement</w:t>
      </w:r>
    </w:p>
    <w:p w14:paraId="2C8906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1FCF0B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64F15C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1A68C2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4003E1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6FFEC7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1C3CCAAC" w14:textId="77777777" w:rsidR="006E50FF" w:rsidRPr="006E50FF" w:rsidRDefault="006E50FF" w:rsidP="006E50FF">
      <w:pPr>
        <w:keepNext/>
        <w:jc w:val="center"/>
        <w:rPr>
          <w:b/>
          <w:kern w:val="28"/>
        </w:rPr>
      </w:pPr>
      <w:r w:rsidRPr="006E50FF">
        <w:rPr>
          <w:b/>
          <w:kern w:val="28"/>
        </w:rPr>
        <w:t>Small Business Analysis</w:t>
      </w:r>
    </w:p>
    <w:p w14:paraId="6337ED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738DA08D" w14:textId="77777777" w:rsidR="006E50FF" w:rsidRPr="006E50FF" w:rsidRDefault="006E50FF" w:rsidP="006E50FF">
      <w:pPr>
        <w:keepNext/>
        <w:jc w:val="center"/>
        <w:rPr>
          <w:b/>
          <w:kern w:val="28"/>
        </w:rPr>
      </w:pPr>
      <w:r w:rsidRPr="006E50FF">
        <w:rPr>
          <w:b/>
          <w:kern w:val="28"/>
        </w:rPr>
        <w:t>Provider Impact Statement</w:t>
      </w:r>
    </w:p>
    <w:p w14:paraId="1B552E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2DD625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0B718C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1E2940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2F94D6B0" w14:textId="77777777" w:rsidR="006E50FF" w:rsidRPr="006E50FF" w:rsidRDefault="006E50FF" w:rsidP="006E50FF">
      <w:pPr>
        <w:keepNext/>
        <w:jc w:val="center"/>
        <w:rPr>
          <w:b/>
          <w:kern w:val="28"/>
        </w:rPr>
      </w:pPr>
      <w:r w:rsidRPr="006E50FF">
        <w:rPr>
          <w:b/>
          <w:kern w:val="28"/>
        </w:rPr>
        <w:t>Public Comments</w:t>
      </w:r>
    </w:p>
    <w:p w14:paraId="7BFCFC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via the U.S. Mail until noon, October 12, 2026, to Tavares Walker, </w:t>
      </w:r>
      <w:r w:rsidRPr="006E50FF">
        <w:rPr>
          <w:kern w:val="2"/>
        </w:rPr>
        <w:t>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336C96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7E7A857" w14:textId="77777777" w:rsidR="006E50FF" w:rsidRPr="006E50FF" w:rsidRDefault="006E50FF" w:rsidP="006E50FF">
      <w:pPr>
        <w:keepNext/>
        <w:ind w:left="2160"/>
        <w:jc w:val="both"/>
      </w:pPr>
      <w:r w:rsidRPr="006E50FF">
        <w:t>Tavares A. Walker</w:t>
      </w:r>
    </w:p>
    <w:p w14:paraId="3D31F70F" w14:textId="77777777" w:rsidR="006E50FF" w:rsidRPr="006E50FF" w:rsidRDefault="006E50FF" w:rsidP="006E50FF">
      <w:pPr>
        <w:keepNext/>
        <w:ind w:left="2160"/>
        <w:jc w:val="both"/>
      </w:pPr>
      <w:r w:rsidRPr="006E50FF">
        <w:t>Executive Director</w:t>
      </w:r>
    </w:p>
    <w:p w14:paraId="40DFD20A" w14:textId="77777777" w:rsidR="006E50FF" w:rsidRPr="006E50FF" w:rsidRDefault="006E50FF" w:rsidP="006E50FF">
      <w:pPr>
        <w:keepNext/>
        <w:jc w:val="center"/>
        <w:rPr>
          <w:b/>
        </w:rPr>
      </w:pPr>
    </w:p>
    <w:p w14:paraId="6589B06F" w14:textId="77777777" w:rsidR="006E50FF" w:rsidRPr="006E50FF" w:rsidRDefault="006E50FF" w:rsidP="006E50FF">
      <w:pPr>
        <w:keepNext/>
        <w:jc w:val="center"/>
        <w:rPr>
          <w:b/>
        </w:rPr>
      </w:pPr>
      <w:r w:rsidRPr="006E50FF">
        <w:rPr>
          <w:b/>
        </w:rPr>
        <w:t>FISCAL AND ECONOMIC IMPACT STATEMENT FOR ADMINISTRATIVE RULES</w:t>
      </w:r>
    </w:p>
    <w:p w14:paraId="6E427441" w14:textId="77777777" w:rsidR="006E50FF" w:rsidRPr="006E50FF" w:rsidRDefault="006E50FF" w:rsidP="006E50FF">
      <w:pPr>
        <w:keepNext/>
        <w:jc w:val="center"/>
        <w:rPr>
          <w:b/>
          <w:noProof/>
        </w:rPr>
      </w:pPr>
      <w:r w:rsidRPr="006E50FF">
        <w:rPr>
          <w:b/>
          <w:noProof/>
        </w:rPr>
        <w:t>RULE TITLE:  Adolescent Literacy</w:t>
      </w:r>
    </w:p>
    <w:p w14:paraId="0672CA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CE12830"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4CFBE0F" w14:textId="77777777" w:rsidR="006E50FF" w:rsidRPr="006E50FF" w:rsidRDefault="006E50FF" w:rsidP="006E50FF">
      <w:pPr>
        <w:ind w:left="288" w:firstLine="288"/>
        <w:jc w:val="both"/>
        <w:rPr>
          <w:noProof/>
          <w:sz w:val="18"/>
        </w:rPr>
      </w:pPr>
      <w:r w:rsidRPr="006E50FF">
        <w:rPr>
          <w:noProof/>
          <w:sz w:val="18"/>
        </w:rPr>
        <w:t>Local education agencies may experience an indeterminable increase in workload and expenditures, varying by agency as a result of the proposed rule change, which amends LAC 28:CXV, 28:XXXIX, 28:XLV, and 28:CXLVI to implement Acts 964 and 413 of the 2026 Regular Session. The rule change expands adolescent literacy requirements by requiring reading assessments and individualized interventions for deficient students, adolescent literacy plans and related educator competencies, prohibiting three-cueing, and requiring school boards to include career coaching in pupil progression plans. At least one reading assessment for this purpose is available at no cost, and students already served under existing remediation requirements and intervention structures will likely satisfy portions of the new requirements, mitigating local costs.</w:t>
      </w:r>
    </w:p>
    <w:p w14:paraId="10BB32C6" w14:textId="77777777" w:rsidR="006E50FF" w:rsidRPr="006E50FF" w:rsidRDefault="006E50FF" w:rsidP="006E50FF">
      <w:pPr>
        <w:ind w:left="288" w:firstLine="288"/>
        <w:jc w:val="both"/>
        <w:rPr>
          <w:sz w:val="18"/>
        </w:rPr>
      </w:pPr>
      <w:r w:rsidRPr="006E50FF">
        <w:rPr>
          <w:sz w:val="18"/>
        </w:rPr>
        <w:t>There are no anticipated implementation costs or savings to state governmental units as a result of the proposed rule change The Louisiana Department of Education will administer the approved reading assessment list, the adolescent literacy courses and resources it has already developed, and the plan submission process using existing staff and previously appropriated funds.</w:t>
      </w:r>
    </w:p>
    <w:p w14:paraId="789789E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8934B8C"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 The proposed rule change establishes no fee and alters no fee.</w:t>
      </w:r>
    </w:p>
    <w:p w14:paraId="75C61CD6"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C4D3BEC" w14:textId="77777777" w:rsidR="006E50FF" w:rsidRPr="006E50FF" w:rsidRDefault="006E50FF" w:rsidP="006E50FF">
      <w:pPr>
        <w:ind w:left="288" w:firstLine="288"/>
        <w:jc w:val="both"/>
        <w:rPr>
          <w:noProof/>
          <w:sz w:val="18"/>
        </w:rPr>
      </w:pPr>
      <w:r w:rsidRPr="006E50FF">
        <w:rPr>
          <w:noProof/>
          <w:sz w:val="18"/>
        </w:rPr>
        <w:t xml:space="preserve">Identified students receive intensive interventions, an individual reading improvement plan, and, as appropriate, summer or other remediation at no cost to the student. Parents and legal guardians receive written notification within fifteen days of identification, a written copy of the individual reading improvement plan, strategies and materials to support reading at home, and written progress reporting throughout the school year, at no cost. </w:t>
      </w:r>
    </w:p>
    <w:p w14:paraId="4A00A214" w14:textId="77777777" w:rsidR="006E50FF" w:rsidRPr="006E50FF" w:rsidRDefault="006E50FF" w:rsidP="006E50FF">
      <w:pPr>
        <w:ind w:left="288" w:firstLine="288"/>
        <w:jc w:val="both"/>
        <w:rPr>
          <w:sz w:val="18"/>
        </w:rPr>
      </w:pPr>
      <w:r w:rsidRPr="006E50FF">
        <w:rPr>
          <w:sz w:val="18"/>
        </w:rPr>
        <w:t xml:space="preserve">Educator preparation providers will incorporate instruction on adolescent literacy skills into existing required reading and literacy credit hours for candidates entering programs during or after the 2027-2028 academic year, and will align coursework to the revised competencies and definitions. The Louisiana Department of Education has developed and approved adolescent literacy professional development and intervention courses and made related instructional resources available for use by institutions, which mitigates costs that would otherwise be associated with developing new instructional content. Any remaining workload associated with curriculum alignment is </w:t>
      </w:r>
      <w:r w:rsidRPr="006E50FF">
        <w:rPr>
          <w:sz w:val="18"/>
        </w:rPr>
        <w:lastRenderedPageBreak/>
        <w:t>indeterminable and will vary by institution, and no new paperwork is required of institutions beyond the existing program approval process.</w:t>
      </w:r>
    </w:p>
    <w:p w14:paraId="1556AED6"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97E0BDA"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3399884E" w14:textId="77777777" w:rsidR="006E50FF" w:rsidRPr="006E50FF" w:rsidRDefault="006E50FF" w:rsidP="006E50FF">
      <w:pPr>
        <w:ind w:left="288" w:firstLine="288"/>
        <w:jc w:val="both"/>
        <w:rPr>
          <w:sz w:val="18"/>
        </w:rPr>
      </w:pPr>
    </w:p>
    <w:p w14:paraId="240EF792"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 xml:space="preserve">Patrice Thomas </w:t>
      </w:r>
    </w:p>
    <w:p w14:paraId="6D3C70B5"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42BCB355" w14:textId="77777777" w:rsidR="006E50FF" w:rsidRPr="006E50FF" w:rsidRDefault="006E50FF" w:rsidP="006E50FF">
      <w:pPr>
        <w:tabs>
          <w:tab w:val="left" w:pos="2880"/>
          <w:tab w:val="decimal" w:pos="2988"/>
        </w:tabs>
        <w:outlineLvl w:val="8"/>
        <w:rPr>
          <w:kern w:val="2"/>
          <w:sz w:val="18"/>
        </w:rPr>
      </w:pPr>
      <w:r w:rsidRPr="006E50FF">
        <w:rPr>
          <w:noProof/>
          <w:sz w:val="16"/>
        </w:rPr>
        <w:t>2609#075</w:t>
      </w:r>
      <w:r w:rsidRPr="006E50FF">
        <w:rPr>
          <w:kern w:val="2"/>
        </w:rPr>
        <w:tab/>
      </w:r>
      <w:r w:rsidRPr="006E50FF">
        <w:rPr>
          <w:kern w:val="2"/>
          <w:sz w:val="18"/>
        </w:rPr>
        <w:t>Legislative Fiscal Office</w:t>
      </w:r>
    </w:p>
    <w:p w14:paraId="5C38AD27" w14:textId="77777777" w:rsidR="006E50FF" w:rsidRPr="006E50FF" w:rsidRDefault="006E50FF" w:rsidP="006E50FF"/>
    <w:p w14:paraId="055792E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0BAA6FD3" w14:textId="77777777" w:rsidR="006E50FF" w:rsidRPr="006E50FF" w:rsidRDefault="006E50FF" w:rsidP="006E50FF">
      <w:pPr>
        <w:keepNext/>
        <w:jc w:val="center"/>
        <w:rPr>
          <w:b/>
          <w:noProof/>
        </w:rPr>
      </w:pPr>
      <w:r w:rsidRPr="006E50FF">
        <w:rPr>
          <w:b/>
          <w:noProof/>
        </w:rPr>
        <w:t>Board of Elementary and Secondary Education</w:t>
      </w:r>
    </w:p>
    <w:p w14:paraId="249099F7" w14:textId="77777777" w:rsidR="006E50FF" w:rsidRPr="006E50FF" w:rsidRDefault="006E50FF" w:rsidP="006E50FF">
      <w:pPr>
        <w:keepNext/>
        <w:spacing w:before="240" w:after="240"/>
        <w:jc w:val="center"/>
        <w:rPr>
          <w:noProof/>
        </w:rPr>
      </w:pPr>
      <w:r w:rsidRPr="006E50FF">
        <w:rPr>
          <w:noProof/>
        </w:rPr>
        <w:t>Bulletin 102—Louisiana Physical Education Student Standards—Physical Education Content Standards</w:t>
      </w:r>
      <w:r w:rsidRPr="006E50FF">
        <w:rPr>
          <w:noProof/>
        </w:rPr>
        <w:br/>
        <w:t xml:space="preserve">(LAC 28:LIII.Chapters 1-11; and </w:t>
      </w:r>
      <w:r w:rsidRPr="006E50FF">
        <w:rPr>
          <w:noProof/>
        </w:rPr>
        <w:br/>
        <w:t>LAC 28:CII.Chapters 1-11)</w:t>
      </w:r>
    </w:p>
    <w:p w14:paraId="5A6F67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repeal LAC 28:LIII in </w:t>
      </w:r>
      <w:r w:rsidRPr="006E50FF">
        <w:rPr>
          <w:i/>
          <w:kern w:val="2"/>
        </w:rPr>
        <w:t>Bulletin 102―Louisiana Physical Education Student Standards</w:t>
      </w:r>
      <w:r w:rsidRPr="006E50FF">
        <w:rPr>
          <w:kern w:val="2"/>
        </w:rPr>
        <w:t xml:space="preserve"> and to adopt LAC 28:CII in </w:t>
      </w:r>
      <w:r w:rsidRPr="006E50FF">
        <w:rPr>
          <w:i/>
          <w:kern w:val="2"/>
        </w:rPr>
        <w:t>Bulletin 102―Louisiana Physical Education Student Standards</w:t>
      </w:r>
      <w:r w:rsidRPr="006E50FF">
        <w:rPr>
          <w:kern w:val="2"/>
        </w:rPr>
        <w:t>. The Louisiana Department of Education (LDOE) facilitated a content standards review process for physical education, and the review committee recommendations were posted for public review and input. The proposed action repeals the existing physical education student standards and reestablishes them, revised, in a Part numbered to match the bulletin number. The revised standards are organized into five domains across five grade bands and were endorsed by the Physical Education Content Standards Steering Committee and the Superintendents’ Advisory Council.</w:t>
      </w:r>
    </w:p>
    <w:p w14:paraId="7EF2EF12" w14:textId="77777777" w:rsidR="006E50FF" w:rsidRPr="006E50FF" w:rsidRDefault="006E50FF" w:rsidP="006E50FF">
      <w:pPr>
        <w:keepNext/>
        <w:jc w:val="center"/>
        <w:rPr>
          <w:b/>
          <w:kern w:val="28"/>
        </w:rPr>
      </w:pPr>
      <w:r w:rsidRPr="006E50FF">
        <w:rPr>
          <w:b/>
          <w:kern w:val="28"/>
        </w:rPr>
        <w:t>Title 28</w:t>
      </w:r>
    </w:p>
    <w:p w14:paraId="48CA8F08" w14:textId="77777777" w:rsidR="006E50FF" w:rsidRPr="006E50FF" w:rsidRDefault="006E50FF" w:rsidP="006E50FF">
      <w:pPr>
        <w:keepNext/>
        <w:jc w:val="center"/>
        <w:rPr>
          <w:b/>
          <w:kern w:val="28"/>
        </w:rPr>
      </w:pPr>
      <w:r w:rsidRPr="006E50FF">
        <w:rPr>
          <w:b/>
          <w:kern w:val="28"/>
        </w:rPr>
        <w:t>EDUCATION</w:t>
      </w:r>
    </w:p>
    <w:p w14:paraId="1DDE0BBC" w14:textId="77777777" w:rsidR="006E50FF" w:rsidRPr="006E50FF" w:rsidRDefault="006E50FF" w:rsidP="006E50FF">
      <w:pPr>
        <w:keepNext/>
        <w:jc w:val="center"/>
        <w:rPr>
          <w:b/>
          <w:noProof/>
        </w:rPr>
      </w:pPr>
      <w:bookmarkStart w:id="198" w:name="TOC_Part0"/>
      <w:bookmarkStart w:id="199" w:name="_Toc191179037"/>
      <w:bookmarkStart w:id="200" w:name="_Toc249172307"/>
      <w:bookmarkStart w:id="201" w:name="_Toc499029771"/>
      <w:bookmarkStart w:id="202" w:name="_Toc499029772"/>
      <w:bookmarkEnd w:id="198"/>
      <w:bookmarkEnd w:id="199"/>
      <w:bookmarkEnd w:id="200"/>
      <w:bookmarkEnd w:id="201"/>
      <w:r w:rsidRPr="006E50FF">
        <w:rPr>
          <w:b/>
          <w:noProof/>
        </w:rPr>
        <w:t>Part LIII.  Bulletin 102―Louisiana Physical Education Student Standards</w:t>
      </w:r>
    </w:p>
    <w:p w14:paraId="6A74FF5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General Provisions</w:t>
      </w:r>
      <w:bookmarkEnd w:id="202"/>
    </w:p>
    <w:p w14:paraId="25758B5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3" w:name="_Toc499029773"/>
      <w:r w:rsidRPr="006E50FF">
        <w:rPr>
          <w:b/>
          <w:kern w:val="2"/>
        </w:rPr>
        <w:t>§101.</w:t>
      </w:r>
      <w:r w:rsidRPr="006E50FF">
        <w:rPr>
          <w:b/>
          <w:kern w:val="2"/>
        </w:rPr>
        <w:tab/>
        <w:t>Introduction</w:t>
      </w:r>
      <w:bookmarkEnd w:id="203"/>
    </w:p>
    <w:p w14:paraId="296F92C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385E8D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E6DCD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43:2105 (November 2017), repealed LR 52:</w:t>
      </w:r>
    </w:p>
    <w:p w14:paraId="757F4A9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4" w:name="_Toc499029774"/>
      <w:r w:rsidRPr="006E50FF">
        <w:rPr>
          <w:b/>
          <w:kern w:val="2"/>
        </w:rPr>
        <w:t>§103.</w:t>
      </w:r>
      <w:r w:rsidRPr="006E50FF">
        <w:rPr>
          <w:b/>
          <w:kern w:val="2"/>
        </w:rPr>
        <w:tab/>
        <w:t>Louisiana Physical Education Standards to Promote Physical Literacy</w:t>
      </w:r>
      <w:bookmarkEnd w:id="204"/>
    </w:p>
    <w:p w14:paraId="2F5E2CC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4AE863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03269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43:2105 (November 2017), repealed LR 52:</w:t>
      </w:r>
    </w:p>
    <w:p w14:paraId="38F31E2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05" w:name="_Toc499029775"/>
      <w:r w:rsidRPr="006E50FF">
        <w:rPr>
          <w:b/>
          <w:kern w:val="2"/>
        </w:rPr>
        <w:t>Chapter 3.</w:t>
      </w:r>
      <w:r w:rsidRPr="006E50FF">
        <w:rPr>
          <w:b/>
          <w:kern w:val="2"/>
        </w:rPr>
        <w:tab/>
        <w:t>Grades K-2 Cluster Level</w:t>
      </w:r>
      <w:bookmarkEnd w:id="205"/>
    </w:p>
    <w:p w14:paraId="61D8D9B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6" w:name="_Toc499029776"/>
      <w:r w:rsidRPr="006E50FF">
        <w:rPr>
          <w:b/>
          <w:kern w:val="2"/>
        </w:rPr>
        <w:t>§301.</w:t>
      </w:r>
      <w:r w:rsidRPr="006E50FF">
        <w:rPr>
          <w:b/>
          <w:kern w:val="2"/>
        </w:rPr>
        <w:tab/>
        <w:t>Introduction</w:t>
      </w:r>
      <w:bookmarkEnd w:id="206"/>
    </w:p>
    <w:p w14:paraId="572544FB"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rFonts w:eastAsia="Calibri"/>
          <w:kern w:val="2"/>
        </w:rPr>
        <w:t>Repealed.</w:t>
      </w:r>
    </w:p>
    <w:p w14:paraId="4BD422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43E85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43:2106 (November 2017), repealed LR 52:</w:t>
      </w:r>
    </w:p>
    <w:p w14:paraId="0D9304F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07" w:name="_Toc499029777"/>
      <w:r w:rsidRPr="006E50FF">
        <w:rPr>
          <w:rFonts w:eastAsia="Calibri"/>
          <w:b/>
          <w:kern w:val="2"/>
        </w:rPr>
        <w:t>§303.</w:t>
      </w:r>
      <w:r w:rsidRPr="006E50FF">
        <w:rPr>
          <w:rFonts w:eastAsia="Calibri"/>
          <w:b/>
          <w:kern w:val="2"/>
        </w:rPr>
        <w:tab/>
        <w:t>Standard 1</w:t>
      </w:r>
      <w:bookmarkEnd w:id="207"/>
    </w:p>
    <w:p w14:paraId="5C315BC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6C9BC7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F50A9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43:2106 (November 2017), repealed LR 52:</w:t>
      </w:r>
    </w:p>
    <w:p w14:paraId="44754A7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08" w:name="_Toc499029778"/>
      <w:r w:rsidRPr="006E50FF">
        <w:rPr>
          <w:rFonts w:eastAsia="Calibri"/>
          <w:b/>
          <w:kern w:val="2"/>
        </w:rPr>
        <w:t>§305.</w:t>
      </w:r>
      <w:r w:rsidRPr="006E50FF">
        <w:rPr>
          <w:rFonts w:eastAsia="Calibri"/>
          <w:b/>
          <w:kern w:val="2"/>
        </w:rPr>
        <w:tab/>
        <w:t>Standard 2</w:t>
      </w:r>
      <w:bookmarkEnd w:id="208"/>
    </w:p>
    <w:p w14:paraId="62B61A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7F21DD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14BF51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43:2107 (November 2017), repealed LR 52:</w:t>
      </w:r>
    </w:p>
    <w:p w14:paraId="6A06301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09" w:name="_Toc499029779"/>
      <w:r w:rsidRPr="006E50FF">
        <w:rPr>
          <w:rFonts w:eastAsia="Calibri"/>
          <w:b/>
          <w:kern w:val="2"/>
        </w:rPr>
        <w:t>§307.</w:t>
      </w:r>
      <w:r w:rsidRPr="006E50FF">
        <w:rPr>
          <w:rFonts w:eastAsia="Calibri"/>
          <w:b/>
          <w:kern w:val="2"/>
        </w:rPr>
        <w:tab/>
        <w:t>Standard 3</w:t>
      </w:r>
      <w:bookmarkEnd w:id="209"/>
    </w:p>
    <w:p w14:paraId="0A70FB0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2B5A95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D283E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43:2108 (November 2017), repealed LR 52:</w:t>
      </w:r>
    </w:p>
    <w:p w14:paraId="1C02075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10" w:name="_Toc499029780"/>
      <w:r w:rsidRPr="006E50FF">
        <w:rPr>
          <w:rFonts w:eastAsia="Calibri"/>
          <w:b/>
          <w:kern w:val="2"/>
        </w:rPr>
        <w:t>§309.</w:t>
      </w:r>
      <w:r w:rsidRPr="006E50FF">
        <w:rPr>
          <w:rFonts w:eastAsia="Calibri"/>
          <w:b/>
          <w:kern w:val="2"/>
        </w:rPr>
        <w:tab/>
        <w:t>Standard 4</w:t>
      </w:r>
      <w:bookmarkEnd w:id="210"/>
    </w:p>
    <w:p w14:paraId="14E0BC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0CAFF6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584DA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43:2108 (November 2017), repealed LR 52:</w:t>
      </w:r>
    </w:p>
    <w:p w14:paraId="64B9374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11" w:name="_Toc499029781"/>
      <w:r w:rsidRPr="006E50FF">
        <w:rPr>
          <w:b/>
          <w:kern w:val="2"/>
        </w:rPr>
        <w:t>§</w:t>
      </w:r>
      <w:r w:rsidRPr="006E50FF">
        <w:rPr>
          <w:rFonts w:eastAsia="Calibri"/>
          <w:b/>
          <w:kern w:val="2"/>
        </w:rPr>
        <w:t>311.</w:t>
      </w:r>
      <w:r w:rsidRPr="006E50FF">
        <w:rPr>
          <w:rFonts w:eastAsia="Calibri"/>
          <w:b/>
          <w:kern w:val="2"/>
        </w:rPr>
        <w:tab/>
        <w:t>Standard 5</w:t>
      </w:r>
      <w:bookmarkEnd w:id="211"/>
    </w:p>
    <w:p w14:paraId="308BCDA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rFonts w:eastAsia="Calibri"/>
          <w:kern w:val="2"/>
        </w:rPr>
        <w:t>Repealed</w:t>
      </w:r>
      <w:r w:rsidRPr="006E50FF">
        <w:rPr>
          <w:kern w:val="2"/>
        </w:rPr>
        <w:t>.</w:t>
      </w:r>
    </w:p>
    <w:p w14:paraId="7E5C83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E3F52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43:2109 (November 2017), repealed LR 52:</w:t>
      </w:r>
    </w:p>
    <w:p w14:paraId="1E4BF18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12" w:name="_Toc499029782"/>
      <w:r w:rsidRPr="006E50FF">
        <w:rPr>
          <w:b/>
          <w:kern w:val="2"/>
        </w:rPr>
        <w:t>Chapter 5.</w:t>
      </w:r>
      <w:r w:rsidRPr="006E50FF">
        <w:rPr>
          <w:b/>
          <w:kern w:val="2"/>
        </w:rPr>
        <w:tab/>
        <w:t>Grades 3―5 Cluster Level</w:t>
      </w:r>
      <w:bookmarkEnd w:id="212"/>
    </w:p>
    <w:p w14:paraId="627EA9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3" w:name="_Toc499029783"/>
      <w:r w:rsidRPr="006E50FF">
        <w:rPr>
          <w:b/>
          <w:kern w:val="2"/>
        </w:rPr>
        <w:t>§501.</w:t>
      </w:r>
      <w:r w:rsidRPr="006E50FF">
        <w:rPr>
          <w:b/>
          <w:kern w:val="2"/>
        </w:rPr>
        <w:tab/>
        <w:t>Introduction</w:t>
      </w:r>
      <w:bookmarkEnd w:id="213"/>
    </w:p>
    <w:p w14:paraId="303006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p>
    <w:p w14:paraId="3D6A6F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7312D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43:2109 (November 2017), repealed LR 52:</w:t>
      </w:r>
    </w:p>
    <w:p w14:paraId="74B4843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4" w:name="_Toc499029784"/>
      <w:r w:rsidRPr="006E50FF">
        <w:rPr>
          <w:b/>
          <w:kern w:val="2"/>
        </w:rPr>
        <w:t>§503.</w:t>
      </w:r>
      <w:r w:rsidRPr="006E50FF">
        <w:rPr>
          <w:b/>
          <w:kern w:val="2"/>
        </w:rPr>
        <w:tab/>
        <w:t>Standard 1</w:t>
      </w:r>
      <w:bookmarkEnd w:id="214"/>
    </w:p>
    <w:p w14:paraId="4C4173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05F3D6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67163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43:2110 (November 2017), repealed LR 52:</w:t>
      </w:r>
    </w:p>
    <w:p w14:paraId="7703E8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5" w:name="_Toc499029785"/>
      <w:r w:rsidRPr="006E50FF">
        <w:rPr>
          <w:b/>
          <w:kern w:val="2"/>
        </w:rPr>
        <w:t>§505.</w:t>
      </w:r>
      <w:r w:rsidRPr="006E50FF">
        <w:rPr>
          <w:b/>
          <w:kern w:val="2"/>
        </w:rPr>
        <w:tab/>
        <w:t>Standard 2</w:t>
      </w:r>
      <w:bookmarkEnd w:id="215"/>
    </w:p>
    <w:p w14:paraId="6C076B5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r w:rsidRPr="006E50FF">
        <w:rPr>
          <w:kern w:val="2"/>
        </w:rPr>
        <w:t>.</w:t>
      </w:r>
    </w:p>
    <w:p w14:paraId="73AF06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C96B1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43:2111 (November 2017), repealed LR 52:</w:t>
      </w:r>
    </w:p>
    <w:p w14:paraId="5C35D18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6" w:name="_Toc499029786"/>
      <w:r w:rsidRPr="006E50FF">
        <w:rPr>
          <w:b/>
          <w:kern w:val="2"/>
        </w:rPr>
        <w:t>§507.</w:t>
      </w:r>
      <w:r w:rsidRPr="006E50FF">
        <w:rPr>
          <w:b/>
          <w:kern w:val="2"/>
        </w:rPr>
        <w:tab/>
        <w:t>Standard 3</w:t>
      </w:r>
      <w:bookmarkEnd w:id="216"/>
    </w:p>
    <w:p w14:paraId="17B50E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 xml:space="preserve">. </w:t>
      </w:r>
    </w:p>
    <w:p w14:paraId="17F45D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4AFEF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43:2111 (November 2017), repealed LR 52:</w:t>
      </w:r>
    </w:p>
    <w:p w14:paraId="3C865B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7" w:name="_Toc499029787"/>
      <w:r w:rsidRPr="006E50FF">
        <w:rPr>
          <w:b/>
          <w:kern w:val="2"/>
        </w:rPr>
        <w:lastRenderedPageBreak/>
        <w:t>§509.</w:t>
      </w:r>
      <w:r w:rsidRPr="006E50FF">
        <w:rPr>
          <w:b/>
          <w:kern w:val="2"/>
        </w:rPr>
        <w:tab/>
        <w:t>Standard 4</w:t>
      </w:r>
      <w:bookmarkEnd w:id="217"/>
    </w:p>
    <w:p w14:paraId="097219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794219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7C640B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43:2112 (November 2017), repealed LR 52:</w:t>
      </w:r>
    </w:p>
    <w:p w14:paraId="0BAE52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8" w:name="_Toc499029788"/>
      <w:r w:rsidRPr="006E50FF">
        <w:rPr>
          <w:b/>
          <w:kern w:val="2"/>
        </w:rPr>
        <w:t>§511.</w:t>
      </w:r>
      <w:r w:rsidRPr="006E50FF">
        <w:rPr>
          <w:b/>
          <w:kern w:val="2"/>
        </w:rPr>
        <w:tab/>
        <w:t>Standard 5</w:t>
      </w:r>
      <w:bookmarkEnd w:id="218"/>
    </w:p>
    <w:p w14:paraId="399CE94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3AD2B4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562BD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43:2113 (November 2017), repealed LR 52:</w:t>
      </w:r>
    </w:p>
    <w:p w14:paraId="2809EE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19" w:name="_Toc499029789"/>
      <w:r w:rsidRPr="006E50FF">
        <w:rPr>
          <w:b/>
          <w:kern w:val="2"/>
        </w:rPr>
        <w:t>Chapter 7.</w:t>
      </w:r>
      <w:r w:rsidRPr="006E50FF">
        <w:rPr>
          <w:b/>
          <w:kern w:val="2"/>
        </w:rPr>
        <w:tab/>
        <w:t>Grades 6―8 Cluster Level</w:t>
      </w:r>
      <w:bookmarkEnd w:id="219"/>
    </w:p>
    <w:p w14:paraId="20224B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0" w:name="_Toc499029790"/>
      <w:r w:rsidRPr="006E50FF">
        <w:rPr>
          <w:b/>
          <w:kern w:val="2"/>
        </w:rPr>
        <w:t>§701.</w:t>
      </w:r>
      <w:r w:rsidRPr="006E50FF">
        <w:rPr>
          <w:b/>
          <w:kern w:val="2"/>
        </w:rPr>
        <w:tab/>
        <w:t>Introduction</w:t>
      </w:r>
      <w:bookmarkEnd w:id="220"/>
    </w:p>
    <w:p w14:paraId="5EB4AD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48042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7904C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43:2113 (November 2017), repealed LR 52:</w:t>
      </w:r>
    </w:p>
    <w:p w14:paraId="55C83F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1" w:name="_Toc499029791"/>
      <w:r w:rsidRPr="006E50FF">
        <w:rPr>
          <w:b/>
          <w:kern w:val="2"/>
        </w:rPr>
        <w:t>§703.</w:t>
      </w:r>
      <w:r w:rsidRPr="006E50FF">
        <w:rPr>
          <w:b/>
          <w:kern w:val="2"/>
        </w:rPr>
        <w:tab/>
        <w:t>Standard 1</w:t>
      </w:r>
      <w:bookmarkEnd w:id="221"/>
    </w:p>
    <w:p w14:paraId="7E3A19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15F7D0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F0494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43:2114 (November 2017), repealed LR 52:</w:t>
      </w:r>
    </w:p>
    <w:p w14:paraId="4DB1CE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2" w:name="_Toc499029792"/>
      <w:r w:rsidRPr="006E50FF">
        <w:rPr>
          <w:b/>
          <w:kern w:val="2"/>
        </w:rPr>
        <w:t>§705.</w:t>
      </w:r>
      <w:r w:rsidRPr="006E50FF">
        <w:rPr>
          <w:b/>
          <w:kern w:val="2"/>
        </w:rPr>
        <w:tab/>
        <w:t>Standard 2</w:t>
      </w:r>
      <w:bookmarkEnd w:id="222"/>
    </w:p>
    <w:p w14:paraId="394571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382098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57D3A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43:2115 (November 2017), repealed LR 52:</w:t>
      </w:r>
    </w:p>
    <w:p w14:paraId="4034282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3" w:name="_Toc499029793"/>
      <w:r w:rsidRPr="006E50FF">
        <w:rPr>
          <w:b/>
          <w:kern w:val="2"/>
        </w:rPr>
        <w:t>§707.</w:t>
      </w:r>
      <w:r w:rsidRPr="006E50FF">
        <w:rPr>
          <w:b/>
          <w:kern w:val="2"/>
        </w:rPr>
        <w:tab/>
        <w:t>Standard 3</w:t>
      </w:r>
      <w:bookmarkEnd w:id="223"/>
    </w:p>
    <w:p w14:paraId="2BF5F0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151975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0CB830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43:2116 (November 2017), repealed LR 52:</w:t>
      </w:r>
    </w:p>
    <w:p w14:paraId="111A1B9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4" w:name="_Toc499029794"/>
      <w:r w:rsidRPr="006E50FF">
        <w:rPr>
          <w:b/>
          <w:kern w:val="2"/>
        </w:rPr>
        <w:t>§709.</w:t>
      </w:r>
      <w:r w:rsidRPr="006E50FF">
        <w:rPr>
          <w:b/>
          <w:kern w:val="2"/>
        </w:rPr>
        <w:tab/>
        <w:t>Standard 4</w:t>
      </w:r>
      <w:bookmarkEnd w:id="224"/>
    </w:p>
    <w:p w14:paraId="31A0D7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p>
    <w:p w14:paraId="026CC8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265CAB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43:2117 (November 2017), repealed LR 52:</w:t>
      </w:r>
    </w:p>
    <w:p w14:paraId="361E06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5" w:name="_Toc499029795"/>
      <w:r w:rsidRPr="006E50FF">
        <w:rPr>
          <w:b/>
          <w:kern w:val="2"/>
        </w:rPr>
        <w:t>§711.</w:t>
      </w:r>
      <w:r w:rsidRPr="006E50FF">
        <w:rPr>
          <w:b/>
          <w:kern w:val="2"/>
        </w:rPr>
        <w:tab/>
        <w:t>Standard 5</w:t>
      </w:r>
      <w:bookmarkEnd w:id="225"/>
    </w:p>
    <w:p w14:paraId="38E2B2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6BDB06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C83EB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43:2118 (November 2017), repealed LR 52:</w:t>
      </w:r>
    </w:p>
    <w:p w14:paraId="7BDD32C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26" w:name="_Toc499029796"/>
      <w:r w:rsidRPr="006E50FF">
        <w:rPr>
          <w:b/>
          <w:kern w:val="2"/>
        </w:rPr>
        <w:t>Chapter 9.</w:t>
      </w:r>
      <w:r w:rsidRPr="006E50FF">
        <w:rPr>
          <w:b/>
          <w:kern w:val="2"/>
        </w:rPr>
        <w:tab/>
        <w:t>Grades 9―12 Cluster Level</w:t>
      </w:r>
      <w:bookmarkEnd w:id="226"/>
    </w:p>
    <w:p w14:paraId="6FF0F8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7" w:name="_Toc499029797"/>
      <w:r w:rsidRPr="006E50FF">
        <w:rPr>
          <w:b/>
          <w:kern w:val="2"/>
        </w:rPr>
        <w:t>§901.</w:t>
      </w:r>
      <w:r w:rsidRPr="006E50FF">
        <w:rPr>
          <w:b/>
          <w:kern w:val="2"/>
        </w:rPr>
        <w:tab/>
        <w:t>Introduction</w:t>
      </w:r>
      <w:bookmarkEnd w:id="227"/>
    </w:p>
    <w:p w14:paraId="0A7CC6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 w:val="16"/>
          <w:szCs w:val="16"/>
        </w:rPr>
      </w:pPr>
      <w:r w:rsidRPr="006E50FF">
        <w:rPr>
          <w:rFonts w:eastAsia="Calibri"/>
          <w:kern w:val="2"/>
        </w:rPr>
        <w:t>Repealed.</w:t>
      </w:r>
    </w:p>
    <w:p w14:paraId="6FDB68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F4C46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43:2118 (November 2017), repealed LR 52:</w:t>
      </w:r>
    </w:p>
    <w:p w14:paraId="3C332A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8" w:name="_Toc499029798"/>
      <w:r w:rsidRPr="006E50FF">
        <w:rPr>
          <w:b/>
          <w:kern w:val="2"/>
        </w:rPr>
        <w:t>§903.</w:t>
      </w:r>
      <w:r w:rsidRPr="006E50FF">
        <w:rPr>
          <w:b/>
          <w:kern w:val="2"/>
        </w:rPr>
        <w:tab/>
        <w:t>Standard 1</w:t>
      </w:r>
      <w:bookmarkEnd w:id="228"/>
    </w:p>
    <w:p w14:paraId="11FD16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356139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6DF33A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43:2119 (November 2017), repealed LR 52:</w:t>
      </w:r>
    </w:p>
    <w:p w14:paraId="270C905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9" w:name="_Toc499029799"/>
      <w:r w:rsidRPr="006E50FF">
        <w:rPr>
          <w:b/>
          <w:kern w:val="2"/>
        </w:rPr>
        <w:t>§905.</w:t>
      </w:r>
      <w:r w:rsidRPr="006E50FF">
        <w:rPr>
          <w:b/>
          <w:kern w:val="2"/>
        </w:rPr>
        <w:tab/>
        <w:t>Standard 2</w:t>
      </w:r>
      <w:bookmarkEnd w:id="229"/>
    </w:p>
    <w:p w14:paraId="280B37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16C2C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DF5E7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43:2119 (November 2017), repealed LR 52:</w:t>
      </w:r>
    </w:p>
    <w:p w14:paraId="1DB84D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0" w:name="_Toc499029800"/>
      <w:r w:rsidRPr="006E50FF">
        <w:rPr>
          <w:b/>
          <w:kern w:val="2"/>
        </w:rPr>
        <w:t>§907.</w:t>
      </w:r>
      <w:r w:rsidRPr="006E50FF">
        <w:rPr>
          <w:b/>
          <w:kern w:val="2"/>
        </w:rPr>
        <w:tab/>
        <w:t>Standard 3</w:t>
      </w:r>
      <w:bookmarkEnd w:id="230"/>
    </w:p>
    <w:p w14:paraId="42877B6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6295C4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699C74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43:2120 (November 2017), repealed LR 52:</w:t>
      </w:r>
    </w:p>
    <w:p w14:paraId="747E8C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1" w:name="_Toc499029801"/>
      <w:r w:rsidRPr="006E50FF">
        <w:rPr>
          <w:b/>
          <w:kern w:val="2"/>
        </w:rPr>
        <w:t>§909.</w:t>
      </w:r>
      <w:r w:rsidRPr="006E50FF">
        <w:rPr>
          <w:b/>
          <w:kern w:val="2"/>
        </w:rPr>
        <w:tab/>
        <w:t>Standard 4</w:t>
      </w:r>
      <w:bookmarkEnd w:id="231"/>
    </w:p>
    <w:p w14:paraId="35DF88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 xml:space="preserve">. </w:t>
      </w:r>
    </w:p>
    <w:p w14:paraId="5B7F87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68F03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43:2120 (November 2017), repealed LR 52:</w:t>
      </w:r>
    </w:p>
    <w:p w14:paraId="779225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2" w:name="_Toc499029802"/>
      <w:r w:rsidRPr="006E50FF">
        <w:rPr>
          <w:b/>
          <w:kern w:val="2"/>
        </w:rPr>
        <w:t>§911.</w:t>
      </w:r>
      <w:r w:rsidRPr="006E50FF">
        <w:rPr>
          <w:b/>
          <w:kern w:val="2"/>
        </w:rPr>
        <w:tab/>
        <w:t>Standard 5</w:t>
      </w:r>
      <w:bookmarkEnd w:id="232"/>
    </w:p>
    <w:p w14:paraId="3CB71D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7EC5B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17B7A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43:2121 (November 2017), repealed LR 52:</w:t>
      </w:r>
    </w:p>
    <w:p w14:paraId="191192C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33" w:name="_Toc499029803"/>
      <w:r w:rsidRPr="006E50FF">
        <w:rPr>
          <w:b/>
          <w:kern w:val="2"/>
        </w:rPr>
        <w:t>Chapter 11.</w:t>
      </w:r>
      <w:r w:rsidRPr="006E50FF">
        <w:rPr>
          <w:b/>
          <w:kern w:val="2"/>
        </w:rPr>
        <w:tab/>
        <w:t>Glossary</w:t>
      </w:r>
      <w:bookmarkEnd w:id="233"/>
    </w:p>
    <w:p w14:paraId="5239C6F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4" w:name="_Toc499029804"/>
      <w:r w:rsidRPr="006E50FF">
        <w:rPr>
          <w:b/>
          <w:kern w:val="2"/>
        </w:rPr>
        <w:t>§1101.</w:t>
      </w:r>
      <w:r w:rsidRPr="006E50FF">
        <w:rPr>
          <w:b/>
          <w:kern w:val="2"/>
        </w:rPr>
        <w:tab/>
        <w:t>Definitions</w:t>
      </w:r>
      <w:bookmarkEnd w:id="234"/>
    </w:p>
    <w:p w14:paraId="0D9211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37A8B3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DFA0C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43:2121 (November 2017), repealed LR 52:</w:t>
      </w:r>
    </w:p>
    <w:p w14:paraId="5CBFCCF8" w14:textId="77777777" w:rsidR="006E50FF" w:rsidRPr="006E50FF" w:rsidRDefault="006E50FF" w:rsidP="006E50FF">
      <w:pPr>
        <w:keepNext/>
        <w:jc w:val="center"/>
        <w:rPr>
          <w:b/>
          <w:noProof/>
        </w:rPr>
      </w:pPr>
      <w:bookmarkStart w:id="235" w:name="_Toc288466749"/>
      <w:bookmarkStart w:id="236" w:name="_Toc301339320"/>
      <w:bookmarkStart w:id="237" w:name="_Toc314558238"/>
      <w:bookmarkStart w:id="238" w:name="_Toc314732539"/>
      <w:bookmarkStart w:id="239" w:name="_Toc319926629"/>
      <w:bookmarkStart w:id="240" w:name="_Toc327945128"/>
      <w:bookmarkStart w:id="241" w:name="_Toc343601748"/>
      <w:bookmarkStart w:id="242" w:name="_Toc346272761"/>
      <w:bookmarkStart w:id="243" w:name="_Toc351361372"/>
      <w:bookmarkStart w:id="244" w:name="_Toc359309861"/>
      <w:bookmarkStart w:id="245" w:name="_Toc372715523"/>
      <w:bookmarkStart w:id="246" w:name="_Toc393354505"/>
      <w:bookmarkStart w:id="247" w:name="_Toc406569234"/>
      <w:bookmarkStart w:id="248" w:name="_Toc425235736"/>
      <w:bookmarkStart w:id="249" w:name="_Toc475623412"/>
      <w:bookmarkStart w:id="250" w:name="_Toc480448033"/>
      <w:bookmarkStart w:id="251" w:name="_Toc501530741"/>
      <w:bookmarkStart w:id="252" w:name="_Toc506976444"/>
      <w:bookmarkStart w:id="253" w:name="_Toc532992958"/>
      <w:bookmarkStart w:id="254" w:name="_Toc22827221"/>
      <w:bookmarkStart w:id="255" w:name="_Toc43891133"/>
      <w:bookmarkStart w:id="256" w:name="_Toc101439700"/>
      <w:bookmarkStart w:id="257" w:name="_Toc132794053"/>
      <w:bookmarkStart w:id="258" w:name="_Toc189146560"/>
      <w:bookmarkStart w:id="259" w:name="_Toc217066634"/>
      <w:bookmarkStart w:id="260" w:name="BackHeeah"/>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6E50FF">
        <w:rPr>
          <w:b/>
          <w:noProof/>
        </w:rPr>
        <w:t>Part CII.  Bulletin 102―Louisiana Physical Education Student Standards</w:t>
      </w:r>
    </w:p>
    <w:p w14:paraId="452720D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61" w:name="_Toc217066635"/>
      <w:bookmarkEnd w:id="260"/>
      <w:r w:rsidRPr="006E50FF">
        <w:rPr>
          <w:b/>
          <w:kern w:val="2"/>
        </w:rPr>
        <w:t>Chapter 1.</w:t>
      </w:r>
      <w:r w:rsidRPr="006E50FF">
        <w:rPr>
          <w:b/>
          <w:kern w:val="2"/>
        </w:rPr>
        <w:tab/>
        <w:t>General Provisions</w:t>
      </w:r>
      <w:bookmarkEnd w:id="261"/>
    </w:p>
    <w:p w14:paraId="092363F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62" w:name="_Toc217066636"/>
      <w:r w:rsidRPr="006E50FF">
        <w:rPr>
          <w:b/>
          <w:kern w:val="2"/>
        </w:rPr>
        <w:t>§101.</w:t>
      </w:r>
      <w:r w:rsidRPr="006E50FF">
        <w:rPr>
          <w:b/>
          <w:kern w:val="2"/>
        </w:rPr>
        <w:tab/>
      </w:r>
      <w:bookmarkEnd w:id="262"/>
      <w:r w:rsidRPr="006E50FF">
        <w:rPr>
          <w:b/>
          <w:kern w:val="2"/>
        </w:rPr>
        <w:t>Introduction</w:t>
      </w:r>
    </w:p>
    <w:p w14:paraId="2DBE09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Louisiana student standards define what a student should know or be able to accomplish at the end of a specific time period or grade level or at the completion of a course. The standards represent the knowledge and skills needed for students to successfully transition from each grade and ultimately to postsecondary education and the workplace.</w:t>
      </w:r>
    </w:p>
    <w:p w14:paraId="6E7455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goal of physical education is to develop individuals who have the knowledge, skills, and confidence to participate in and enjoy a lifetime of healthy physical activity.</w:t>
      </w:r>
    </w:p>
    <w:p w14:paraId="0008A2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6452C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06BE385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br w:type="page"/>
      </w:r>
    </w:p>
    <w:p w14:paraId="4A831F9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lastRenderedPageBreak/>
        <w:t>Chapter 3.</w:t>
      </w:r>
      <w:r w:rsidRPr="006E50FF">
        <w:rPr>
          <w:b/>
          <w:kern w:val="2"/>
        </w:rPr>
        <w:tab/>
        <w:t>Kindergarten and Grade 1</w:t>
      </w:r>
    </w:p>
    <w:p w14:paraId="2360BFF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§301.</w:t>
      </w:r>
      <w:r w:rsidRPr="006E50FF">
        <w:rPr>
          <w:b/>
          <w:kern w:val="2"/>
        </w:rPr>
        <w:tab/>
        <w:t>Domain 1: Motor Skills Development</w:t>
      </w:r>
    </w:p>
    <w:p w14:paraId="51B189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 variety of locomotor skills while changing pathway, direction, levels, and/or effort.</w:t>
      </w:r>
    </w:p>
    <w:p w14:paraId="22F6B4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non-locomotor skills in response to auditory and visual cues.</w:t>
      </w:r>
    </w:p>
    <w:p w14:paraId="6D80EB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Jump and land in a closed environment.</w:t>
      </w:r>
    </w:p>
    <w:p w14:paraId="05C4B3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Jump rope in a closed environment.</w:t>
      </w:r>
    </w:p>
    <w:p w14:paraId="66382D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static balance using a variety of body parts and/or equipment in a closed environment.</w:t>
      </w:r>
    </w:p>
    <w:p w14:paraId="143442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Transfer weight between different body parts by rocking and rolling in a closed environment.</w:t>
      </w:r>
    </w:p>
    <w:p w14:paraId="33F2E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rhythmic dance steps and sequences in a closed environment.</w:t>
      </w:r>
    </w:p>
    <w:p w14:paraId="07A412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Throw an object in closed practice activities using variations of force.</w:t>
      </w:r>
    </w:p>
    <w:p w14:paraId="3C758E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Catch an object in closed practice activities.</w:t>
      </w:r>
    </w:p>
    <w:p w14:paraId="04D808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Strike an object with hands in closed practice activities.</w:t>
      </w:r>
    </w:p>
    <w:p w14:paraId="6ED781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Strike an object with an implement in closed practice activities.</w:t>
      </w:r>
    </w:p>
    <w:p w14:paraId="5C7D1B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Kick a ball in closed practice activities using variations of force.</w:t>
      </w:r>
    </w:p>
    <w:p w14:paraId="468DDA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Bounce a ball in closed practice activities using variations of force.</w:t>
      </w:r>
    </w:p>
    <w:p w14:paraId="4AFE86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Roll a ball underhand in closed practice activities.</w:t>
      </w:r>
    </w:p>
    <w:p w14:paraId="2169E5B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69E3F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FE597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Domain 2: Movement and Fitness Application</w:t>
      </w:r>
    </w:p>
    <w:p w14:paraId="15F522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Describe non-locomotor and movement concepts related to the body, space, effort, flow, and relationships.</w:t>
      </w:r>
    </w:p>
    <w:p w14:paraId="783737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Recognize movement concepts associated with locomotor and manipulative skills.</w:t>
      </w:r>
    </w:p>
    <w:p w14:paraId="796452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Use awareness of personal and general space to accomplish movement tasks.</w:t>
      </w:r>
    </w:p>
    <w:p w14:paraId="18BAAD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Use the critical elements of fundamental motor skills to improve performance.</w:t>
      </w:r>
    </w:p>
    <w:p w14:paraId="4C9D52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Apply different degrees of force, speed, and/or direction in response to auditory and/or visual cues.</w:t>
      </w:r>
    </w:p>
    <w:p w14:paraId="4A7588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how players, movements, equipment, space, and/or rules affect each other in different physical activities.</w:t>
      </w:r>
    </w:p>
    <w:p w14:paraId="1A0457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338D432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D56F5E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§305.</w:t>
      </w:r>
      <w:r w:rsidRPr="006E50FF">
        <w:rPr>
          <w:b/>
          <w:kern w:val="2"/>
        </w:rPr>
        <w:tab/>
        <w:t>Domain 3: Health-Enhancing Physical Activity and Fitness</w:t>
      </w:r>
    </w:p>
    <w:p w14:paraId="1C258A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Differentiate between physical activity and inactivity.</w:t>
      </w:r>
    </w:p>
    <w:p w14:paraId="673E03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Identify opportunities to increase physical activity throughout the day.</w:t>
      </w:r>
    </w:p>
    <w:p w14:paraId="512199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Recognize the difference between healthy and unhealthy food and beverage choices.</w:t>
      </w:r>
    </w:p>
    <w:p w14:paraId="11159C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Recognize physiological changes in the body during physical activities.</w:t>
      </w:r>
    </w:p>
    <w:p w14:paraId="05122A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Recognize activities that can be used to improve the health-related fitness components.</w:t>
      </w:r>
    </w:p>
    <w:p w14:paraId="24E2F1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cardiovascular endurance by recognizing that the heart is a muscle that grows stronger with physical activity.</w:t>
      </w:r>
    </w:p>
    <w:p w14:paraId="316467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column"/>
      </w:r>
      <w:r w:rsidRPr="006E50FF">
        <w:rPr>
          <w:kern w:val="2"/>
        </w:rPr>
        <w:t>G.</w:t>
      </w:r>
      <w:r w:rsidRPr="006E50FF">
        <w:rPr>
          <w:kern w:val="2"/>
        </w:rPr>
        <w:tab/>
        <w:t>Demonstrate an understanding of muscular strength and endurance by identifying ways to strengthen muscles.</w:t>
      </w:r>
    </w:p>
    <w:p w14:paraId="73E07B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Attempt age-appropriate fitness exercises with teacher guidance, including squats, lunges, push-ups, planks, and jumping jacks.</w:t>
      </w:r>
    </w:p>
    <w:p w14:paraId="05EB81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Demonstrate an understanding of flexibility by identifying ways to stretch muscles in the upper and lower body.</w:t>
      </w:r>
    </w:p>
    <w:p w14:paraId="36E340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Participate in age-appropriate fitness assessment.</w:t>
      </w:r>
    </w:p>
    <w:p w14:paraId="471E0B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6B929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6874FB6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§307.</w:t>
      </w:r>
      <w:r w:rsidRPr="006E50FF">
        <w:rPr>
          <w:b/>
          <w:kern w:val="2"/>
        </w:rPr>
        <w:tab/>
        <w:t>Domain 4: Personal and Social Responsibility</w:t>
      </w:r>
    </w:p>
    <w:p w14:paraId="6ADE5D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an understanding of safety rules and procedures.</w:t>
      </w:r>
    </w:p>
    <w:p w14:paraId="6FABC2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Follow directions and handle equipment safely.</w:t>
      </w:r>
    </w:p>
    <w:p w14:paraId="2B4EC4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how to work independently while maintaining safety in shared spaces.</w:t>
      </w:r>
    </w:p>
    <w:p w14:paraId="07DD50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an understanding of how appropriate attire, footwear, and equipment support safe participation in physical activities.</w:t>
      </w:r>
    </w:p>
    <w:p w14:paraId="5060B5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Identify how personal actions affect participation in games and activities.</w:t>
      </w:r>
    </w:p>
    <w:p w14:paraId="292E7E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cooperation and sharing in a variety of games and activities.</w:t>
      </w:r>
    </w:p>
    <w:p w14:paraId="77B73D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willingness to work with a variety of partners in games and activities.</w:t>
      </w:r>
    </w:p>
    <w:p w14:paraId="4BC50B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understanding of water safety skills.</w:t>
      </w:r>
    </w:p>
    <w:p w14:paraId="61440F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0B0F23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5ED6A91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Domain 5: Value of Physical Activity</w:t>
      </w:r>
    </w:p>
    <w:p w14:paraId="6C2183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Recognize ways that physical activity positively affects personal health and well-being.</w:t>
      </w:r>
    </w:p>
    <w:p w14:paraId="5CBB4B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Attempt new physical activities in class and/or free time.</w:t>
      </w:r>
    </w:p>
    <w:p w14:paraId="1859DC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a variety of physical activities and identify activities they enjoy.</w:t>
      </w:r>
    </w:p>
    <w:p w14:paraId="4A5A35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Recognize individual strengths and challenges related to physical activity and movement.</w:t>
      </w:r>
    </w:p>
    <w:p w14:paraId="01C579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Recognize that physical activities can meet the need for self-expression.</w:t>
      </w:r>
    </w:p>
    <w:p w14:paraId="0FE458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62A2F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5B5EC66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Grades 2 and 3</w:t>
      </w:r>
    </w:p>
    <w:p w14:paraId="5DEE26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§501.</w:t>
      </w:r>
      <w:r w:rsidRPr="006E50FF">
        <w:rPr>
          <w:b/>
          <w:kern w:val="2"/>
        </w:rPr>
        <w:tab/>
        <w:t>Domain 1: Motor Skills Development</w:t>
      </w:r>
    </w:p>
    <w:p w14:paraId="14552C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combinations of locomotor and non-locomotor skills in open and/or closed environments.</w:t>
      </w:r>
    </w:p>
    <w:p w14:paraId="22AB13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Jump and land in an open environment.</w:t>
      </w:r>
    </w:p>
    <w:p w14:paraId="181D43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Attempt skills and tricks while jumping rope in a closed environment.</w:t>
      </w:r>
    </w:p>
    <w:p w14:paraId="35B2BB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Balance on different body parts while demonstrating different levels, shapes, and/or patterns.</w:t>
      </w:r>
    </w:p>
    <w:p w14:paraId="24DA58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Transfer weight between different body parts while changing pathway, direction, levels, and/or effort in a closed environment.</w:t>
      </w:r>
    </w:p>
    <w:p w14:paraId="6785AB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Combine sequences of rolling, jumping/landing, and/or balance skills in a closed environment.</w:t>
      </w:r>
    </w:p>
    <w:p w14:paraId="0E1F25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G.</w:t>
      </w:r>
      <w:r w:rsidRPr="006E50FF">
        <w:rPr>
          <w:kern w:val="2"/>
        </w:rPr>
        <w:tab/>
        <w:t>Demonstrate rhythmic dance steps and sequences using a variety of locomotor and non-locomotor skills.</w:t>
      </w:r>
    </w:p>
    <w:p w14:paraId="5BF49F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Throw an object overhand using appropriate form and variations of force.</w:t>
      </w:r>
    </w:p>
    <w:p w14:paraId="528C93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Throw an object underhand using appropriate form and variations of force.</w:t>
      </w:r>
    </w:p>
    <w:p w14:paraId="760E76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Catch an object in closed and/or open practice activities.</w:t>
      </w:r>
    </w:p>
    <w:p w14:paraId="23E745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Strike an object with hands to control force and aim.</w:t>
      </w:r>
    </w:p>
    <w:p w14:paraId="7A5E91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Strike an object with an implement to control force and aim.</w:t>
      </w:r>
    </w:p>
    <w:p w14:paraId="1902C8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Kick a ball in closed practice activities to control force and aim.</w:t>
      </w:r>
    </w:p>
    <w:p w14:paraId="1AC768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Dribble with hands in practice activities.</w:t>
      </w:r>
    </w:p>
    <w:p w14:paraId="6EEDC4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Dribble with feet in practice activities.</w:t>
      </w:r>
    </w:p>
    <w:p w14:paraId="32996A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Roll a ball underhand to control force and aim in practice activities.</w:t>
      </w:r>
    </w:p>
    <w:p w14:paraId="42A6DD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167E4A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05FEDD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Domain 2: Movement and Fitness Application</w:t>
      </w:r>
    </w:p>
    <w:p w14:paraId="1D95FE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an understanding of critical elements of locomotor, non-locomotor, and manipulative skills.</w:t>
      </w:r>
    </w:p>
    <w:p w14:paraId="1E61E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how the features of an object or movement concept change the way a skill needs to be performed.</w:t>
      </w:r>
    </w:p>
    <w:p w14:paraId="2C9FCF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Apply movement concepts of a task in open practice activities.</w:t>
      </w:r>
    </w:p>
    <w:p w14:paraId="09E251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Modify movement to meet the demands of a task.</w:t>
      </w:r>
    </w:p>
    <w:p w14:paraId="4A517F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Recognize offensive and defensive situations.</w:t>
      </w:r>
    </w:p>
    <w:p w14:paraId="339CA0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Identify the actions needed to score in a game.</w:t>
      </w:r>
    </w:p>
    <w:p w14:paraId="1ACC5A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an understanding of how appropriate practice improves performance.</w:t>
      </w:r>
    </w:p>
    <w:p w14:paraId="2CC411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8CF5B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5EA527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§505.</w:t>
      </w:r>
      <w:r w:rsidRPr="006E50FF">
        <w:rPr>
          <w:b/>
          <w:kern w:val="2"/>
        </w:rPr>
        <w:tab/>
        <w:t>Domain 3: Health-Enhancing Physical Activity and Fitness</w:t>
      </w:r>
    </w:p>
    <w:p w14:paraId="496AC6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Track daily physical activity and measure progress toward current guidelines.</w:t>
      </w:r>
    </w:p>
    <w:p w14:paraId="204FB3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physical activity guidelines and identify opportunities to meet those guidelines.</w:t>
      </w:r>
    </w:p>
    <w:p w14:paraId="2CA598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Identify foods that nourish the body and provide energy for physical activity.</w:t>
      </w:r>
    </w:p>
    <w:p w14:paraId="67E99A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methods for measuring and assessing heart rate during physical activity.</w:t>
      </w:r>
    </w:p>
    <w:p w14:paraId="07DD47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an understanding of activities that can improve the health-related fitness components.</w:t>
      </w:r>
    </w:p>
    <w:p w14:paraId="4F1D7F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activities that increase heart rate to build cardiovascular endurance.</w:t>
      </w:r>
    </w:p>
    <w:p w14:paraId="39C19A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activities to improve muscular strength and endurance.</w:t>
      </w:r>
    </w:p>
    <w:p w14:paraId="53591C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basic form while performing fitness exercises, including squats, lunges, push-ups, planks, and jumping jacks.</w:t>
      </w:r>
    </w:p>
    <w:p w14:paraId="1CA243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Demonstrate stretching muscles to improve flexibility.</w:t>
      </w:r>
    </w:p>
    <w:p w14:paraId="180C06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Recognize the importance of appropriate warm-up and cool-down activities.</w:t>
      </w:r>
    </w:p>
    <w:p w14:paraId="205089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 xml:space="preserve">Participate in fitness assessments that include measures of at least core strength, cardiovascular endurance, </w:t>
      </w:r>
      <w:r w:rsidRPr="006E50FF">
        <w:rPr>
          <w:kern w:val="2"/>
        </w:rPr>
        <w:t>and upper-body strength, and use the results to track progress toward personal fitness goals.</w:t>
      </w:r>
    </w:p>
    <w:p w14:paraId="4CBA7B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Demonstrate an understanding of the FITT principle (Frequency, Intensity, Time, Type).</w:t>
      </w:r>
    </w:p>
    <w:p w14:paraId="290DD4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12AA2E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5CC25D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§507.</w:t>
      </w:r>
      <w:r w:rsidRPr="006E50FF">
        <w:rPr>
          <w:b/>
          <w:kern w:val="2"/>
        </w:rPr>
        <w:tab/>
        <w:t>Domain 4: Personal and Social Responsibility</w:t>
      </w:r>
    </w:p>
    <w:p w14:paraId="23D38D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personal responsibility during teacher-directed activities.</w:t>
      </w:r>
    </w:p>
    <w:p w14:paraId="05E497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Identify and follow equipment-specific safety rules.</w:t>
      </w:r>
    </w:p>
    <w:p w14:paraId="2D908B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how appropriate attire, footwear, and equipment support safe participation in physical activities.</w:t>
      </w:r>
    </w:p>
    <w:p w14:paraId="1D3831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Participate and make appropriate decisions during games and activities.</w:t>
      </w:r>
    </w:p>
    <w:p w14:paraId="0FDDB0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Utilize cooperative skills to solve problems during a variety of games and activities.</w:t>
      </w:r>
    </w:p>
    <w:p w14:paraId="46B872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positive cooperation and respect for peers, regardless of differences, during a variety of games and activities.</w:t>
      </w:r>
    </w:p>
    <w:p w14:paraId="2D12B7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cooperation with others to resolve conflicts during games and activities.</w:t>
      </w:r>
    </w:p>
    <w:p w14:paraId="421F0C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understanding of water safety skills.</w:t>
      </w:r>
    </w:p>
    <w:p w14:paraId="3C25B7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0DEF82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87E5CF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Domain 5: Value of Physical Activity</w:t>
      </w:r>
    </w:p>
    <w:p w14:paraId="62C169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Identify and discuss how physical activity positively affects personal health and well-being.</w:t>
      </w:r>
    </w:p>
    <w:p w14:paraId="30FE80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Participate in physical activities during class and/or free time based on personal interests.</w:t>
      </w:r>
    </w:p>
    <w:p w14:paraId="2E8F23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a variety of physical activities and describe why certain activities are enjoyable or meaningful.</w:t>
      </w:r>
    </w:p>
    <w:p w14:paraId="4459D2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Identify the benefits and ways to overcome the challenges related to physical activity. </w:t>
      </w:r>
    </w:p>
    <w:p w14:paraId="44E32E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Select and/or participate in preferred physical activities that meet the need for self-expression.</w:t>
      </w:r>
    </w:p>
    <w:p w14:paraId="5A882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Describe how participation in physical activities can support positive social interactions.</w:t>
      </w:r>
    </w:p>
    <w:p w14:paraId="340519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2B45F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1CBF6AB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Grades 4 and 5</w:t>
      </w:r>
    </w:p>
    <w:p w14:paraId="766DCC7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§701.</w:t>
      </w:r>
      <w:r w:rsidRPr="006E50FF">
        <w:rPr>
          <w:b/>
          <w:kern w:val="2"/>
        </w:rPr>
        <w:tab/>
        <w:t>Domain 1: Motor Skills Development</w:t>
      </w:r>
    </w:p>
    <w:p w14:paraId="6D48DC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combinations of locomotor and non-locomotor skills in an open environment.</w:t>
      </w:r>
    </w:p>
    <w:p w14:paraId="1F3A1F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 variety of skills and tricks while jumping rope.</w:t>
      </w:r>
    </w:p>
    <w:p w14:paraId="13D050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balance during dynamic practice tasks.</w:t>
      </w:r>
    </w:p>
    <w:p w14:paraId="39A566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Transfer weight between different body parts while changing pathway, direction, levels, and/or effort in an open environment.</w:t>
      </w:r>
    </w:p>
    <w:p w14:paraId="1961BA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Combine sequences of rolling, jumping/landing, and/or balancing in an open environment.</w:t>
      </w:r>
    </w:p>
    <w:p w14:paraId="554AA8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rhythmic dance steps and sequences using a variety of locomotor, non-locomotor, and manipulative skills.</w:t>
      </w:r>
    </w:p>
    <w:p w14:paraId="2C282B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Throw an object overhand using appropriate form to control force and aim in open practice activities.</w:t>
      </w:r>
    </w:p>
    <w:p w14:paraId="1C0D51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H.</w:t>
      </w:r>
      <w:r w:rsidRPr="006E50FF">
        <w:rPr>
          <w:kern w:val="2"/>
        </w:rPr>
        <w:tab/>
        <w:t>Catch with hand(s) and/or an implement in open practice activities.</w:t>
      </w:r>
    </w:p>
    <w:p w14:paraId="460D2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Strike an object with hand(s) above waist in practice activities.</w:t>
      </w:r>
    </w:p>
    <w:p w14:paraId="02F4FC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Strike an object with hand(s) below waist in practice activities.</w:t>
      </w:r>
    </w:p>
    <w:p w14:paraId="0B88A7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Strike an object with a long-handled implement using appropriate form and aiming toward a target.</w:t>
      </w:r>
    </w:p>
    <w:p w14:paraId="149F03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Strike an object with a short-handled implement using appropriate form and aiming toward a target.</w:t>
      </w:r>
    </w:p>
    <w:p w14:paraId="335AB1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Kick a ball with appropriate form in closed and/or open practice activities.</w:t>
      </w:r>
    </w:p>
    <w:p w14:paraId="39467F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Dribble with hands using appropriate form in closed and/or open practice activities.</w:t>
      </w:r>
    </w:p>
    <w:p w14:paraId="609235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Dribble with feet using appropriate form in closed and/or open practice activities.</w:t>
      </w:r>
    </w:p>
    <w:p w14:paraId="640AE0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Roll a ball underhand using appropriate form and to control force and aim in open practice activities.</w:t>
      </w:r>
    </w:p>
    <w:p w14:paraId="106412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Send and receive an object with appropriate form in closed and/or open practice activities.</w:t>
      </w:r>
    </w:p>
    <w:p w14:paraId="6A1960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Demonstrate the ability to travel while controlling an object to reach or strike a target.</w:t>
      </w:r>
    </w:p>
    <w:p w14:paraId="6A97CB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5C6395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35F8A6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§703.</w:t>
      </w:r>
      <w:r w:rsidRPr="006E50FF">
        <w:rPr>
          <w:b/>
          <w:kern w:val="2"/>
        </w:rPr>
        <w:tab/>
        <w:t>Domain 2: Movement and Fitness Application</w:t>
      </w:r>
    </w:p>
    <w:p w14:paraId="334CCF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Identify similar skills and/or concepts across related activities.</w:t>
      </w:r>
    </w:p>
    <w:p w14:paraId="24AF42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the importance of weight transfer when propelling an object.</w:t>
      </w:r>
    </w:p>
    <w:p w14:paraId="7294CF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Modify movement based on the task and/or environment in open practice activities.</w:t>
      </w:r>
    </w:p>
    <w:p w14:paraId="51E580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offensive and defensive positioning in simple game settings.</w:t>
      </w:r>
    </w:p>
    <w:p w14:paraId="6C8EF9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problem-solving strategies in simple game settings.</w:t>
      </w:r>
    </w:p>
    <w:p w14:paraId="440E5B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Use critical elements to analyze activity performance and provide feedback to self and others.</w:t>
      </w:r>
    </w:p>
    <w:p w14:paraId="75E40F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Identify methods to improve skills using the principles of practice.</w:t>
      </w:r>
    </w:p>
    <w:p w14:paraId="492DC7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C5181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5DEE56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63" w:name="_GoBack_Copy_1"/>
      <w:bookmarkEnd w:id="263"/>
      <w:r w:rsidRPr="006E50FF">
        <w:rPr>
          <w:b/>
          <w:kern w:val="2"/>
        </w:rPr>
        <w:t>§705.</w:t>
      </w:r>
      <w:r w:rsidRPr="006E50FF">
        <w:rPr>
          <w:b/>
          <w:kern w:val="2"/>
        </w:rPr>
        <w:tab/>
        <w:t>Domain 3: Health-Enhancing Physical Activity and Fitness</w:t>
      </w:r>
    </w:p>
    <w:p w14:paraId="1B8932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Analyze daily physical activity and measure progress toward current guidelines.</w:t>
      </w:r>
    </w:p>
    <w:p w14:paraId="79554E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Analyze current physical activity levels in relation to physical activity guidelines and identify opportunities to meet those guidelines.</w:t>
      </w:r>
    </w:p>
    <w:p w14:paraId="58B01E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how food and beverage choices impact physical activity performance and personal health.</w:t>
      </w:r>
    </w:p>
    <w:p w14:paraId="779669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Assess heart rate during physical activity to determine and achieve the appropriate level of intensity.</w:t>
      </w:r>
    </w:p>
    <w:p w14:paraId="604928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an understanding of how specific activities improve each health-related fitness component.</w:t>
      </w:r>
    </w:p>
    <w:p w14:paraId="71A2F4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activities to improve each health-related component.</w:t>
      </w:r>
    </w:p>
    <w:p w14:paraId="137EB8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Perform fitness exercises, including squats, lunges, push-ups, planks, and jumping jacks, with increasing proficiency.</w:t>
      </w:r>
    </w:p>
    <w:p w14:paraId="7F8418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 xml:space="preserve">Recognize each component of skill-related fitness. </w:t>
      </w:r>
    </w:p>
    <w:p w14:paraId="09A0DE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Demonstrate appropriate warm-up and cool-down for a variety of activities.</w:t>
      </w:r>
    </w:p>
    <w:p w14:paraId="7B83BD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Participate in fitness assessments that include measures of at least core strength, cardiovascular endurance, and upper-body strength, and use the results to track progress toward personal fitness goals.</w:t>
      </w:r>
    </w:p>
    <w:p w14:paraId="081030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Use the FITT principle (Frequency, Intensity, Time, Type) to create a fitness plan.</w:t>
      </w:r>
    </w:p>
    <w:p w14:paraId="702811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C350F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AAA437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§707.</w:t>
      </w:r>
      <w:r w:rsidRPr="006E50FF">
        <w:rPr>
          <w:b/>
          <w:kern w:val="2"/>
        </w:rPr>
        <w:tab/>
        <w:t>Domain 4: Personal and Social Responsibility</w:t>
      </w:r>
    </w:p>
    <w:p w14:paraId="60EA28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an understanding of rules, etiquette, and fair play in different games and activities.</w:t>
      </w:r>
    </w:p>
    <w:p w14:paraId="121551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good sportsmanship to ensure safety in team activities.</w:t>
      </w:r>
    </w:p>
    <w:p w14:paraId="56D6D4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how appropriate attire, footwear, and equipment support safe participation in physical activities.</w:t>
      </w:r>
    </w:p>
    <w:p w14:paraId="0AACC1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Utilize self-reflection of physical activity levels and fitness for individual improvement.</w:t>
      </w:r>
    </w:p>
    <w:p w14:paraId="208A75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Utilize self-reflection during games and activities to improve performance, support others, and strengthen team unity.</w:t>
      </w:r>
    </w:p>
    <w:p w14:paraId="7AD5ED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Work with others to plan and support teamwork in different roles to improve play in a variety of games and activities.</w:t>
      </w:r>
    </w:p>
    <w:p w14:paraId="7C0CB6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Independently apply conflict-resolution strategies to support positive interactions during games and activities.</w:t>
      </w:r>
    </w:p>
    <w:p w14:paraId="0EC821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understanding of water safety skills.</w:t>
      </w:r>
    </w:p>
    <w:p w14:paraId="2EBCD6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1D7BCF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1D9CCE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§709.</w:t>
      </w:r>
      <w:r w:rsidRPr="006E50FF">
        <w:rPr>
          <w:b/>
          <w:kern w:val="2"/>
        </w:rPr>
        <w:tab/>
        <w:t>Domain 5: Value of Physical Activity</w:t>
      </w:r>
    </w:p>
    <w:p w14:paraId="0B976D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Examine the health benefits of participating in various physical activities.</w:t>
      </w:r>
    </w:p>
    <w:p w14:paraId="4B5932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Explain the reasons for selecting physical activities during class and/or free time based on personal interests.</w:t>
      </w:r>
    </w:p>
    <w:p w14:paraId="38040E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a variety of physical activities and identify activities that can support health and enjoyment throughout life.</w:t>
      </w:r>
    </w:p>
    <w:p w14:paraId="0E9F0C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Analyze the benefits and ways to overcome the challenges related to physical activity.</w:t>
      </w:r>
    </w:p>
    <w:p w14:paraId="06A54A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Analyze how selection and participation in preferred physical activities meet the need for self-expression.</w:t>
      </w:r>
    </w:p>
    <w:p w14:paraId="0E277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Analyze how participation in physical activities can support positive social interactions.</w:t>
      </w:r>
    </w:p>
    <w:p w14:paraId="1C2A978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290323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87AA35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w:t>
      </w:r>
      <w:r w:rsidRPr="006E50FF">
        <w:rPr>
          <w:b/>
          <w:kern w:val="2"/>
        </w:rPr>
        <w:tab/>
        <w:t>Grades 6 through 8</w:t>
      </w:r>
    </w:p>
    <w:p w14:paraId="13D82D6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§901.</w:t>
      </w:r>
      <w:r w:rsidRPr="006E50FF">
        <w:rPr>
          <w:b/>
          <w:kern w:val="2"/>
        </w:rPr>
        <w:tab/>
        <w:t>Domain 1: Motor Skills Development</w:t>
      </w:r>
    </w:p>
    <w:p w14:paraId="675172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Create and perform movement sequences in dance, gymnastics, or fitness that show control, coordination, and rhythm.</w:t>
      </w:r>
    </w:p>
    <w:p w14:paraId="3A9C9C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Throw with appropriate form for distance and/or accuracy in practice activities and small-sided games.</w:t>
      </w:r>
    </w:p>
    <w:p w14:paraId="2520F8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Catch with appropriate form with or without an implement in practice activities and small-sided games.</w:t>
      </w:r>
    </w:p>
    <w:p w14:paraId="7CDD40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Send and receive with appropriate form and in combination with locomotor skills in small-sided games.</w:t>
      </w:r>
    </w:p>
    <w:p w14:paraId="4EFF13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Dribble with appropriate form while changing speed and/or direction in practice activities and small-sided games.</w:t>
      </w:r>
    </w:p>
    <w:p w14:paraId="2AAC97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Strike with appropriate form in practice activities and small-sided games.</w:t>
      </w:r>
    </w:p>
    <w:p w14:paraId="3A42EE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Strike with appropriate form using a long-handled implement in practice activities and small-sided games.</w:t>
      </w:r>
    </w:p>
    <w:p w14:paraId="34B484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appropriate form of forehand and backhand strokes with an implement in practice activities and modified small-sided games.</w:t>
      </w:r>
    </w:p>
    <w:p w14:paraId="0C4FF4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Volley with appropriate form using a body part or a short-handled implement during practice activities and modified net/wall games.</w:t>
      </w:r>
    </w:p>
    <w:p w14:paraId="7255EE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Serve underhand and/or overhand with the hand using appropriate form in practice activities and small-sided games.</w:t>
      </w:r>
    </w:p>
    <w:p w14:paraId="65988F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Serve underhand and/or overhand with an implement using appropriate form in practice activities and small-sided games.</w:t>
      </w:r>
    </w:p>
    <w:p w14:paraId="28D56E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Demonstrate defensive ready position in practice activities and small-sided games.</w:t>
      </w:r>
    </w:p>
    <w:p w14:paraId="1EF75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Model basic offensive strategies in practice activities and small-sided games.</w:t>
      </w:r>
    </w:p>
    <w:p w14:paraId="132873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Use multiple tactics and skills to create open space in practice activities and small-sided games.</w:t>
      </w:r>
    </w:p>
    <w:p w14:paraId="11F4EB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Shoot on goal with appropriate form in practice activities and small-sided games.</w:t>
      </w:r>
    </w:p>
    <w:p w14:paraId="7BECE6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Demonstrate appropriate technique in self-selected individual or group lifetime activities.</w:t>
      </w:r>
    </w:p>
    <w:p w14:paraId="4A5ECE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Demonstrate appropriate form when participating in health-related fitness activities.</w:t>
      </w:r>
    </w:p>
    <w:p w14:paraId="32161C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Demonstrate appropriate form when participating in skill-related fitness activities.</w:t>
      </w:r>
    </w:p>
    <w:p w14:paraId="1559F9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37C082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6F5B9C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§903.</w:t>
      </w:r>
      <w:r w:rsidRPr="006E50FF">
        <w:rPr>
          <w:b/>
          <w:kern w:val="2"/>
        </w:rPr>
        <w:tab/>
        <w:t>Domain 2: Movement and Fitness Application</w:t>
      </w:r>
    </w:p>
    <w:p w14:paraId="289499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creating open space by using a variety of offensive strategies.</w:t>
      </w:r>
    </w:p>
    <w:p w14:paraId="67CF4C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reducing open space by using a variety of defensive strategies.</w:t>
      </w:r>
    </w:p>
    <w:p w14:paraId="16B6E3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creating open space by manipulating an opponent’s position through movement and by adjusting force.</w:t>
      </w:r>
    </w:p>
    <w:p w14:paraId="0142A2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defensive tactics and plays in practice activities and/or small-sided game play.</w:t>
      </w:r>
    </w:p>
    <w:p w14:paraId="745782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the ability to return to a ready position to reduce offensive options for opponents.</w:t>
      </w:r>
    </w:p>
    <w:p w14:paraId="5C2384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one or more offensive shots using appropriate placement, force, or timing.</w:t>
      </w:r>
    </w:p>
    <w:p w14:paraId="5994BA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 variety of shots to open space during practice activities.</w:t>
      </w:r>
    </w:p>
    <w:p w14:paraId="39BFDB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appropriate shot for the situation by varying the speed, force, or trajectory of the object.</w:t>
      </w:r>
    </w:p>
    <w:p w14:paraId="1059A4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Evaluate how movement principles affect different skills to help improve performance for self or others.</w:t>
      </w:r>
    </w:p>
    <w:p w14:paraId="59F57F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Analyze the situation and make adjustments to ensure the safety of self and others.</w:t>
      </w:r>
    </w:p>
    <w:p w14:paraId="3A1BA4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Follow appropriate safety procedures in self-selected activities.</w:t>
      </w:r>
    </w:p>
    <w:p w14:paraId="519212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BD9B7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1A66D27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§905.</w:t>
      </w:r>
      <w:r w:rsidRPr="006E50FF">
        <w:rPr>
          <w:b/>
          <w:kern w:val="2"/>
        </w:rPr>
        <w:tab/>
        <w:t>Domain 3: Health-Enhancing Physical Activity and Fitness</w:t>
      </w:r>
    </w:p>
    <w:p w14:paraId="75A4E8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activities that promote physical health and explain the benefits of being active.</w:t>
      </w:r>
    </w:p>
    <w:p w14:paraId="527B95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major muscle groups and body systems and their interactions during physical activity.</w:t>
      </w:r>
    </w:p>
    <w:p w14:paraId="6A2966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health-related and skill-related fitness components.</w:t>
      </w:r>
    </w:p>
    <w:p w14:paraId="5142FC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an understanding of how the five health-related fitness components impact overall physical health.</w:t>
      </w:r>
    </w:p>
    <w:p w14:paraId="11CDA3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Perform fitness exercises, including squats, lunges, push-ups, planks, and jumping jacks, with proper technique to improve muscular strength and endurance.</w:t>
      </w:r>
    </w:p>
    <w:p w14:paraId="18F2E3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the FITT principle (Frequency, Intensity, Time, Type) and how it corresponds to health-related fitness components.</w:t>
      </w:r>
    </w:p>
    <w:p w14:paraId="391487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an understanding of the principles of training (specificity, overload, and progression) and apply the principles to a fitness plan.</w:t>
      </w:r>
    </w:p>
    <w:p w14:paraId="63A914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Design and implement a personal or group warm-up and/or cool-down routine for a class or chosen physical activity.</w:t>
      </w:r>
    </w:p>
    <w:p w14:paraId="68889D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Participate in fitness assessments that measure at least core strength, cardiovascular endurance, and upper-body strength, and use the results to create and implement a personal fitness plan.</w:t>
      </w:r>
    </w:p>
    <w:p w14:paraId="5C1043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Create a personal exercise plan applying the FITT principle to a selected health-related fitness component.</w:t>
      </w:r>
    </w:p>
    <w:p w14:paraId="7702D7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Monitor and compare heart rate and perceived exertion to understand the intensity of various physical activities.</w:t>
      </w:r>
    </w:p>
    <w:p w14:paraId="4310C0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Demonstrate an understanding of how tracking fitness, with and/or without technology, can support health and activity goals.</w:t>
      </w:r>
    </w:p>
    <w:p w14:paraId="74A697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36113B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E1C66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§907.</w:t>
      </w:r>
      <w:r w:rsidRPr="006E50FF">
        <w:rPr>
          <w:b/>
          <w:kern w:val="2"/>
        </w:rPr>
        <w:tab/>
        <w:t>Domain 4: Personal and Social Responsibility</w:t>
      </w:r>
    </w:p>
    <w:p w14:paraId="32A501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personal and social responsibility by being safe, respectful, cooperative, and supportive.</w:t>
      </w:r>
    </w:p>
    <w:p w14:paraId="7F35FF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responsibility for individual improvement of levels of physical activity and fitness.</w:t>
      </w:r>
    </w:p>
    <w:p w14:paraId="559CB5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motivation and self-management by using positive strategies and self-monitoring to participate in physical activity both in and outside of school.</w:t>
      </w:r>
    </w:p>
    <w:p w14:paraId="77F2A7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self-responsibility and collaboration by using positive and corrective feedback to self and peers to improve performance.</w:t>
      </w:r>
    </w:p>
    <w:p w14:paraId="330386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respect and cooperation by encouraging others and following rules/guidelines to resolve conflicts during physical activity.</w:t>
      </w:r>
    </w:p>
    <w:p w14:paraId="2943C0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cooperation by participating positively, respecting differences, and working with others to support teamwork and problem-solving during physical activity.</w:t>
      </w:r>
    </w:p>
    <w:p w14:paraId="2734B6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G.</w:t>
      </w:r>
      <w:r w:rsidRPr="006E50FF">
        <w:rPr>
          <w:kern w:val="2"/>
        </w:rPr>
        <w:tab/>
        <w:t>Demonstrate understanding and application of rules and etiquette by appropriately participating in, self-directing, and/or officiating individual and group physical activities.</w:t>
      </w:r>
    </w:p>
    <w:p w14:paraId="2C5B10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safe and appropriate use of physical activity and fitness equipment by following safety protocols independently and identifying potential safety concerns.</w:t>
      </w:r>
    </w:p>
    <w:p w14:paraId="3C8738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Identify signs and symptoms of concussions and other common injuries and explain the importance of reporting them to a responsible adult.</w:t>
      </w:r>
    </w:p>
    <w:p w14:paraId="2A7E380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738D8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6AD11D8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§909.</w:t>
      </w:r>
      <w:r w:rsidRPr="006E50FF">
        <w:rPr>
          <w:b/>
          <w:kern w:val="2"/>
        </w:rPr>
        <w:tab/>
        <w:t>Domain 5: Value of Physical Activity</w:t>
      </w:r>
    </w:p>
    <w:p w14:paraId="7365E7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Analyze the relationship between physical activity levels and personal health and well-being.</w:t>
      </w:r>
    </w:p>
    <w:p w14:paraId="2760D4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Participate in a variety of lifetime physical activities and evaluate participation based on personal interests and opportunities.</w:t>
      </w:r>
    </w:p>
    <w:p w14:paraId="48B982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Identify challenging physical activities and apply strategies to overcome individual and group challenges.</w:t>
      </w:r>
    </w:p>
    <w:p w14:paraId="0FBFA2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Participate in physical activities that allow for enjoyment and self-expression and identify ways to enhance both.</w:t>
      </w:r>
    </w:p>
    <w:p w14:paraId="45C3A7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Identify and participate in physical activities for social interaction and explain the social benefits of participation.</w:t>
      </w:r>
    </w:p>
    <w:p w14:paraId="7DEEF69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537831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521A27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Grades 9 through 12</w:t>
      </w:r>
    </w:p>
    <w:p w14:paraId="366302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§1101.</w:t>
      </w:r>
      <w:r w:rsidRPr="006E50FF">
        <w:rPr>
          <w:b/>
          <w:kern w:val="2"/>
        </w:rPr>
        <w:tab/>
        <w:t>Domain 1: Motor Skills Development</w:t>
      </w:r>
    </w:p>
    <w:p w14:paraId="0F6A97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competency in a variety of movement forms and manipulative skills in team and individual sports.</w:t>
      </w:r>
    </w:p>
    <w:p w14:paraId="073BCA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competency in a variety of activity-specific skills in lifetime sports and activities.</w:t>
      </w:r>
    </w:p>
    <w:p w14:paraId="1BD672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growth in movement skills in a variety of physical activities that help improve health-related fitness.</w:t>
      </w:r>
    </w:p>
    <w:p w14:paraId="0CE1DC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appropriate form and technique during cardiovascular fitness activities, including jumping jacks.</w:t>
      </w:r>
    </w:p>
    <w:p w14:paraId="4FCC3F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appropriate form and technique in muscular strength and endurance activities, including squats, lunges, push-ups, and planks.</w:t>
      </w:r>
    </w:p>
    <w:p w14:paraId="69B945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appropriate form and technique in flexibility and mobility exercises.</w:t>
      </w:r>
    </w:p>
    <w:p w14:paraId="03B348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appropriate form and technique in skill-related fitness activities.</w:t>
      </w:r>
    </w:p>
    <w:p w14:paraId="0FE10A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7614A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A62E2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§1103.</w:t>
      </w:r>
      <w:r w:rsidRPr="006E50FF">
        <w:rPr>
          <w:b/>
          <w:kern w:val="2"/>
        </w:rPr>
        <w:tab/>
        <w:t>Domain 2: Movement and Fitness Application</w:t>
      </w:r>
    </w:p>
    <w:p w14:paraId="3E8C22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knowledge of principles and tactics while participating in at least one team and one individual sport.</w:t>
      </w:r>
    </w:p>
    <w:p w14:paraId="2122EA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knowledge of movement concepts and principles while participating in lifetime activities.</w:t>
      </w:r>
    </w:p>
    <w:p w14:paraId="5391DF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knowledge of movement concepts and principles while participating in at least one specialized activity.</w:t>
      </w:r>
    </w:p>
    <w:p w14:paraId="1E4AD1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Analyze and evaluate movement concepts and principles to improve performance of self and others in skills and/or specialized activities.</w:t>
      </w:r>
    </w:p>
    <w:p w14:paraId="374FB3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column"/>
      </w:r>
      <w:r w:rsidRPr="006E50FF">
        <w:rPr>
          <w:kern w:val="2"/>
          <w:sz w:val="18"/>
        </w:rPr>
        <w:t>AUTHORITY NOTE:</w:t>
      </w:r>
      <w:r w:rsidRPr="006E50FF">
        <w:rPr>
          <w:kern w:val="2"/>
          <w:sz w:val="18"/>
        </w:rPr>
        <w:tab/>
        <w:t>Promulgated in accordance with R.S. 17:17.4, R.S. 17:6, R.S. 17:17, R.S. 17:17.1, and R.S. 17:24.4.</w:t>
      </w:r>
    </w:p>
    <w:p w14:paraId="079516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D7D9A2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§1105.</w:t>
      </w:r>
      <w:r w:rsidRPr="006E50FF">
        <w:rPr>
          <w:b/>
          <w:kern w:val="2"/>
        </w:rPr>
        <w:tab/>
        <w:t>Domain 3: Health-Enhancing Physical Activity and Fitness</w:t>
      </w:r>
    </w:p>
    <w:p w14:paraId="568F47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Identify and apply health-related fitness principles (cardiovascular endurance, muscular endurance, muscular strength, flexibility, body composition) when participating in at least one team sport and one individual sport.</w:t>
      </w:r>
    </w:p>
    <w:p w14:paraId="51C411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Evaluate the safety, risks, and barriers of lifetime fitness activities and identify strategies to overcome them.</w:t>
      </w:r>
    </w:p>
    <w:p w14:paraId="69E1E6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fitness assessments that measure at least core strength, cardiovascular endurance, and upper-body strength, and use the results and basic fitness principles to develop and follow a personal fitness plan.</w:t>
      </w:r>
    </w:p>
    <w:p w14:paraId="1A6010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Assess personal fitness and set goals to improve physical health and support lifelong fitness.</w:t>
      </w:r>
    </w:p>
    <w:p w14:paraId="72578A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Create a fitness and/or health plan that uses community resources to maintain or improve lifelong fitness goals.</w:t>
      </w:r>
    </w:p>
    <w:p w14:paraId="236FA34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how to continue or adjust a personal fitness plan after graduation to stay healthy and active.</w:t>
      </w:r>
    </w:p>
    <w:p w14:paraId="0CD8B1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01C082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E72952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§1107.</w:t>
      </w:r>
      <w:r w:rsidRPr="006E50FF">
        <w:rPr>
          <w:b/>
          <w:kern w:val="2"/>
        </w:rPr>
        <w:tab/>
        <w:t>Domain 4: Personal and Social Responsibility</w:t>
      </w:r>
    </w:p>
    <w:p w14:paraId="0CD15E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Recognize benefits and challenges of physical activities and modify activity patterns as needed.</w:t>
      </w:r>
    </w:p>
    <w:p w14:paraId="573553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effective collaboration and respect for others during games and activities by using communication, problem-solving, and critical thinking.</w:t>
      </w:r>
    </w:p>
    <w:p w14:paraId="33E03F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Apply safe practices and proper etiquette appropriate to the physical activity or exercise setting.</w:t>
      </w:r>
    </w:p>
    <w:p w14:paraId="3CE08F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Analyze risks for concussions and other common injuries, describe proper response and recovery protocols, and demonstrate strategies to prevent injuries during physical activity.</w:t>
      </w:r>
    </w:p>
    <w:p w14:paraId="0DE636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53D1D2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383A6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§1109.</w:t>
      </w:r>
      <w:r w:rsidRPr="006E50FF">
        <w:rPr>
          <w:b/>
          <w:kern w:val="2"/>
        </w:rPr>
        <w:tab/>
        <w:t>Domain 5: Value of Physical Activity</w:t>
      </w:r>
    </w:p>
    <w:p w14:paraId="5CA5A7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Self-select a physical activity and analyze the value and positive benefits for one’s personal health.</w:t>
      </w:r>
    </w:p>
    <w:p w14:paraId="5A07A3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Evaluate and select lifetime physical activities based on personal interests, goals, and opportunities for participation throughout life.</w:t>
      </w:r>
    </w:p>
    <w:p w14:paraId="72297A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Select and participate in learning a new physical activity that is appropriately challenging.</w:t>
      </w:r>
    </w:p>
    <w:p w14:paraId="3C4E00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Select and participate in physical activities that allow for self-expression.</w:t>
      </w:r>
    </w:p>
    <w:p w14:paraId="177A0E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Select and participate in physical activities that support social interaction and demonstrate an understanding of their benefits, supporting lifetime physical fitness.</w:t>
      </w:r>
    </w:p>
    <w:p w14:paraId="408951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F00FD0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13F780EF" w14:textId="77777777" w:rsidR="006E50FF" w:rsidRPr="006E50FF" w:rsidRDefault="006E50FF" w:rsidP="006E50FF">
      <w:pPr>
        <w:keepNext/>
        <w:jc w:val="center"/>
        <w:rPr>
          <w:b/>
          <w:kern w:val="28"/>
        </w:rPr>
      </w:pPr>
      <w:r w:rsidRPr="006E50FF">
        <w:rPr>
          <w:b/>
          <w:kern w:val="28"/>
        </w:rPr>
        <w:t>Family Impact Statement</w:t>
      </w:r>
    </w:p>
    <w:p w14:paraId="191A1B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972 of Title 49 of the Louisiana Revised Statutes, there is hereby submitted a Family Impact Statement on the rule proposed for adoption, repeal or </w:t>
      </w:r>
      <w:r w:rsidRPr="006E50FF">
        <w:rPr>
          <w:kern w:val="2"/>
        </w:rPr>
        <w:lastRenderedPageBreak/>
        <w:t>amendment. All Family Impact Statements shall be kept on file in the State Board Office which has adopted, amended, or repealed a rule in accordance with the applicable provisions of the law relating to public records.</w:t>
      </w:r>
    </w:p>
    <w:p w14:paraId="19A4A7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5CB2D4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538438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127347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6B9207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5C2733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67010ACE" w14:textId="77777777" w:rsidR="006E50FF" w:rsidRPr="006E50FF" w:rsidRDefault="006E50FF" w:rsidP="006E50FF">
      <w:pPr>
        <w:keepNext/>
        <w:jc w:val="center"/>
        <w:rPr>
          <w:b/>
          <w:kern w:val="28"/>
        </w:rPr>
      </w:pPr>
      <w:r w:rsidRPr="006E50FF">
        <w:rPr>
          <w:b/>
          <w:kern w:val="28"/>
        </w:rPr>
        <w:t>Poverty Impact Statement</w:t>
      </w:r>
    </w:p>
    <w:p w14:paraId="2E0861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1296C4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3CFCEF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4E7E4B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5E302E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796B41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22BB4182" w14:textId="77777777" w:rsidR="006E50FF" w:rsidRPr="006E50FF" w:rsidRDefault="006E50FF" w:rsidP="006E50FF">
      <w:pPr>
        <w:keepNext/>
        <w:jc w:val="center"/>
        <w:rPr>
          <w:b/>
          <w:kern w:val="28"/>
        </w:rPr>
      </w:pPr>
      <w:r w:rsidRPr="006E50FF">
        <w:rPr>
          <w:b/>
          <w:kern w:val="28"/>
        </w:rPr>
        <w:t>Small Business Analysis</w:t>
      </w:r>
    </w:p>
    <w:p w14:paraId="04CCD2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40B7FE2A" w14:textId="77777777" w:rsidR="006E50FF" w:rsidRPr="006E50FF" w:rsidRDefault="006E50FF" w:rsidP="006E50FF">
      <w:pPr>
        <w:keepNext/>
        <w:jc w:val="center"/>
        <w:rPr>
          <w:b/>
          <w:kern w:val="28"/>
        </w:rPr>
      </w:pPr>
      <w:r w:rsidRPr="006E50FF">
        <w:rPr>
          <w:b/>
          <w:kern w:val="28"/>
        </w:rPr>
        <w:t>Provider Impact Statement</w:t>
      </w:r>
    </w:p>
    <w:p w14:paraId="6D9E6F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721AA8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03C96E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2.</w:t>
      </w:r>
      <w:r w:rsidRPr="006E50FF">
        <w:rPr>
          <w:kern w:val="2"/>
        </w:rPr>
        <w:tab/>
        <w:t>the total direct and indirect effect on the cost to the providers to provide the same level of service; or</w:t>
      </w:r>
    </w:p>
    <w:p w14:paraId="61A4C6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09511AE8" w14:textId="77777777" w:rsidR="006E50FF" w:rsidRPr="006E50FF" w:rsidRDefault="006E50FF" w:rsidP="006E50FF">
      <w:pPr>
        <w:keepNext/>
        <w:jc w:val="center"/>
        <w:rPr>
          <w:b/>
          <w:kern w:val="28"/>
        </w:rPr>
      </w:pPr>
      <w:r w:rsidRPr="006E50FF">
        <w:rPr>
          <w:b/>
          <w:kern w:val="28"/>
        </w:rPr>
        <w:t>Public Comments</w:t>
      </w:r>
    </w:p>
    <w:p w14:paraId="0781FD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20F9A6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46AFEAD" w14:textId="77777777" w:rsidR="006E50FF" w:rsidRPr="006E50FF" w:rsidRDefault="006E50FF" w:rsidP="006E50FF">
      <w:pPr>
        <w:keepNext/>
        <w:ind w:left="2160"/>
        <w:jc w:val="both"/>
      </w:pPr>
      <w:r w:rsidRPr="006E50FF">
        <w:t>Tavares A. Walker</w:t>
      </w:r>
    </w:p>
    <w:p w14:paraId="37B8F323" w14:textId="77777777" w:rsidR="006E50FF" w:rsidRPr="006E50FF" w:rsidRDefault="006E50FF" w:rsidP="006E50FF">
      <w:pPr>
        <w:keepNext/>
        <w:ind w:left="2160"/>
        <w:jc w:val="both"/>
      </w:pPr>
      <w:r w:rsidRPr="006E50FF">
        <w:t>Executive Director</w:t>
      </w:r>
    </w:p>
    <w:p w14:paraId="4D5459B5" w14:textId="77777777" w:rsidR="006E50FF" w:rsidRPr="006E50FF" w:rsidRDefault="006E50FF" w:rsidP="006E50FF">
      <w:pPr>
        <w:keepNext/>
        <w:jc w:val="center"/>
        <w:rPr>
          <w:b/>
        </w:rPr>
      </w:pPr>
    </w:p>
    <w:p w14:paraId="38026659" w14:textId="77777777" w:rsidR="006E50FF" w:rsidRPr="006E50FF" w:rsidRDefault="006E50FF" w:rsidP="006E50FF">
      <w:pPr>
        <w:keepNext/>
        <w:jc w:val="center"/>
        <w:rPr>
          <w:b/>
        </w:rPr>
      </w:pPr>
      <w:r w:rsidRPr="006E50FF">
        <w:rPr>
          <w:b/>
        </w:rPr>
        <w:t>FISCAL AND ECONOMIC IMPACT STATEMENT FOR ADMINISTRATIVE RULES</w:t>
      </w:r>
    </w:p>
    <w:p w14:paraId="4F1D25E5" w14:textId="77777777" w:rsidR="006E50FF" w:rsidRPr="006E50FF" w:rsidRDefault="006E50FF" w:rsidP="006E50FF">
      <w:pPr>
        <w:keepNext/>
        <w:jc w:val="center"/>
        <w:rPr>
          <w:b/>
          <w:noProof/>
        </w:rPr>
      </w:pPr>
      <w:r w:rsidRPr="006E50FF">
        <w:rPr>
          <w:b/>
          <w:noProof/>
        </w:rPr>
        <w:t>RULE TITLE:  Bulletin 102—Louisiana Physical Education Student Standards—Physical Education Content Standards</w:t>
      </w:r>
    </w:p>
    <w:p w14:paraId="2C43998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866D4D9"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5C0050C3" w14:textId="77777777" w:rsidR="006E50FF" w:rsidRPr="006E50FF" w:rsidRDefault="006E50FF" w:rsidP="006E50FF">
      <w:pPr>
        <w:ind w:left="288" w:firstLine="288"/>
        <w:jc w:val="both"/>
        <w:rPr>
          <w:sz w:val="18"/>
        </w:rPr>
      </w:pPr>
      <w:r w:rsidRPr="006E50FF">
        <w:rPr>
          <w:sz w:val="18"/>
        </w:rPr>
        <w:t xml:space="preserve">There are no anticipated implementation costs or savings to state or local governmental units as a result of the proposed rule change, which repeals LAC 28:LIII and adopts LAC 28:CII in </w:t>
      </w:r>
      <w:r w:rsidRPr="006E50FF">
        <w:rPr>
          <w:i/>
          <w:sz w:val="18"/>
        </w:rPr>
        <w:t>Bulletin 102―Louisiana Physical Education Student Standards</w:t>
      </w:r>
      <w:r w:rsidRPr="006E50FF">
        <w:rPr>
          <w:sz w:val="18"/>
        </w:rPr>
        <w:t>. The revised standards apply to public school students in kindergarten through grade twelve and are organized into five domains across five grade bands: motor skills development; movement and fitness application; health-enhancing physical activity and fitness; personal and social responsibility; and value of physical activity. The Louisiana Department of Education will publish the revised standards and update related instructional guidance using existing staff and appropriated funds.</w:t>
      </w:r>
    </w:p>
    <w:p w14:paraId="13273111"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192260D"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3ECAA88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FAEFFED" w14:textId="77777777" w:rsidR="006E50FF" w:rsidRPr="006E50FF" w:rsidRDefault="006E50FF" w:rsidP="006E50FF">
      <w:pPr>
        <w:ind w:left="288" w:firstLine="288"/>
        <w:jc w:val="both"/>
        <w:rPr>
          <w:sz w:val="18"/>
        </w:rPr>
      </w:pPr>
      <w:r w:rsidRPr="006E50FF">
        <w:rPr>
          <w:sz w:val="18"/>
        </w:rPr>
        <w:t>Public school students in kindergarten through grade twelve benefit from physical education standards that reflect current practice and set clear expectations by grade band. Teachers and school systems receive revised standards organized in five domains, which supports instructional planning.</w:t>
      </w:r>
    </w:p>
    <w:p w14:paraId="779D279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3050633"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52CBC8D7" w14:textId="77777777" w:rsidR="006E50FF" w:rsidRPr="006E50FF" w:rsidRDefault="006E50FF" w:rsidP="006E50FF">
      <w:pPr>
        <w:ind w:left="288" w:firstLine="288"/>
        <w:jc w:val="both"/>
        <w:rPr>
          <w:sz w:val="18"/>
        </w:rPr>
      </w:pPr>
    </w:p>
    <w:p w14:paraId="6EE4B2AD"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56A77721"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7192168F" w14:textId="77777777" w:rsidR="006E50FF" w:rsidRPr="006E50FF" w:rsidRDefault="006E50FF" w:rsidP="006E50FF">
      <w:pPr>
        <w:tabs>
          <w:tab w:val="left" w:pos="2880"/>
          <w:tab w:val="decimal" w:pos="2988"/>
        </w:tabs>
        <w:outlineLvl w:val="8"/>
        <w:rPr>
          <w:kern w:val="2"/>
          <w:sz w:val="18"/>
        </w:rPr>
      </w:pPr>
      <w:r w:rsidRPr="006E50FF">
        <w:rPr>
          <w:noProof/>
          <w:sz w:val="16"/>
        </w:rPr>
        <w:t>2609#071</w:t>
      </w:r>
      <w:r w:rsidRPr="006E50FF">
        <w:rPr>
          <w:kern w:val="2"/>
        </w:rPr>
        <w:tab/>
      </w:r>
      <w:r w:rsidRPr="006E50FF">
        <w:rPr>
          <w:kern w:val="2"/>
          <w:sz w:val="18"/>
        </w:rPr>
        <w:t>Legislative Fiscal Office</w:t>
      </w:r>
    </w:p>
    <w:p w14:paraId="0C786988" w14:textId="77777777" w:rsidR="006E50FF" w:rsidRPr="006E50FF" w:rsidRDefault="006E50FF" w:rsidP="006E50FF">
      <w:pPr>
        <w:rPr>
          <w:noProof/>
          <w:sz w:val="16"/>
        </w:rPr>
      </w:pPr>
    </w:p>
    <w:p w14:paraId="02754A5F" w14:textId="77777777" w:rsidR="006E50FF" w:rsidRPr="006E50FF" w:rsidRDefault="006E50FF" w:rsidP="006E50FF"/>
    <w:p w14:paraId="68B2C852" w14:textId="77777777" w:rsidR="006E50FF" w:rsidRPr="006E50FF" w:rsidRDefault="006E50FF" w:rsidP="006E50FF"/>
    <w:p w14:paraId="2DBBD945"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1A8AF0A1" w14:textId="77777777" w:rsidR="006E50FF" w:rsidRPr="006E50FF" w:rsidRDefault="006E50FF" w:rsidP="006E50FF">
      <w:pPr>
        <w:keepNext/>
        <w:jc w:val="center"/>
        <w:rPr>
          <w:b/>
          <w:noProof/>
        </w:rPr>
      </w:pPr>
      <w:r w:rsidRPr="006E50FF">
        <w:rPr>
          <w:b/>
          <w:noProof/>
        </w:rPr>
        <w:t>Board of Elementary and Secondary Education</w:t>
      </w:r>
    </w:p>
    <w:p w14:paraId="5F3E0BAE" w14:textId="77777777" w:rsidR="006E50FF" w:rsidRPr="006E50FF" w:rsidRDefault="006E50FF" w:rsidP="006E50FF">
      <w:pPr>
        <w:keepNext/>
        <w:spacing w:before="240" w:after="240"/>
        <w:jc w:val="center"/>
        <w:rPr>
          <w:noProof/>
        </w:rPr>
      </w:pPr>
      <w:r w:rsidRPr="006E50FF">
        <w:rPr>
          <w:noProof/>
        </w:rPr>
        <w:t>Bulletin 746—Louisiana Standards for State Certification of School Personnel—Certification Appeal Process</w:t>
      </w:r>
      <w:r w:rsidRPr="006E50FF">
        <w:rPr>
          <w:noProof/>
        </w:rPr>
        <w:br/>
        <w:t>(LAC 28:CXXXI.1701 and 1705)</w:t>
      </w:r>
    </w:p>
    <w:p w14:paraId="6A52FF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provisions of R.S. 17:6(A)(10) and the Administrative Procedure Act (APA), R.S. 49:961 et seq., the Board of Elementary and Secondary Education (BESE) proposes to amend LAC 28:CXXXI in Bulletin 746—Louisiana Standards for State Certification of School Personnel. The proposed revisions implement Act 281 of the 2026 Regular Legislative Session, which authorizes BESE to override the Teacher Certification Appeals Council’s denial of an appellant’s appeal if the denial was based on circumstances beyond the appellant’s control, and prohibits an override if the board determines that certification of the appellant would conflict with state or federal law. The revisions establish the eligibility criteria and filing deadlines for requesting a board override, provide the submission address and the means of obtaining the request form, require a written determination within 30 days of receipt of a completed request, and authorize the board president to act when the board is not in regular or special session, subject to ratification at the next convening board meeting. Consistent with Section 2 of the act, the override authority applies to denials issued by the council on or after January 1, 2025.</w:t>
      </w:r>
    </w:p>
    <w:p w14:paraId="0D109F8D" w14:textId="77777777" w:rsidR="006E50FF" w:rsidRPr="006E50FF" w:rsidRDefault="006E50FF" w:rsidP="006E50FF">
      <w:pPr>
        <w:keepNext/>
        <w:jc w:val="center"/>
        <w:rPr>
          <w:b/>
          <w:kern w:val="28"/>
        </w:rPr>
      </w:pPr>
      <w:r w:rsidRPr="006E50FF">
        <w:rPr>
          <w:b/>
          <w:kern w:val="28"/>
        </w:rPr>
        <w:t>Title 28</w:t>
      </w:r>
    </w:p>
    <w:p w14:paraId="51C58C4F" w14:textId="77777777" w:rsidR="006E50FF" w:rsidRPr="006E50FF" w:rsidRDefault="006E50FF" w:rsidP="006E50FF">
      <w:pPr>
        <w:keepNext/>
        <w:jc w:val="center"/>
        <w:rPr>
          <w:b/>
          <w:kern w:val="28"/>
        </w:rPr>
      </w:pPr>
      <w:r w:rsidRPr="006E50FF">
        <w:rPr>
          <w:b/>
          <w:kern w:val="28"/>
        </w:rPr>
        <w:t>EDUCATION</w:t>
      </w:r>
    </w:p>
    <w:p w14:paraId="22A4935C" w14:textId="77777777" w:rsidR="006E50FF" w:rsidRPr="006E50FF" w:rsidRDefault="006E50FF" w:rsidP="006E50FF">
      <w:pPr>
        <w:keepNext/>
        <w:jc w:val="center"/>
        <w:rPr>
          <w:b/>
          <w:noProof/>
        </w:rPr>
      </w:pPr>
      <w:r w:rsidRPr="006E50FF">
        <w:rPr>
          <w:b/>
          <w:noProof/>
        </w:rPr>
        <w:t>Part CXXXI.  Bulletin 746―Louisiana Standards for State Certification of School Personnel</w:t>
      </w:r>
    </w:p>
    <w:p w14:paraId="1EB5F00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17.</w:t>
      </w:r>
      <w:r w:rsidRPr="006E50FF">
        <w:rPr>
          <w:b/>
          <w:kern w:val="2"/>
        </w:rPr>
        <w:tab/>
        <w:t>Certification Appeal Process</w:t>
      </w:r>
    </w:p>
    <w:p w14:paraId="44C66B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§1701.</w:t>
      </w:r>
      <w:r w:rsidRPr="006E50FF">
        <w:rPr>
          <w:b/>
          <w:kern w:val="2"/>
        </w:rPr>
        <w:tab/>
        <w:t>Overview</w:t>
      </w:r>
    </w:p>
    <w:p w14:paraId="0B0E4C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certification appeal process is available to an individual who has applied for certification and has been denied the requested certification due to the absence of certification requirements. The process provides such an individual the opportunity to have the appeal evaluated by the Teacher Certification Appeals Council (TCAC). TCAC will evaluate all appeals and submit a written report of decisions to BESE. The decision of the TCAC is final, except as provided in §1705 of this Chapter.</w:t>
      </w:r>
    </w:p>
    <w:p w14:paraId="3EA31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B.4.</w:t>
      </w:r>
      <w:r w:rsidRPr="006E50FF">
        <w:rPr>
          <w:kern w:val="2"/>
        </w:rPr>
        <w:tab/>
        <w:t>…</w:t>
      </w:r>
    </w:p>
    <w:p w14:paraId="130D31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17:7(6), R.S. 17:3902, and R.S. 17:8.8.</w:t>
      </w:r>
    </w:p>
    <w:p w14:paraId="7C272F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48:474 (March 2022), repromulgated LR 48:1082 (April 2022), LR 50:31 (January 2024), LR 52:</w:t>
      </w:r>
    </w:p>
    <w:p w14:paraId="0660C2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§1705.</w:t>
      </w:r>
      <w:r w:rsidRPr="006E50FF">
        <w:rPr>
          <w:b/>
          <w:kern w:val="2"/>
        </w:rPr>
        <w:tab/>
        <w:t>BESE Appeal Request</w:t>
      </w:r>
    </w:p>
    <w:p w14:paraId="491B46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Board of Elementary and Secondary Education (BESE) may override the council’s denial of an appellant’s appeal if the denial was based on circumstances beyond the appellant’s control as determined by the state board. Applications for appeals are retroactive to January 1, 2025.</w:t>
      </w:r>
    </w:p>
    <w:p w14:paraId="367B73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BESE will not consider an appeal if the board determines that the certification of the appellant would conflict with state or federal law.</w:t>
      </w:r>
    </w:p>
    <w:p w14:paraId="38FEFA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Only an individual who has been denied certification by TCAC is eligible to file an appeal to be considered by BESE.</w:t>
      </w:r>
    </w:p>
    <w:p w14:paraId="28EBB9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Appeals of a denied certification through TCAC from January 1, 2025 to December 1, 2026, shall be submitted within six months of the effective date of this policy. All other appeals shall be submitted within 90 calendar days of the denial of a certification through TCAC.</w:t>
      </w:r>
    </w:p>
    <w:p w14:paraId="763342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Circumstances beyond the appellant’s control are an event, condition, or action that the appellant could not reasonably foresee, prevent, or remedy through the exercise of ordinary diligence. Such circumstances shall not include an appellant’s negligence, lack of diligence, misunderstanding of applicable requirements, or voluntary acts or omissions by the appellant.</w:t>
      </w:r>
    </w:p>
    <w:p w14:paraId="27859C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Requests for an appeal shall be submitted by certified mail and addressed to:</w:t>
      </w:r>
    </w:p>
    <w:p w14:paraId="4BE085CF" w14:textId="77777777" w:rsidR="006E50FF" w:rsidRPr="006E50FF" w:rsidRDefault="006E50FF" w:rsidP="006E50FF">
      <w:pPr>
        <w:tabs>
          <w:tab w:val="left" w:pos="720"/>
          <w:tab w:val="left" w:pos="979"/>
          <w:tab w:val="left" w:pos="1152"/>
        </w:tabs>
        <w:ind w:firstLine="360"/>
        <w:jc w:val="both"/>
        <w:outlineLvl w:val="4"/>
        <w:rPr>
          <w:kern w:val="2"/>
        </w:rPr>
      </w:pPr>
    </w:p>
    <w:p w14:paraId="7F7A2BC4" w14:textId="77777777" w:rsidR="006E50FF" w:rsidRPr="006E50FF" w:rsidRDefault="006E50FF" w:rsidP="006E50FF">
      <w:pPr>
        <w:ind w:left="432" w:right="432"/>
        <w:jc w:val="both"/>
        <w:rPr>
          <w:noProof/>
          <w:sz w:val="16"/>
          <w:szCs w:val="16"/>
        </w:rPr>
      </w:pPr>
      <w:r w:rsidRPr="006E50FF">
        <w:rPr>
          <w:noProof/>
          <w:sz w:val="16"/>
          <w:szCs w:val="16"/>
        </w:rPr>
        <w:t>Board of Elementary and Secondary Education</w:t>
      </w:r>
    </w:p>
    <w:p w14:paraId="0CEDE8AE" w14:textId="77777777" w:rsidR="006E50FF" w:rsidRPr="006E50FF" w:rsidRDefault="006E50FF" w:rsidP="006E50FF">
      <w:pPr>
        <w:ind w:left="432" w:right="432"/>
        <w:jc w:val="both"/>
        <w:rPr>
          <w:noProof/>
          <w:sz w:val="16"/>
          <w:szCs w:val="16"/>
        </w:rPr>
      </w:pPr>
      <w:r w:rsidRPr="006E50FF">
        <w:rPr>
          <w:noProof/>
          <w:sz w:val="16"/>
          <w:szCs w:val="16"/>
        </w:rPr>
        <w:t>Attn: Executive Director</w:t>
      </w:r>
    </w:p>
    <w:p w14:paraId="1E041309" w14:textId="77777777" w:rsidR="006E50FF" w:rsidRPr="006E50FF" w:rsidRDefault="006E50FF" w:rsidP="006E50FF">
      <w:pPr>
        <w:ind w:left="432" w:right="432"/>
        <w:jc w:val="both"/>
        <w:rPr>
          <w:noProof/>
          <w:sz w:val="16"/>
          <w:szCs w:val="16"/>
        </w:rPr>
      </w:pPr>
      <w:r w:rsidRPr="006E50FF">
        <w:rPr>
          <w:noProof/>
          <w:sz w:val="16"/>
          <w:szCs w:val="16"/>
        </w:rPr>
        <w:t>P.O. Box 94064, Capital Station</w:t>
      </w:r>
    </w:p>
    <w:p w14:paraId="1D5B001C" w14:textId="77777777" w:rsidR="006E50FF" w:rsidRPr="006E50FF" w:rsidRDefault="006E50FF" w:rsidP="006E50FF">
      <w:pPr>
        <w:ind w:left="432" w:right="432"/>
        <w:jc w:val="both"/>
        <w:rPr>
          <w:noProof/>
          <w:sz w:val="16"/>
          <w:szCs w:val="16"/>
        </w:rPr>
      </w:pPr>
      <w:r w:rsidRPr="006E50FF">
        <w:rPr>
          <w:noProof/>
          <w:sz w:val="16"/>
          <w:szCs w:val="16"/>
        </w:rPr>
        <w:t>Baton Rouge, LA 70804</w:t>
      </w:r>
    </w:p>
    <w:p w14:paraId="472002B8" w14:textId="77777777" w:rsidR="006E50FF" w:rsidRPr="006E50FF" w:rsidRDefault="006E50FF" w:rsidP="006E50FF">
      <w:pPr>
        <w:tabs>
          <w:tab w:val="left" w:pos="720"/>
          <w:tab w:val="left" w:pos="979"/>
          <w:tab w:val="left" w:pos="1152"/>
        </w:tabs>
        <w:ind w:firstLine="360"/>
        <w:jc w:val="both"/>
        <w:outlineLvl w:val="4"/>
        <w:rPr>
          <w:kern w:val="2"/>
        </w:rPr>
      </w:pPr>
    </w:p>
    <w:p w14:paraId="321530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copy of the form to request an appeal can be obtained;</w:t>
      </w:r>
    </w:p>
    <w:p w14:paraId="71FDE7C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from the BESE website;</w:t>
      </w:r>
    </w:p>
    <w:p w14:paraId="34B1F68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by requesting a copy sent through the U.S. Mail; or</w:t>
      </w:r>
    </w:p>
    <w:p w14:paraId="2A4B006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by means of facsimile.</w:t>
      </w:r>
    </w:p>
    <w:p w14:paraId="1A5ADF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Within 30 days of receipt of the completed appeal request, either BESE or the board president shall notify the petitioner in writing of a final determination.</w:t>
      </w:r>
    </w:p>
    <w:p w14:paraId="2B3891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BESE president is authorized to make ad hoc decisions for the board, when the board is not in regular or special session, on any request that would exceed the 30-day timeframe.</w:t>
      </w:r>
    </w:p>
    <w:p w14:paraId="342E54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ad hoc decisions of the BESE president shall be presented at the next convening BESE meeting for ratification.</w:t>
      </w:r>
    </w:p>
    <w:p w14:paraId="70608B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17:7(6), and R.S. 17:8.8.</w:t>
      </w:r>
    </w:p>
    <w:p w14:paraId="42CFEF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E17F475" w14:textId="77777777" w:rsidR="006E50FF" w:rsidRPr="006E50FF" w:rsidRDefault="006E50FF" w:rsidP="006E50FF">
      <w:pPr>
        <w:keepNext/>
        <w:jc w:val="center"/>
        <w:rPr>
          <w:b/>
          <w:kern w:val="28"/>
        </w:rPr>
      </w:pPr>
      <w:r w:rsidRPr="006E50FF">
        <w:rPr>
          <w:b/>
          <w:kern w:val="28"/>
        </w:rPr>
        <w:t>Family Impact Statement</w:t>
      </w:r>
    </w:p>
    <w:p w14:paraId="3809F5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 </w:t>
      </w:r>
    </w:p>
    <w:p w14:paraId="710FE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0B0DC7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2A985C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32303D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7FA29A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1C1D43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29B22B3C" w14:textId="77777777" w:rsidR="006E50FF" w:rsidRPr="006E50FF" w:rsidRDefault="006E50FF" w:rsidP="006E50FF">
      <w:pPr>
        <w:keepNext/>
        <w:jc w:val="center"/>
        <w:rPr>
          <w:b/>
          <w:kern w:val="28"/>
        </w:rPr>
      </w:pPr>
      <w:r w:rsidRPr="006E50FF">
        <w:rPr>
          <w:b/>
          <w:kern w:val="28"/>
        </w:rPr>
        <w:br w:type="page"/>
      </w:r>
    </w:p>
    <w:p w14:paraId="33317211" w14:textId="77777777" w:rsidR="006E50FF" w:rsidRPr="006E50FF" w:rsidRDefault="006E50FF" w:rsidP="006E50FF">
      <w:pPr>
        <w:keepNext/>
        <w:jc w:val="center"/>
        <w:rPr>
          <w:b/>
          <w:kern w:val="28"/>
        </w:rPr>
      </w:pPr>
      <w:r w:rsidRPr="006E50FF">
        <w:rPr>
          <w:b/>
          <w:kern w:val="28"/>
        </w:rPr>
        <w:lastRenderedPageBreak/>
        <w:t>Poverty Impact Statement</w:t>
      </w:r>
    </w:p>
    <w:p w14:paraId="0AF1C4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7816CE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1DFDC8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2BFE6D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Yes.</w:t>
      </w:r>
    </w:p>
    <w:p w14:paraId="5AB56C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7D0FAE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5DAB51AB" w14:textId="77777777" w:rsidR="006E50FF" w:rsidRPr="006E50FF" w:rsidRDefault="006E50FF" w:rsidP="006E50FF">
      <w:pPr>
        <w:keepNext/>
        <w:jc w:val="center"/>
        <w:rPr>
          <w:b/>
          <w:kern w:val="28"/>
        </w:rPr>
      </w:pPr>
      <w:r w:rsidRPr="006E50FF">
        <w:rPr>
          <w:b/>
          <w:kern w:val="28"/>
        </w:rPr>
        <w:t>Small Business Analysis</w:t>
      </w:r>
    </w:p>
    <w:p w14:paraId="1068FE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26FD942D" w14:textId="77777777" w:rsidR="006E50FF" w:rsidRPr="006E50FF" w:rsidRDefault="006E50FF" w:rsidP="006E50FF">
      <w:pPr>
        <w:keepNext/>
        <w:jc w:val="center"/>
        <w:rPr>
          <w:b/>
          <w:kern w:val="28"/>
        </w:rPr>
      </w:pPr>
      <w:r w:rsidRPr="006E50FF">
        <w:rPr>
          <w:b/>
          <w:kern w:val="28"/>
        </w:rPr>
        <w:t>Provider Impact Statement</w:t>
      </w:r>
    </w:p>
    <w:p w14:paraId="692A37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139EEE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532FB0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678505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7524A713" w14:textId="77777777" w:rsidR="006E50FF" w:rsidRPr="006E50FF" w:rsidRDefault="006E50FF" w:rsidP="006E50FF">
      <w:pPr>
        <w:keepNext/>
        <w:jc w:val="center"/>
        <w:rPr>
          <w:b/>
          <w:kern w:val="28"/>
        </w:rPr>
      </w:pPr>
      <w:r w:rsidRPr="006E50FF">
        <w:rPr>
          <w:b/>
          <w:kern w:val="28"/>
        </w:rPr>
        <w:t>Public Comments</w:t>
      </w:r>
    </w:p>
    <w:p w14:paraId="1A2A7D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6B153D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8DB9106" w14:textId="77777777" w:rsidR="006E50FF" w:rsidRPr="006E50FF" w:rsidRDefault="006E50FF" w:rsidP="006E50FF">
      <w:pPr>
        <w:keepNext/>
        <w:ind w:left="2160"/>
        <w:jc w:val="both"/>
      </w:pPr>
      <w:r w:rsidRPr="006E50FF">
        <w:t>Tavares A. Walker</w:t>
      </w:r>
    </w:p>
    <w:p w14:paraId="0A5765D4" w14:textId="77777777" w:rsidR="006E50FF" w:rsidRPr="006E50FF" w:rsidRDefault="006E50FF" w:rsidP="006E50FF">
      <w:pPr>
        <w:keepNext/>
        <w:ind w:left="2160"/>
        <w:jc w:val="both"/>
      </w:pPr>
      <w:r w:rsidRPr="006E50FF">
        <w:t>Executive Director</w:t>
      </w:r>
    </w:p>
    <w:p w14:paraId="55EA36E7" w14:textId="77777777" w:rsidR="006E50FF" w:rsidRPr="006E50FF" w:rsidRDefault="006E50FF" w:rsidP="006E50FF">
      <w:pPr>
        <w:keepNext/>
        <w:jc w:val="center"/>
        <w:rPr>
          <w:b/>
        </w:rPr>
      </w:pPr>
    </w:p>
    <w:p w14:paraId="1549214D" w14:textId="77777777" w:rsidR="006E50FF" w:rsidRPr="006E50FF" w:rsidRDefault="006E50FF" w:rsidP="006E50FF">
      <w:pPr>
        <w:keepNext/>
        <w:jc w:val="center"/>
        <w:rPr>
          <w:b/>
        </w:rPr>
      </w:pPr>
      <w:r w:rsidRPr="006E50FF">
        <w:rPr>
          <w:b/>
        </w:rPr>
        <w:t>FISCAL AND ECONOMIC IMPACT STATEMENT FOR ADMINISTRATIVE RULES</w:t>
      </w:r>
    </w:p>
    <w:p w14:paraId="318F313C" w14:textId="77777777" w:rsidR="006E50FF" w:rsidRPr="006E50FF" w:rsidRDefault="006E50FF" w:rsidP="006E50FF">
      <w:pPr>
        <w:keepNext/>
        <w:jc w:val="center"/>
        <w:rPr>
          <w:b/>
          <w:noProof/>
        </w:rPr>
      </w:pPr>
      <w:r w:rsidRPr="006E50FF">
        <w:rPr>
          <w:b/>
          <w:noProof/>
        </w:rPr>
        <w:t>RULE TITLE:  Bulletin 746—Louisiana Standards for State Certification of School Personnel—Certification Appeal Process</w:t>
      </w:r>
    </w:p>
    <w:p w14:paraId="5D608F5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C68779D"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EC1AEE8" w14:textId="77777777" w:rsidR="006E50FF" w:rsidRPr="006E50FF" w:rsidRDefault="006E50FF" w:rsidP="006E50FF">
      <w:pPr>
        <w:ind w:left="288" w:firstLine="288"/>
        <w:jc w:val="both"/>
        <w:rPr>
          <w:sz w:val="18"/>
        </w:rPr>
      </w:pPr>
      <w:r w:rsidRPr="006E50FF">
        <w:rPr>
          <w:sz w:val="18"/>
        </w:rPr>
        <w:t>There are no anticipated implementation costs or savings to state or local governmental units as a result of the proposed rule change. The proposed rule change amends LAC 28:CXXXI in Bulletin 746—Louisiana Standards for State Certification of School Personnel to implement Act 281 of the 2026 Regular Session, which authorizes the Board of Elementary and Secondary Education (BESE) to override the Teacher Certification Appeals Council's denial of an appeal where the denial was based on circumstances beyond the appellant's control. Board consideration of override requests will be conducted within existing BESE and Louisiana Department of Education staff workload and at regularly scheduled board meetings, using positions and funding already appropriated. The rule permits, but does not require, BESE to call a special meeting; the board already possesses that authority under LAC 28:I.703.D, and any per diem or travel associated with a special meeting is payable from the existing board budget.</w:t>
      </w:r>
    </w:p>
    <w:p w14:paraId="575FD13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1E95FFB"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4113DA7A"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1B1604D" w14:textId="77777777" w:rsidR="006E50FF" w:rsidRPr="006E50FF" w:rsidRDefault="006E50FF" w:rsidP="006E50FF">
      <w:pPr>
        <w:ind w:left="288" w:firstLine="288"/>
        <w:jc w:val="both"/>
        <w:rPr>
          <w:sz w:val="18"/>
        </w:rPr>
      </w:pPr>
      <w:r w:rsidRPr="006E50FF">
        <w:rPr>
          <w:sz w:val="18"/>
        </w:rPr>
        <w:t>Applicants who have been denied certification by the Teacher Certification Appeals Council (TCAC) are directly affected. The proposed rule change may result in economic benefits to those applicants by establishing a second level of review that was not previously available. An applicant whose denial was based on circumstances beyond the applicant's control may request that BESE override the denial and, if the request is granted, may obtain the credential necessary for employment as an educator. Because the authority applies to denials issued on or after January 1, 2025, applicants denied during that period may also request review. Costs to an appellant are limited to preparing the request form and postage for certified mail delivery, estimated at less than $10 per request. The number of requests cannot be projected reliably because it depends on the number of denials attributable to circumstances beyond an appellant's control.</w:t>
      </w:r>
    </w:p>
    <w:p w14:paraId="7CC8259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557E85B" w14:textId="77777777" w:rsidR="006E50FF" w:rsidRPr="006E50FF" w:rsidRDefault="006E50FF" w:rsidP="006E50FF">
      <w:pPr>
        <w:ind w:left="288" w:firstLine="288"/>
        <w:jc w:val="both"/>
        <w:rPr>
          <w:sz w:val="18"/>
        </w:rPr>
      </w:pPr>
      <w:r w:rsidRPr="006E50FF">
        <w:rPr>
          <w:sz w:val="18"/>
        </w:rPr>
        <w:t>The proposed rule change may have a positive effect on employment by allowing certain applicants who were denied certification to obtain an educator credential following a successful board override. Any resulting increase in the number of certified educators available to Louisiana schools is expected to be small. There is no anticipated effect on competition in the public or private sectors.</w:t>
      </w:r>
    </w:p>
    <w:p w14:paraId="3879A953" w14:textId="77777777" w:rsidR="006E50FF" w:rsidRPr="006E50FF" w:rsidRDefault="006E50FF" w:rsidP="006E50FF">
      <w:pPr>
        <w:ind w:left="288" w:firstLine="288"/>
        <w:jc w:val="both"/>
        <w:rPr>
          <w:sz w:val="18"/>
        </w:rPr>
      </w:pPr>
    </w:p>
    <w:p w14:paraId="2E61ACD2"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742FBBB1"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66407979" w14:textId="77777777" w:rsidR="006E50FF" w:rsidRPr="006E50FF" w:rsidRDefault="006E50FF" w:rsidP="006E50FF">
      <w:pPr>
        <w:tabs>
          <w:tab w:val="left" w:pos="2880"/>
          <w:tab w:val="decimal" w:pos="2988"/>
        </w:tabs>
        <w:outlineLvl w:val="8"/>
        <w:rPr>
          <w:kern w:val="2"/>
          <w:sz w:val="18"/>
        </w:rPr>
      </w:pPr>
      <w:r w:rsidRPr="006E50FF">
        <w:rPr>
          <w:noProof/>
          <w:sz w:val="16"/>
        </w:rPr>
        <w:t>2609#076</w:t>
      </w:r>
      <w:r w:rsidRPr="006E50FF">
        <w:rPr>
          <w:kern w:val="2"/>
        </w:rPr>
        <w:tab/>
      </w:r>
      <w:r w:rsidRPr="006E50FF">
        <w:rPr>
          <w:kern w:val="2"/>
          <w:sz w:val="18"/>
        </w:rPr>
        <w:t>Legislative Fiscal Office</w:t>
      </w:r>
    </w:p>
    <w:p w14:paraId="528100AE" w14:textId="77777777" w:rsidR="006E50FF" w:rsidRPr="006E50FF" w:rsidRDefault="006E50FF" w:rsidP="006E50FF">
      <w:pPr>
        <w:rPr>
          <w:noProof/>
          <w:sz w:val="16"/>
        </w:rPr>
      </w:pPr>
    </w:p>
    <w:p w14:paraId="3A03F85D" w14:textId="77777777" w:rsidR="006E50FF" w:rsidRPr="006E50FF" w:rsidRDefault="006E50FF" w:rsidP="006E50FF"/>
    <w:p w14:paraId="455BE9DE" w14:textId="77777777" w:rsidR="006E50FF" w:rsidRPr="006E50FF" w:rsidRDefault="006E50FF" w:rsidP="006E50FF"/>
    <w:p w14:paraId="7227BA91"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792D5378" w14:textId="77777777" w:rsidR="006E50FF" w:rsidRPr="006E50FF" w:rsidRDefault="006E50FF" w:rsidP="006E50FF">
      <w:pPr>
        <w:keepNext/>
        <w:jc w:val="center"/>
        <w:rPr>
          <w:b/>
          <w:noProof/>
        </w:rPr>
      </w:pPr>
      <w:r w:rsidRPr="006E50FF">
        <w:rPr>
          <w:b/>
          <w:noProof/>
        </w:rPr>
        <w:t>Board of Elementary and Secondary Education</w:t>
      </w:r>
    </w:p>
    <w:p w14:paraId="5AE81A1A" w14:textId="77777777" w:rsidR="006E50FF" w:rsidRPr="006E50FF" w:rsidRDefault="006E50FF" w:rsidP="006E50FF">
      <w:pPr>
        <w:keepNext/>
        <w:spacing w:before="240" w:after="240"/>
        <w:jc w:val="center"/>
        <w:rPr>
          <w:noProof/>
        </w:rPr>
      </w:pPr>
      <w:r w:rsidRPr="006E50FF">
        <w:rPr>
          <w:noProof/>
        </w:rPr>
        <w:t>Early Childhood</w:t>
      </w:r>
      <w:r w:rsidRPr="006E50FF">
        <w:rPr>
          <w:noProof/>
        </w:rPr>
        <w:br/>
        <w:t>(LAC 28:I.505; LAC 28:CLXI.701; and LAC 28:CLXVII.509, 513, 703, and 1101)</w:t>
      </w:r>
    </w:p>
    <w:p w14:paraId="153E4C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amend LAC 28:I in Part I. </w:t>
      </w:r>
      <w:r w:rsidRPr="006E50FF">
        <w:rPr>
          <w:i/>
          <w:kern w:val="2"/>
        </w:rPr>
        <w:t>BESE/8(g) Operations</w:t>
      </w:r>
      <w:r w:rsidRPr="006E50FF">
        <w:rPr>
          <w:kern w:val="2"/>
        </w:rPr>
        <w:t xml:space="preserve">, LAC 28:CLXI in </w:t>
      </w:r>
      <w:r w:rsidRPr="006E50FF">
        <w:rPr>
          <w:i/>
          <w:kern w:val="2"/>
        </w:rPr>
        <w:t>Bulletin 137</w:t>
      </w:r>
      <w:r w:rsidRPr="006E50FF">
        <w:rPr>
          <w:i/>
          <w:kern w:val="2"/>
        </w:rPr>
        <w:sym w:font="Symbol" w:char="F0BE"/>
      </w:r>
      <w:r w:rsidRPr="006E50FF">
        <w:rPr>
          <w:i/>
          <w:kern w:val="2"/>
        </w:rPr>
        <w:t>Louisiana Early Learning Center Licensing Regulations</w:t>
      </w:r>
      <w:r w:rsidRPr="006E50FF">
        <w:rPr>
          <w:kern w:val="2"/>
        </w:rPr>
        <w:t xml:space="preserve">, and LAC 28:CLXVII in </w:t>
      </w:r>
      <w:r w:rsidRPr="006E50FF">
        <w:rPr>
          <w:i/>
          <w:kern w:val="2"/>
        </w:rPr>
        <w:t>Bulletin 140</w:t>
      </w:r>
      <w:r w:rsidRPr="006E50FF">
        <w:rPr>
          <w:i/>
          <w:kern w:val="2"/>
        </w:rPr>
        <w:sym w:font="Symbol" w:char="F0BE"/>
      </w:r>
      <w:r w:rsidRPr="006E50FF">
        <w:rPr>
          <w:i/>
          <w:kern w:val="2"/>
        </w:rPr>
        <w:t>Louisiana Early Childhood Care and Education Network</w:t>
      </w:r>
      <w:r w:rsidRPr="006E50FF">
        <w:rPr>
          <w:kern w:val="2"/>
        </w:rPr>
        <w:t>. The proposed revisions implement two Acts of the 2026 Regular Legislative Session. Act 893 requires the owner, operator, or governing authority of a proposed licensed early learning center to have a risk assessor conduct a risk assessment of the facility and grounds for the presence of paint, dust, and soil lead hazards, to include the results with the original license application, and to refrain from commencing operations where lead hazards are found until appropriate lead hazard control methods have been implemented and confirmed. Act 580 consolidates the Advisory Council on Early Childhood Care and Education into the Early Childhood Care and Education Commission, repeals the statutory authority for the advisory council, and transfers its duties to the commission. The revisions accordingly rename the body throughout, revise the commission’s functions, composition, appointing authorities, member terms, vacancies, governance, and meeting frequency, and provide for quarterly departmental reporting to the commission.</w:t>
      </w:r>
    </w:p>
    <w:p w14:paraId="12175F9A" w14:textId="77777777" w:rsidR="006E50FF" w:rsidRPr="006E50FF" w:rsidRDefault="006E50FF" w:rsidP="006E50FF">
      <w:pPr>
        <w:keepNext/>
        <w:jc w:val="center"/>
        <w:rPr>
          <w:b/>
          <w:kern w:val="28"/>
        </w:rPr>
      </w:pPr>
      <w:r w:rsidRPr="006E50FF">
        <w:rPr>
          <w:b/>
          <w:kern w:val="28"/>
        </w:rPr>
        <w:t>Title 28</w:t>
      </w:r>
    </w:p>
    <w:p w14:paraId="25BB5BF5" w14:textId="77777777" w:rsidR="006E50FF" w:rsidRPr="006E50FF" w:rsidRDefault="006E50FF" w:rsidP="006E50FF">
      <w:pPr>
        <w:keepNext/>
        <w:jc w:val="center"/>
        <w:rPr>
          <w:b/>
          <w:kern w:val="28"/>
        </w:rPr>
      </w:pPr>
      <w:r w:rsidRPr="006E50FF">
        <w:rPr>
          <w:b/>
          <w:kern w:val="28"/>
        </w:rPr>
        <w:t>EDUCATION</w:t>
      </w:r>
    </w:p>
    <w:p w14:paraId="1FC384A5" w14:textId="77777777" w:rsidR="006E50FF" w:rsidRPr="006E50FF" w:rsidRDefault="006E50FF" w:rsidP="006E50FF">
      <w:pPr>
        <w:keepNext/>
        <w:jc w:val="center"/>
        <w:rPr>
          <w:b/>
          <w:noProof/>
        </w:rPr>
      </w:pPr>
      <w:bookmarkStart w:id="264" w:name="_Toc450313204"/>
      <w:bookmarkStart w:id="265" w:name="_Toc450567251"/>
      <w:bookmarkStart w:id="266" w:name="_Toc450567461"/>
      <w:bookmarkStart w:id="267" w:name="_Toc530556082"/>
      <w:bookmarkStart w:id="268" w:name="_Toc22824784"/>
      <w:bookmarkStart w:id="269" w:name="_Toc22824924"/>
      <w:bookmarkStart w:id="270" w:name="_Toc112164187"/>
      <w:bookmarkStart w:id="271" w:name="_Toc117077572"/>
      <w:bookmarkStart w:id="272" w:name="_Toc201561291"/>
      <w:r w:rsidRPr="006E50FF">
        <w:rPr>
          <w:b/>
          <w:noProof/>
        </w:rPr>
        <w:t>Part I.  BESE/8(g) Operations</w:t>
      </w:r>
      <w:bookmarkEnd w:id="264"/>
      <w:bookmarkEnd w:id="265"/>
      <w:bookmarkEnd w:id="266"/>
      <w:bookmarkEnd w:id="267"/>
      <w:bookmarkEnd w:id="268"/>
      <w:bookmarkEnd w:id="269"/>
      <w:bookmarkEnd w:id="270"/>
      <w:bookmarkEnd w:id="271"/>
      <w:bookmarkEnd w:id="272"/>
    </w:p>
    <w:p w14:paraId="2AC48216" w14:textId="77777777" w:rsidR="006E50FF" w:rsidRPr="006E50FF" w:rsidRDefault="006E50FF" w:rsidP="006E50FF">
      <w:pPr>
        <w:keepNext/>
        <w:jc w:val="center"/>
        <w:rPr>
          <w:b/>
          <w:noProof/>
        </w:rPr>
      </w:pPr>
      <w:bookmarkStart w:id="273" w:name="TOC_SubP2"/>
      <w:bookmarkStart w:id="274" w:name="_Toc450567462"/>
      <w:bookmarkStart w:id="275" w:name="_Toc530556083"/>
      <w:bookmarkStart w:id="276" w:name="_Toc22824785"/>
      <w:bookmarkStart w:id="277" w:name="_Toc22824925"/>
      <w:bookmarkStart w:id="278" w:name="_Toc117077573"/>
      <w:bookmarkStart w:id="279" w:name="_Toc201561292"/>
      <w:r w:rsidRPr="006E50FF">
        <w:rPr>
          <w:b/>
          <w:noProof/>
        </w:rPr>
        <w:t>Subpart 1.  Board of Elementary and Secondary Education</w:t>
      </w:r>
      <w:bookmarkEnd w:id="273"/>
      <w:bookmarkEnd w:id="274"/>
      <w:bookmarkEnd w:id="275"/>
      <w:bookmarkEnd w:id="276"/>
      <w:bookmarkEnd w:id="277"/>
      <w:bookmarkEnd w:id="278"/>
      <w:bookmarkEnd w:id="279"/>
    </w:p>
    <w:p w14:paraId="4FBF5F2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80" w:name="TOC_Chap6"/>
      <w:bookmarkStart w:id="281" w:name="_Toc448837829"/>
      <w:bookmarkStart w:id="282" w:name="_Toc201561306"/>
      <w:r w:rsidRPr="006E50FF">
        <w:rPr>
          <w:b/>
          <w:kern w:val="2"/>
        </w:rPr>
        <w:t>Chapter 5.</w:t>
      </w:r>
      <w:bookmarkEnd w:id="280"/>
      <w:r w:rsidRPr="006E50FF">
        <w:rPr>
          <w:b/>
          <w:kern w:val="2"/>
        </w:rPr>
        <w:tab/>
      </w:r>
      <w:bookmarkStart w:id="283" w:name="TOCT_Chap6"/>
      <w:r w:rsidRPr="006E50FF">
        <w:rPr>
          <w:b/>
          <w:kern w:val="2"/>
        </w:rPr>
        <w:t>Organization</w:t>
      </w:r>
      <w:bookmarkEnd w:id="281"/>
      <w:bookmarkEnd w:id="282"/>
      <w:bookmarkEnd w:id="283"/>
    </w:p>
    <w:p w14:paraId="7BB2613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§505.</w:t>
      </w:r>
      <w:r w:rsidRPr="006E50FF">
        <w:rPr>
          <w:b/>
          <w:kern w:val="2"/>
        </w:rPr>
        <w:tab/>
        <w:t xml:space="preserve">Special Advisory Councils/Task Forces/Commissions/Study Groups </w:t>
      </w:r>
    </w:p>
    <w:p w14:paraId="0548531A" w14:textId="77777777" w:rsidR="006E50FF" w:rsidRPr="006E50FF" w:rsidRDefault="006E50FF" w:rsidP="006E50FF">
      <w:pPr>
        <w:tabs>
          <w:tab w:val="left" w:pos="144"/>
          <w:tab w:val="left" w:pos="187"/>
          <w:tab w:val="left" w:pos="540"/>
          <w:tab w:val="left" w:pos="907"/>
          <w:tab w:val="left" w:pos="1080"/>
          <w:tab w:val="left" w:pos="1890"/>
        </w:tabs>
        <w:ind w:firstLine="187"/>
        <w:jc w:val="both"/>
        <w:outlineLvl w:val="3"/>
        <w:rPr>
          <w:kern w:val="2"/>
        </w:rPr>
      </w:pPr>
      <w:r w:rsidRPr="006E50FF">
        <w:rPr>
          <w:kern w:val="2"/>
        </w:rPr>
        <w:t>A. - A.1.b.iii.(i).</w:t>
      </w:r>
      <w:r w:rsidRPr="006E50FF">
        <w:rPr>
          <w:kern w:val="2"/>
        </w:rPr>
        <w:tab/>
        <w:t>…</w:t>
      </w:r>
    </w:p>
    <w:p w14:paraId="42A8B0F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(j).</w:t>
      </w:r>
      <w:r w:rsidRPr="006E50FF">
        <w:rPr>
          <w:kern w:val="2"/>
        </w:rPr>
        <w:tab/>
        <w:t>Early Childhood Care and Education Commission representative; and</w:t>
      </w:r>
    </w:p>
    <w:p w14:paraId="5C98AC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A.1.b.iv. - A.1.b.iv.(f).</w:t>
      </w:r>
      <w:r w:rsidRPr="006E50FF">
        <w:rPr>
          <w:kern w:val="2"/>
        </w:rPr>
        <w:tab/>
        <w:t>…</w:t>
      </w:r>
    </w:p>
    <w:p w14:paraId="6815BF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17:6(A)(15), 17:11, 17:24.4, and 42:19.</w:t>
      </w:r>
    </w:p>
    <w:p w14:paraId="254EB2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48:2086 (August 2022), amended LR 51:34 (January 2025), LR 52:</w:t>
      </w:r>
    </w:p>
    <w:p w14:paraId="5728B092" w14:textId="77777777" w:rsidR="006E50FF" w:rsidRPr="006E50FF" w:rsidRDefault="006E50FF" w:rsidP="006E50FF">
      <w:pPr>
        <w:keepNext/>
        <w:jc w:val="center"/>
        <w:rPr>
          <w:b/>
          <w:noProof/>
        </w:rPr>
      </w:pPr>
      <w:r w:rsidRPr="006E50FF">
        <w:rPr>
          <w:b/>
          <w:noProof/>
        </w:rPr>
        <w:t>Part CLXI.  Bulletin 137</w:t>
      </w:r>
      <w:r w:rsidRPr="006E50FF">
        <w:rPr>
          <w:rFonts w:ascii="Symbol" w:eastAsia="Symbol" w:hAnsi="Symbol" w:cs="Symbol"/>
          <w:b/>
          <w:noProof/>
        </w:rPr>
        <w:sym w:font="Symbol" w:char="F0BE"/>
      </w:r>
      <w:r w:rsidRPr="006E50FF">
        <w:rPr>
          <w:b/>
          <w:noProof/>
        </w:rPr>
        <w:t>Louisiana Early Learning Center Licensing Regulations</w:t>
      </w:r>
    </w:p>
    <w:p w14:paraId="4F0AAD3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84" w:name="_Toc219880741"/>
      <w:r w:rsidRPr="006E50FF">
        <w:rPr>
          <w:b/>
          <w:kern w:val="2"/>
        </w:rPr>
        <w:t>Chapter 7.</w:t>
      </w:r>
      <w:r w:rsidRPr="006E50FF">
        <w:rPr>
          <w:b/>
          <w:kern w:val="2"/>
        </w:rPr>
        <w:tab/>
        <w:t>Licensing Process and Procedures</w:t>
      </w:r>
      <w:bookmarkEnd w:id="284"/>
    </w:p>
    <w:p w14:paraId="67A3676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85" w:name="_Toc219880742"/>
      <w:r w:rsidRPr="006E50FF">
        <w:rPr>
          <w:b/>
          <w:kern w:val="2"/>
        </w:rPr>
        <w:t>§701.</w:t>
      </w:r>
      <w:r w:rsidRPr="006E50FF">
        <w:rPr>
          <w:b/>
          <w:kern w:val="2"/>
        </w:rPr>
        <w:tab/>
        <w:t>Initial Application Process</w:t>
      </w:r>
      <w:bookmarkEnd w:id="285"/>
      <w:r w:rsidRPr="006E50FF">
        <w:rPr>
          <w:b/>
          <w:kern w:val="2"/>
          <w:highlight w:val="yellow"/>
        </w:rPr>
        <w:t xml:space="preserve"> </w:t>
      </w:r>
    </w:p>
    <w:p w14:paraId="02C2A7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E.9.</w:t>
      </w:r>
      <w:r w:rsidRPr="006E50FF">
        <w:rPr>
          <w:kern w:val="2"/>
        </w:rPr>
        <w:tab/>
        <w:t>…</w:t>
      </w:r>
    </w:p>
    <w:p w14:paraId="009310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Effective for licensure of applicants whose site will first be placed in operation on or after August 1, 2026, the original application shall include the results of the risk assessment of the facility and grounds for the presence of paint, dust, and soil lead hazards. If the results of the risk assessment indicate that lead hazards were found, the facility </w:t>
      </w:r>
      <w:r w:rsidRPr="006E50FF">
        <w:rPr>
          <w:kern w:val="2"/>
        </w:rPr>
        <w:t>shall not commence operations until appropriate lead hazard control methods have been implemented and confirmed.</w:t>
      </w:r>
    </w:p>
    <w:p w14:paraId="24E46B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30:2351.28, and 17:407.39.</w:t>
      </w:r>
    </w:p>
    <w:p w14:paraId="6A0994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41:622 (April 2015), effective July 1, 2015, </w:t>
      </w:r>
      <w:r w:rsidRPr="006E50FF">
        <w:rPr>
          <w:rFonts w:eastAsia="Calibri"/>
          <w:kern w:val="2"/>
          <w:sz w:val="18"/>
        </w:rPr>
        <w:t xml:space="preserve">amended LR 41:2104 (October 2015), LR 44:248 (February 2018), effective March 1, 2018, LR 44:1860 (October 2018), LR 47:1275 (September 2021), </w:t>
      </w:r>
      <w:r w:rsidRPr="006E50FF">
        <w:rPr>
          <w:kern w:val="2"/>
          <w:sz w:val="18"/>
        </w:rPr>
        <w:t>LR 52:25 (January 2026), LR 52:</w:t>
      </w:r>
    </w:p>
    <w:p w14:paraId="0C8F0BCD" w14:textId="77777777" w:rsidR="006E50FF" w:rsidRPr="006E50FF" w:rsidRDefault="006E50FF" w:rsidP="006E50FF">
      <w:pPr>
        <w:keepNext/>
        <w:jc w:val="center"/>
        <w:rPr>
          <w:b/>
          <w:noProof/>
        </w:rPr>
      </w:pPr>
      <w:r w:rsidRPr="006E50FF">
        <w:rPr>
          <w:b/>
          <w:noProof/>
        </w:rPr>
        <w:t>Part CLXVII.  Bulletin 140—Louisiana Early Childhood Care and Education Network</w:t>
      </w:r>
    </w:p>
    <w:p w14:paraId="66C4612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86" w:name="TOC_Chap13"/>
      <w:bookmarkStart w:id="287" w:name="_Toc438552849"/>
      <w:bookmarkStart w:id="288" w:name="_Toc189142894"/>
      <w:r w:rsidRPr="006E50FF">
        <w:rPr>
          <w:b/>
          <w:kern w:val="2"/>
        </w:rPr>
        <w:t>Chapter 5.</w:t>
      </w:r>
      <w:bookmarkEnd w:id="286"/>
      <w:r w:rsidRPr="006E50FF">
        <w:rPr>
          <w:b/>
          <w:kern w:val="2"/>
        </w:rPr>
        <w:tab/>
        <w:t>Early Childhood Care and Education Accountability System</w:t>
      </w:r>
      <w:bookmarkEnd w:id="287"/>
      <w:bookmarkEnd w:id="288"/>
    </w:p>
    <w:p w14:paraId="16CF2E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89" w:name="_Toc417576966"/>
      <w:bookmarkStart w:id="290" w:name="_Toc417577021"/>
      <w:bookmarkStart w:id="291" w:name="_Toc419194005"/>
      <w:bookmarkStart w:id="292" w:name="_Toc438552854"/>
      <w:bookmarkStart w:id="293" w:name="_Toc189142898"/>
      <w:r w:rsidRPr="006E50FF">
        <w:rPr>
          <w:b/>
          <w:kern w:val="2"/>
        </w:rPr>
        <w:t>§509.</w:t>
      </w:r>
      <w:r w:rsidRPr="006E50FF">
        <w:rPr>
          <w:b/>
          <w:kern w:val="2"/>
        </w:rPr>
        <w:tab/>
        <w:t>Performance Rating Calculations for Publicly-Funded Sites</w:t>
      </w:r>
      <w:bookmarkEnd w:id="289"/>
      <w:bookmarkEnd w:id="290"/>
      <w:bookmarkEnd w:id="291"/>
      <w:bookmarkEnd w:id="292"/>
      <w:bookmarkEnd w:id="293"/>
    </w:p>
    <w:p w14:paraId="2546BC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B.2.</w:t>
      </w:r>
      <w:r w:rsidRPr="006E50FF">
        <w:rPr>
          <w:kern w:val="2"/>
        </w:rPr>
        <w:tab/>
        <w:t>…</w:t>
      </w:r>
    </w:p>
    <w:p w14:paraId="25CD1F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49492E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B.4. - G.</w:t>
      </w:r>
      <w:r w:rsidRPr="006E50FF">
        <w:rPr>
          <w:kern w:val="2"/>
        </w:rPr>
        <w:tab/>
        <w:t xml:space="preserve">… </w:t>
      </w:r>
    </w:p>
    <w:p w14:paraId="17932F3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and 17:407.21 et seq.</w:t>
      </w:r>
    </w:p>
    <w:p w14:paraId="048795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41:2587 (December 2015), amended LR 42:1873 (November 2016), LR 44:1442 (August 2018), LR 45:1453 (October 2019), LR 47:1286 (September 2021), LR 48:1010 (April 2022), LR 49:1716 (October 2023), LR 52:1329 (August 2026), LR 52:</w:t>
      </w:r>
    </w:p>
    <w:p w14:paraId="6088736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94" w:name="_Toc417576968"/>
      <w:bookmarkStart w:id="295" w:name="_Toc417577023"/>
      <w:bookmarkStart w:id="296" w:name="_Toc419194007"/>
      <w:bookmarkStart w:id="297" w:name="_Toc438552856"/>
      <w:bookmarkStart w:id="298" w:name="_Toc189142901"/>
      <w:r w:rsidRPr="006E50FF">
        <w:rPr>
          <w:b/>
          <w:kern w:val="2"/>
        </w:rPr>
        <w:t>§513.</w:t>
      </w:r>
      <w:r w:rsidRPr="006E50FF">
        <w:rPr>
          <w:b/>
          <w:kern w:val="2"/>
        </w:rPr>
        <w:tab/>
        <w:t>Informational Metrics</w:t>
      </w:r>
      <w:bookmarkEnd w:id="294"/>
      <w:bookmarkEnd w:id="295"/>
      <w:r w:rsidRPr="006E50FF">
        <w:rPr>
          <w:b/>
          <w:kern w:val="2"/>
        </w:rPr>
        <w:t xml:space="preserve"> of Best Practices</w:t>
      </w:r>
      <w:bookmarkEnd w:id="296"/>
      <w:bookmarkEnd w:id="297"/>
      <w:bookmarkEnd w:id="298"/>
    </w:p>
    <w:p w14:paraId="6DC077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B.4.b.</w:t>
      </w:r>
      <w:r w:rsidRPr="006E50FF">
        <w:rPr>
          <w:kern w:val="2"/>
        </w:rPr>
        <w:tab/>
        <w:t>…</w:t>
      </w:r>
    </w:p>
    <w:p w14:paraId="0BBE33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Repealed.</w:t>
      </w:r>
    </w:p>
    <w:p w14:paraId="1AB945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D.2.</w:t>
      </w:r>
      <w:r w:rsidRPr="006E50FF">
        <w:rPr>
          <w:kern w:val="2"/>
        </w:rPr>
        <w:tab/>
        <w:t>…</w:t>
      </w:r>
    </w:p>
    <w:p w14:paraId="50B6A4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09DC5D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E.1. - E.2.</w:t>
      </w:r>
      <w:r w:rsidRPr="006E50FF">
        <w:rPr>
          <w:kern w:val="2"/>
        </w:rPr>
        <w:tab/>
        <w:t>…</w:t>
      </w:r>
    </w:p>
    <w:p w14:paraId="65EAB8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17:407.21 et seq.</w:t>
      </w:r>
    </w:p>
    <w:p w14:paraId="78A5AB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41:2588 (December 2015), amended LR 42:1875 (November 2016), LR 43:2131 (November 2017), LR 49:1716 (October 2023), LR 52:</w:t>
      </w:r>
    </w:p>
    <w:p w14:paraId="06ABFA8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99" w:name="TOC_Chap18"/>
      <w:bookmarkStart w:id="300" w:name="_Toc417576974"/>
      <w:bookmarkStart w:id="301" w:name="_Toc417577029"/>
      <w:bookmarkStart w:id="302" w:name="_Toc419194013"/>
      <w:bookmarkStart w:id="303" w:name="_Toc438552862"/>
      <w:bookmarkStart w:id="304" w:name="_Toc189142907"/>
      <w:r w:rsidRPr="006E50FF">
        <w:rPr>
          <w:b/>
          <w:kern w:val="2"/>
        </w:rPr>
        <w:t>Chapter 7.</w:t>
      </w:r>
      <w:bookmarkEnd w:id="299"/>
      <w:r w:rsidRPr="006E50FF">
        <w:rPr>
          <w:b/>
          <w:kern w:val="2"/>
        </w:rPr>
        <w:tab/>
      </w:r>
      <w:bookmarkStart w:id="305" w:name="TOCT_Chap18"/>
      <w:r w:rsidRPr="006E50FF">
        <w:rPr>
          <w:b/>
          <w:kern w:val="2"/>
        </w:rPr>
        <w:t>Coordinated Enrollment</w:t>
      </w:r>
      <w:bookmarkEnd w:id="300"/>
      <w:bookmarkEnd w:id="301"/>
      <w:bookmarkEnd w:id="302"/>
      <w:bookmarkEnd w:id="303"/>
      <w:bookmarkEnd w:id="304"/>
      <w:bookmarkEnd w:id="305"/>
    </w:p>
    <w:p w14:paraId="0EB715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06" w:name="_Toc419194015"/>
      <w:bookmarkStart w:id="307" w:name="_Toc438552864"/>
      <w:bookmarkStart w:id="308" w:name="_Toc189142909"/>
      <w:r w:rsidRPr="006E50FF">
        <w:rPr>
          <w:b/>
          <w:kern w:val="2"/>
        </w:rPr>
        <w:t>§703.</w:t>
      </w:r>
      <w:r w:rsidRPr="006E50FF">
        <w:rPr>
          <w:b/>
          <w:kern w:val="2"/>
        </w:rPr>
        <w:tab/>
        <w:t>Coordinated Enrollment Process</w:t>
      </w:r>
      <w:bookmarkEnd w:id="306"/>
      <w:bookmarkEnd w:id="307"/>
      <w:bookmarkEnd w:id="308"/>
    </w:p>
    <w:p w14:paraId="20AEEE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w:t>
      </w:r>
      <w:r w:rsidRPr="006E50FF">
        <w:rPr>
          <w:kern w:val="2"/>
        </w:rPr>
        <w:tab/>
        <w:t>…</w:t>
      </w:r>
    </w:p>
    <w:p w14:paraId="71F17A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Repealed.</w:t>
      </w:r>
    </w:p>
    <w:p w14:paraId="58074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17:407.21 et seq., and R.S. 17:407.91 et seq.</w:t>
      </w:r>
    </w:p>
    <w:p w14:paraId="2AD1F68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41:2591 (December 2015), amended LR 42:1876 (November 2016), LR 44:1443 (August 2018), LR 52:</w:t>
      </w:r>
    </w:p>
    <w:p w14:paraId="53EAAA9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09" w:name="_Toc189142920"/>
      <w:r w:rsidRPr="006E50FF">
        <w:rPr>
          <w:b/>
          <w:kern w:val="2"/>
        </w:rPr>
        <w:t>Chapter 11.</w:t>
      </w:r>
      <w:r w:rsidRPr="006E50FF">
        <w:rPr>
          <w:b/>
          <w:kern w:val="2"/>
        </w:rPr>
        <w:tab/>
        <w:t xml:space="preserve">Early Childhood Care and Education </w:t>
      </w:r>
      <w:bookmarkEnd w:id="309"/>
      <w:r w:rsidRPr="006E50FF">
        <w:rPr>
          <w:b/>
          <w:kern w:val="2"/>
        </w:rPr>
        <w:t xml:space="preserve">Commission </w:t>
      </w:r>
    </w:p>
    <w:p w14:paraId="6C9F93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10" w:name="_Toc189142921"/>
      <w:r w:rsidRPr="006E50FF">
        <w:rPr>
          <w:b/>
          <w:kern w:val="2"/>
        </w:rPr>
        <w:t>§1101.</w:t>
      </w:r>
      <w:r w:rsidRPr="006E50FF">
        <w:rPr>
          <w:b/>
          <w:kern w:val="2"/>
        </w:rPr>
        <w:tab/>
        <w:t xml:space="preserve">Early Childhood Care and Education </w:t>
      </w:r>
      <w:bookmarkEnd w:id="310"/>
      <w:r w:rsidRPr="006E50FF">
        <w:rPr>
          <w:b/>
          <w:kern w:val="2"/>
        </w:rPr>
        <w:t xml:space="preserve">Commission </w:t>
      </w:r>
    </w:p>
    <w:p w14:paraId="40E8F4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Functions.</w:t>
      </w:r>
    </w:p>
    <w:p w14:paraId="43FB9C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commission shall study and make recommendations relative to establishing a statewide vision and framework for the future of early childhood care and education in Louisiana. The commission shall provide input and guidance to BESE and the LDOE on matters pertaining to the development and implementation of rules, regulations, bulletins, policies, or standards related to all early care and education programs, including early learning centers, enrollment in early learning centers, the Cecil J. Picard LA4 Early Childhood Program, the Child Care and Development Fund Block Grant, the Child Care Assistance Program, Early Head Start, and Head Start.</w:t>
      </w:r>
    </w:p>
    <w:p w14:paraId="269D45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Prior to consideration by BESE of any rule or standard regarding early learning centers, enrollment in early learning centers, the Cecil J. Picard LA4 Early Childhood Program, the Child Care and Development Fund Block Grant, or the Child Care Assistance Program, the LDOE shall consult with and provide a draft of the proposed rules to the commission , and provide an opportunity for the commission to make recommendations.</w:t>
      </w:r>
    </w:p>
    <w:p w14:paraId="7A8EAF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Prior to submission to the United States Department of Health and Human Services, LDOE shall consult and provide a draft of the state plan for the Child Care and Development Fund and budget, and any amendments to the state plan including budget revisions, and provide an opportunity for the commission to make recommendations. Recommendations made by the commission shall be submitted to BESE.</w:t>
      </w:r>
    </w:p>
    <w:p w14:paraId="4EE883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Not later than ninety days following the end of the fiscal year, the commission shall provide a report of the findings and recommendations relative to establishing a statewide vision and framework for the future of early childhood care and education in Louisiana to the governor, the members of the legislature, the state superintendent of education, and BESE. The report shall include without limitation policy recommendations of the commission, the status of the implementation of its recommendations, and findings of the commission concerning the system performance and progress toward statewide goals. </w:t>
      </w:r>
    </w:p>
    <w:p w14:paraId="4907C8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LDOE shall provide quarterly reports to the commission on the implementation and progress, activities, and status of the Early Childhood Care and Education Network.</w:t>
      </w:r>
    </w:p>
    <w:p w14:paraId="4AA34A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Composition. The commission shall consist of members as follows:</w:t>
      </w:r>
    </w:p>
    <w:p w14:paraId="757F9A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Appointed by the Governor. </w:t>
      </w:r>
    </w:p>
    <w:p w14:paraId="3B4D961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representative of a Head Start program;</w:t>
      </w:r>
    </w:p>
    <w:p w14:paraId="2A84C2F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a child advocacy or community organization;</w:t>
      </w:r>
    </w:p>
    <w:p w14:paraId="4238047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the governor’s office;</w:t>
      </w:r>
    </w:p>
    <w:p w14:paraId="7A107D2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professional with expertise in the socioemotional development and well-being of children from birth to</w:t>
      </w:r>
      <w:r w:rsidRPr="006E50FF">
        <w:rPr>
          <w:kern w:val="2"/>
        </w:rPr>
        <w:tab/>
        <w:t>age four; and</w:t>
      </w:r>
    </w:p>
    <w:p w14:paraId="659D5FC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representative of a disability advocacy or community organization.</w:t>
      </w:r>
    </w:p>
    <w:p w14:paraId="616F90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Appointed by the speaker of the House of Representatives.</w:t>
      </w:r>
    </w:p>
    <w:p w14:paraId="100A8EA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business representative;</w:t>
      </w:r>
    </w:p>
    <w:p w14:paraId="001067E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One local school superintendent; </w:t>
      </w:r>
    </w:p>
    <w:p w14:paraId="106FCA3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One representative of a Type III early learning center; </w:t>
      </w:r>
    </w:p>
    <w:p w14:paraId="2BAD4EA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parent of a child in a publicly funded early learning center, Early Head Start Center, Head Start Center, or</w:t>
      </w:r>
      <w:r w:rsidRPr="006E50FF">
        <w:rPr>
          <w:kern w:val="2"/>
        </w:rPr>
        <w:tab/>
        <w:t xml:space="preserve">stand-alone prekindergarten program; </w:t>
      </w:r>
    </w:p>
    <w:p w14:paraId="32AF971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early care and education researcher from a public postsecondary education institution; and</w:t>
      </w:r>
    </w:p>
    <w:p w14:paraId="1544DC2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Two members of the House of Representatives.</w:t>
      </w:r>
    </w:p>
    <w:p w14:paraId="0DBE62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Appointed by the president of the Senate: </w:t>
      </w:r>
    </w:p>
    <w:p w14:paraId="5BD62B1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business representative;</w:t>
      </w:r>
    </w:p>
    <w:p w14:paraId="423FA94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local school superintendent;</w:t>
      </w:r>
    </w:p>
    <w:p w14:paraId="1F4D20A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a Type III early learning center;</w:t>
      </w:r>
    </w:p>
    <w:p w14:paraId="6CEA215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parent of a child in a publicly funded early learning center, Early Head Start, Head Start, or stand-alone prekindergarten program;</w:t>
      </w:r>
    </w:p>
    <w:p w14:paraId="6D0E3124"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representative from a Type 1 early learning center; and</w:t>
      </w:r>
    </w:p>
    <w:p w14:paraId="54801BC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Two members of the Senate.</w:t>
      </w:r>
    </w:p>
    <w:p w14:paraId="51B76C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Appointed by the commissioner of higher education: One professional or faculty member having child</w:t>
      </w:r>
      <w:r w:rsidRPr="006E50FF">
        <w:rPr>
          <w:kern w:val="2"/>
        </w:rPr>
        <w:tab/>
        <w:t xml:space="preserve">development or early childhood education expertise from a Louisiana postsecondary education institution. </w:t>
      </w:r>
    </w:p>
    <w:p w14:paraId="04D1F8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Appointed by BESE: </w:t>
      </w:r>
    </w:p>
    <w:p w14:paraId="0626E41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Two representatives of high-performing community early childhood care and education networks;</w:t>
      </w:r>
    </w:p>
    <w:p w14:paraId="1D0840F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a nonpublic school participating in a publicly funded early childhood care and education</w:t>
      </w:r>
      <w:r w:rsidRPr="006E50FF">
        <w:rPr>
          <w:kern w:val="2"/>
        </w:rPr>
        <w:tab/>
        <w:t>program;</w:t>
      </w:r>
    </w:p>
    <w:p w14:paraId="60B1D11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local education agencies operating publicly funded early childhood programs other than Head Start;</w:t>
      </w:r>
    </w:p>
    <w:p w14:paraId="20AF85D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representative from a child care resource and referral agency; and</w:t>
      </w:r>
    </w:p>
    <w:p w14:paraId="08AEA08A"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parent of a child currently enrolled in a publicly funded early learning center or prekindergarten program.</w:t>
      </w:r>
    </w:p>
    <w:p w14:paraId="2E5185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Appointed by the BESE president: One member of BESE. </w:t>
      </w:r>
    </w:p>
    <w:p w14:paraId="0872E9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Appointed by the state superintendent of education:</w:t>
      </w:r>
    </w:p>
    <w:p w14:paraId="3B61C10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representative of a family child care provider that is Child Care Assistance Program certified with academic</w:t>
      </w:r>
      <w:r w:rsidRPr="006E50FF">
        <w:rPr>
          <w:kern w:val="2"/>
        </w:rPr>
        <w:tab/>
        <w:t>approval;</w:t>
      </w:r>
    </w:p>
    <w:p w14:paraId="3035FD9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early childhood programs within the LDOE;</w:t>
      </w:r>
    </w:p>
    <w:p w14:paraId="224E1C2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the special education programs within the LDOE;</w:t>
      </w:r>
    </w:p>
    <w:p w14:paraId="299A50D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representative of a Type III early learning center;</w:t>
      </w:r>
    </w:p>
    <w:p w14:paraId="201C380D"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representative of a Type II early learning center; and</w:t>
      </w:r>
    </w:p>
    <w:p w14:paraId="759F0C6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One representative of a Head Start program, which shall be operated by a nonlocal education agency selected</w:t>
      </w:r>
      <w:r w:rsidRPr="006E50FF">
        <w:rPr>
          <w:kern w:val="2"/>
        </w:rPr>
        <w:tab/>
        <w:t>from a list of three persons nominated by the Louisiana Head Start Association.</w:t>
      </w:r>
    </w:p>
    <w:p w14:paraId="71ACE3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Appointed by the Board of Regents: </w:t>
      </w:r>
    </w:p>
    <w:p w14:paraId="10A5612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early intervention researcher from a Louisiana public postsecondary education institution;</w:t>
      </w:r>
    </w:p>
    <w:p w14:paraId="338C913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early childhood education researcher from a Louisiana public postsecondary education institution; and</w:t>
      </w:r>
    </w:p>
    <w:p w14:paraId="32AB135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staff member of the Board of Regents.</w:t>
      </w:r>
    </w:p>
    <w:p w14:paraId="6810D0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Appointed by For Providers, By Providers: One representative of a child advocacy or community organization. </w:t>
      </w:r>
    </w:p>
    <w:p w14:paraId="681538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 xml:space="preserve">Appointed by the secretary of the Louisiana Department of Health: </w:t>
      </w:r>
    </w:p>
    <w:p w14:paraId="112FF35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representative of maternal, infant, and early childhood home visitation programs with the Bureau of Family Health; and</w:t>
      </w:r>
    </w:p>
    <w:p w14:paraId="77977AF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the Early Steps program within the Bureau of Family Health.</w:t>
      </w:r>
    </w:p>
    <w:p w14:paraId="09563E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 xml:space="preserve">Appointed by the American Academy of Pediatrics, Louisiana Chapter: One representative. </w:t>
      </w:r>
    </w:p>
    <w:p w14:paraId="4C97B2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72B7C9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12.</w:t>
      </w:r>
      <w:r w:rsidRPr="006E50FF">
        <w:rPr>
          <w:kern w:val="2"/>
        </w:rPr>
        <w:tab/>
        <w:t xml:space="preserve">The director of the Louisiana Head Start Collaboration Office. </w:t>
      </w:r>
    </w:p>
    <w:p w14:paraId="0FC09F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Appointed by the president of the Center for Literacy and Learning: One early childhood development and education specialist.</w:t>
      </w:r>
    </w:p>
    <w:p w14:paraId="6BAD3D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Appointed by the chairman of the Louisiana Educational Television Authority (LETA): One member of LETA.</w:t>
      </w:r>
    </w:p>
    <w:p w14:paraId="70136A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Appointed by the chief executive officer of Leaders for a Better Louisiana: One representative of a nongovernmental economic development organization.</w:t>
      </w:r>
    </w:p>
    <w:p w14:paraId="33EFA8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Appointed by the chief executive officer of the Louisiana Policy Institute for Children: One representative of a child advocacy organization.</w:t>
      </w:r>
    </w:p>
    <w:p w14:paraId="0C0E6E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Appointed by the board of directors of the Child Care Association of Louisiana: One child care provider.</w:t>
      </w:r>
    </w:p>
    <w:p w14:paraId="20C399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18.</w:t>
      </w:r>
      <w:r w:rsidRPr="006E50FF">
        <w:rPr>
          <w:kern w:val="2"/>
        </w:rPr>
        <w:tab/>
        <w:t>The president and chief executive officer of the Louisiana Association of Business and Industry, or designee.</w:t>
      </w:r>
    </w:p>
    <w:p w14:paraId="0ADEDE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The secretary of Louisiana Works, or designee.</w:t>
      </w:r>
    </w:p>
    <w:p w14:paraId="22FF0F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The secretary of Louisiana Economic Development, or designee.</w:t>
      </w:r>
    </w:p>
    <w:p w14:paraId="2E00FF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The secretary of the Department of Children and Family Services, or designee.</w:t>
      </w:r>
    </w:p>
    <w:p w14:paraId="776619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commission shall include nonvoting ex-officio members, who may advise and contribute to discussions pertaining to early childhood care and education, including but not limited to the following:</w:t>
      </w:r>
    </w:p>
    <w:p w14:paraId="22E0F8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chairpersons of the House Committee on Education, Senate Committee on Education, House Committee on Health and Welfare, and Senate Committee on Health and Welfare, or designee.</w:t>
      </w:r>
    </w:p>
    <w:p w14:paraId="2BB819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 xml:space="preserve">Repealed. </w:t>
      </w:r>
    </w:p>
    <w:p w14:paraId="50B99D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director of the Maternal and Child Health Program at the Louisiana Department of Health.</w:t>
      </w:r>
    </w:p>
    <w:p w14:paraId="7BC8F4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director of the Child and Adult Care Food Program at the LDOE.</w:t>
      </w:r>
    </w:p>
    <w:p w14:paraId="674E05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Louisiana State Fire Marshal, or designee.</w:t>
      </w:r>
    </w:p>
    <w:p w14:paraId="374059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representative from the office of sanitarian services at the Louisiana Department of Health .</w:t>
      </w:r>
    </w:p>
    <w:p w14:paraId="3AB510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Repealed.</w:t>
      </w:r>
    </w:p>
    <w:p w14:paraId="4F4A02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w:t>
      </w:r>
    </w:p>
    <w:p w14:paraId="65531C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General Commission Membership Information</w:t>
      </w:r>
    </w:p>
    <w:p w14:paraId="4082B1D0"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1.</w:t>
      </w:r>
      <w:r w:rsidRPr="006E50FF">
        <w:rPr>
          <w:kern w:val="2"/>
        </w:rPr>
        <w:tab/>
        <w:t xml:space="preserve">Terms. Members shall serve a term of four years from the date of appointment. However, the term of a member appointed by an elected official shall not extend beyond the term of the appointing authority. </w:t>
      </w:r>
    </w:p>
    <w:p w14:paraId="70EC5E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Vacancies. A vacancy in the membership of the commission shall be filled in the same manner as the original appointment. </w:t>
      </w:r>
    </w:p>
    <w:p w14:paraId="36DF97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Proxy. Any person serving on an advisory commission who cannot attend a scheduled meeting may designate a person to attend as proxy.</w:t>
      </w:r>
    </w:p>
    <w:p w14:paraId="3AB267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6947BE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Action. The affirmative vote of a majority of the voting members present shall be necessary for any action taken by the commission. </w:t>
      </w:r>
    </w:p>
    <w:p w14:paraId="0073D5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w:t>
      </w:r>
    </w:p>
    <w:p w14:paraId="76E0B5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 - 7.a.</w:t>
      </w:r>
      <w:r w:rsidRPr="006E50FF">
        <w:rPr>
          <w:kern w:val="2"/>
        </w:rPr>
        <w:tab/>
        <w:t>Repealed</w:t>
      </w:r>
    </w:p>
    <w:p w14:paraId="258EF3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Chair. Voting members of the commission shall elect a chair and co-chair to provide for effective governance.</w:t>
      </w:r>
    </w:p>
    <w:p w14:paraId="7824BA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Repealed.</w:t>
      </w:r>
    </w:p>
    <w:p w14:paraId="3411ED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Meetings, The commission shall meet at least quarterly, with the meetings to be called by the chair or the state superintendent as needed.</w:t>
      </w:r>
    </w:p>
    <w:p w14:paraId="2EE350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Repealed.</w:t>
      </w:r>
    </w:p>
    <w:p w14:paraId="619EF5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17:6.1 and R.S. 17:407.101.</w:t>
      </w:r>
    </w:p>
    <w:p w14:paraId="2A29F3D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48:2092 (August 2022), amended LR 51:36 (January 2025), LR 52:</w:t>
      </w:r>
    </w:p>
    <w:p w14:paraId="267D5096" w14:textId="77777777" w:rsidR="006E50FF" w:rsidRPr="006E50FF" w:rsidRDefault="006E50FF" w:rsidP="006E50FF">
      <w:pPr>
        <w:keepNext/>
        <w:jc w:val="center"/>
        <w:rPr>
          <w:b/>
          <w:kern w:val="28"/>
        </w:rPr>
      </w:pPr>
      <w:r w:rsidRPr="006E50FF">
        <w:rPr>
          <w:b/>
          <w:kern w:val="28"/>
        </w:rPr>
        <w:t>Family Impact Statement</w:t>
      </w:r>
    </w:p>
    <w:p w14:paraId="308942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1CBC1D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77C576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6D5EBC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667DCA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02DB16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29F87D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3D060856" w14:textId="77777777" w:rsidR="006E50FF" w:rsidRPr="006E50FF" w:rsidRDefault="006E50FF" w:rsidP="006E50FF">
      <w:pPr>
        <w:keepNext/>
        <w:jc w:val="center"/>
        <w:rPr>
          <w:b/>
          <w:kern w:val="28"/>
        </w:rPr>
      </w:pPr>
      <w:r w:rsidRPr="006E50FF">
        <w:rPr>
          <w:b/>
          <w:kern w:val="28"/>
        </w:rPr>
        <w:t>Poverty Impact Statement</w:t>
      </w:r>
    </w:p>
    <w:p w14:paraId="2B7AA9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rules proposed for adoption, amendment, or repeal. All Poverty Impact Statements will be in writing and kept on file in the state agency which has adopted, amended, or repealed rules in accordance with the applicable provisions of the law relating to public records. For the purposes of this section, the word “poverty” means living at or below 100 percent of the federal poverty line.</w:t>
      </w:r>
    </w:p>
    <w:p w14:paraId="1BBCE1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3812D5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Yes.</w:t>
      </w:r>
    </w:p>
    <w:p w14:paraId="458B68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102FA4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0EC6D8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Yes.</w:t>
      </w:r>
    </w:p>
    <w:p w14:paraId="7D613FF1" w14:textId="77777777" w:rsidR="006E50FF" w:rsidRPr="006E50FF" w:rsidRDefault="006E50FF" w:rsidP="006E50FF">
      <w:pPr>
        <w:keepNext/>
        <w:jc w:val="center"/>
        <w:rPr>
          <w:b/>
          <w:kern w:val="28"/>
        </w:rPr>
      </w:pPr>
      <w:r w:rsidRPr="006E50FF">
        <w:rPr>
          <w:b/>
          <w:kern w:val="28"/>
        </w:rPr>
        <w:t>Small Business Analysis</w:t>
      </w:r>
    </w:p>
    <w:p w14:paraId="16DF06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05159350" w14:textId="77777777" w:rsidR="006E50FF" w:rsidRPr="006E50FF" w:rsidRDefault="006E50FF" w:rsidP="006E50FF">
      <w:pPr>
        <w:keepNext/>
        <w:jc w:val="center"/>
        <w:rPr>
          <w:b/>
          <w:kern w:val="28"/>
        </w:rPr>
      </w:pPr>
      <w:r w:rsidRPr="006E50FF">
        <w:rPr>
          <w:b/>
          <w:kern w:val="28"/>
        </w:rPr>
        <w:lastRenderedPageBreak/>
        <w:t>Provider Impact Statement</w:t>
      </w:r>
    </w:p>
    <w:p w14:paraId="27C122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375767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2F35B8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3AE68F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3A0CB79B" w14:textId="77777777" w:rsidR="006E50FF" w:rsidRPr="006E50FF" w:rsidRDefault="006E50FF" w:rsidP="006E50FF">
      <w:pPr>
        <w:keepNext/>
        <w:jc w:val="center"/>
        <w:rPr>
          <w:b/>
          <w:kern w:val="28"/>
        </w:rPr>
      </w:pPr>
      <w:r w:rsidRPr="006E50FF">
        <w:rPr>
          <w:b/>
          <w:kern w:val="28"/>
        </w:rPr>
        <w:t>Public Comments</w:t>
      </w:r>
    </w:p>
    <w:p w14:paraId="14EC83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506ACB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C0AFD6D" w14:textId="77777777" w:rsidR="006E50FF" w:rsidRPr="006E50FF" w:rsidRDefault="006E50FF" w:rsidP="006E50FF">
      <w:pPr>
        <w:keepNext/>
        <w:ind w:left="2160"/>
        <w:jc w:val="both"/>
      </w:pPr>
      <w:r w:rsidRPr="006E50FF">
        <w:t>Tavares A. Walker</w:t>
      </w:r>
    </w:p>
    <w:p w14:paraId="3CA8F67F" w14:textId="77777777" w:rsidR="006E50FF" w:rsidRPr="006E50FF" w:rsidRDefault="006E50FF" w:rsidP="006E50FF">
      <w:pPr>
        <w:keepNext/>
        <w:ind w:left="2160"/>
        <w:jc w:val="both"/>
      </w:pPr>
      <w:r w:rsidRPr="006E50FF">
        <w:t>Executive Director</w:t>
      </w:r>
    </w:p>
    <w:p w14:paraId="39052CF2" w14:textId="77777777" w:rsidR="006E50FF" w:rsidRPr="006E50FF" w:rsidRDefault="006E50FF" w:rsidP="006E50FF">
      <w:pPr>
        <w:keepNext/>
        <w:jc w:val="center"/>
        <w:rPr>
          <w:b/>
        </w:rPr>
      </w:pPr>
    </w:p>
    <w:p w14:paraId="169A0C58" w14:textId="77777777" w:rsidR="006E50FF" w:rsidRPr="006E50FF" w:rsidRDefault="006E50FF" w:rsidP="006E50FF">
      <w:pPr>
        <w:keepNext/>
        <w:jc w:val="center"/>
        <w:rPr>
          <w:b/>
        </w:rPr>
      </w:pPr>
      <w:r w:rsidRPr="006E50FF">
        <w:rPr>
          <w:b/>
        </w:rPr>
        <w:t>FISCAL AND ECONOMIC IMPACT STATEMENT FOR ADMINISTRATIVE RULES</w:t>
      </w:r>
    </w:p>
    <w:p w14:paraId="2ED849F0" w14:textId="77777777" w:rsidR="006E50FF" w:rsidRPr="006E50FF" w:rsidRDefault="006E50FF" w:rsidP="006E50FF">
      <w:pPr>
        <w:keepNext/>
        <w:jc w:val="center"/>
        <w:rPr>
          <w:b/>
          <w:noProof/>
        </w:rPr>
      </w:pPr>
      <w:r w:rsidRPr="006E50FF">
        <w:rPr>
          <w:b/>
          <w:noProof/>
        </w:rPr>
        <w:t>RULE TITLE:  Early Childhood</w:t>
      </w:r>
    </w:p>
    <w:p w14:paraId="3A9937F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3057014"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2A96537" w14:textId="77777777" w:rsidR="006E50FF" w:rsidRPr="006E50FF" w:rsidRDefault="006E50FF" w:rsidP="006E50FF">
      <w:pPr>
        <w:ind w:left="288" w:firstLine="288"/>
        <w:jc w:val="both"/>
        <w:rPr>
          <w:noProof/>
          <w:sz w:val="18"/>
        </w:rPr>
      </w:pPr>
      <w:r w:rsidRPr="006E50FF">
        <w:rPr>
          <w:noProof/>
          <w:sz w:val="18"/>
        </w:rPr>
        <w:t xml:space="preserve">Local education agencies (LEAs) that operate affected early learning centers or schools with attached prekindergarten programs may incur costs as a result of the proposed rule change, which amends LAC 28:CLXI, to implement Acts 893 of the 2026 Regular Session. The proposed rule change, in accordance with Act 893, requires hazard risk assessments be conducted as a part of an initial application to operate as an early learning center. </w:t>
      </w:r>
    </w:p>
    <w:p w14:paraId="579CC06D" w14:textId="77777777" w:rsidR="006E50FF" w:rsidRPr="006E50FF" w:rsidRDefault="006E50FF" w:rsidP="006E50FF">
      <w:pPr>
        <w:ind w:left="288" w:firstLine="288"/>
        <w:jc w:val="both"/>
        <w:rPr>
          <w:noProof/>
          <w:sz w:val="18"/>
        </w:rPr>
      </w:pPr>
      <w:r w:rsidRPr="006E50FF">
        <w:rPr>
          <w:noProof/>
          <w:sz w:val="18"/>
        </w:rPr>
        <w:t>The Department of Environmental Quality will incur a one-time cost of approximately $50,000 to $100,000 to modify its permitting software to receive and track lead hazard risk assessment results, with any additional workload associated with follow-up inspections being indeterminable. Act 3 of the 2026 RS (General Appropriations Bill) appropriated $115,000 in SGR from the Lead Hazard Reduction Dedicated Fund Account for this purpose.</w:t>
      </w:r>
    </w:p>
    <w:p w14:paraId="338F0072" w14:textId="77777777" w:rsidR="006E50FF" w:rsidRPr="006E50FF" w:rsidRDefault="006E50FF" w:rsidP="006E50FF">
      <w:pPr>
        <w:ind w:left="288" w:firstLine="288"/>
        <w:jc w:val="both"/>
        <w:rPr>
          <w:sz w:val="18"/>
        </w:rPr>
      </w:pPr>
      <w:r w:rsidRPr="006E50FF">
        <w:rPr>
          <w:sz w:val="18"/>
        </w:rPr>
        <w:t>There are no anticipated implementation costs or savings to the Louisiana Department of Education (LDOE). The department will collect the lead hazard risk assessment results required by Act 893 as part of the existing initial license application review, will provide the notice that act directs, and will support the consolidated Early Childhood Care and Education Commission, all using existing staff and previously appropriated funds.</w:t>
      </w:r>
    </w:p>
    <w:p w14:paraId="1010F001"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4D420FD"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090286D2"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0FAD1F9" w14:textId="77777777" w:rsidR="006E50FF" w:rsidRPr="006E50FF" w:rsidRDefault="006E50FF" w:rsidP="006E50FF">
      <w:pPr>
        <w:ind w:left="288" w:firstLine="288"/>
        <w:jc w:val="both"/>
        <w:rPr>
          <w:sz w:val="18"/>
        </w:rPr>
      </w:pPr>
      <w:r w:rsidRPr="006E50FF">
        <w:rPr>
          <w:sz w:val="18"/>
        </w:rPr>
        <w:t>Prospective owners, operators, of early learning centers whose sites are first placed in operation on or after August 1, 2026, will incur the cost of a lead hazard risk assessment of the facility and grounds, and the cost of lead hazard control methods where hazards are found. That cost is imposed by Act 893 and R.S. 30:2351.28 rather than by this rule, which conforms the licensing regulations to the statute. The cost varies with the size, age, and condition of each facility, and is indeterminable. No assessment is required where the facility or its grounds has been inspected, has had a risk assessment, or has been the subject of lead abatement or remediation since 1978, and no further testing is required once the absence of lead hazards is documented.</w:t>
      </w:r>
    </w:p>
    <w:p w14:paraId="71561352"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E303724" w14:textId="77777777" w:rsidR="006E50FF" w:rsidRPr="006E50FF" w:rsidRDefault="006E50FF" w:rsidP="006E50FF">
      <w:pPr>
        <w:ind w:left="288" w:firstLine="288"/>
        <w:jc w:val="both"/>
        <w:rPr>
          <w:sz w:val="18"/>
        </w:rPr>
      </w:pPr>
      <w:r w:rsidRPr="006E50FF">
        <w:rPr>
          <w:sz w:val="18"/>
        </w:rPr>
        <w:t>The lead hazard risk assessment requirement applies uniformly to all early learning centers whose sites are first placed in operation on or after August 1, 2026, so it does not advantage any provider over another. Licensed lead risk assessors certified by the Department of Environmental Quality may experience some additional demand for their services; any such effect is indeterminable.</w:t>
      </w:r>
    </w:p>
    <w:p w14:paraId="6AC0076A" w14:textId="77777777" w:rsidR="006E50FF" w:rsidRPr="006E50FF" w:rsidRDefault="006E50FF" w:rsidP="006E50FF">
      <w:pPr>
        <w:ind w:left="288" w:firstLine="288"/>
        <w:jc w:val="both"/>
        <w:rPr>
          <w:sz w:val="18"/>
        </w:rPr>
      </w:pPr>
    </w:p>
    <w:p w14:paraId="63E95535"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0976BB15"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2AF3CC87" w14:textId="77777777" w:rsidR="006E50FF" w:rsidRPr="006E50FF" w:rsidRDefault="006E50FF" w:rsidP="006E50FF">
      <w:pPr>
        <w:tabs>
          <w:tab w:val="left" w:pos="2880"/>
          <w:tab w:val="decimal" w:pos="2988"/>
        </w:tabs>
        <w:outlineLvl w:val="8"/>
        <w:rPr>
          <w:kern w:val="2"/>
          <w:sz w:val="18"/>
        </w:rPr>
      </w:pPr>
      <w:r w:rsidRPr="006E50FF">
        <w:rPr>
          <w:noProof/>
          <w:sz w:val="16"/>
        </w:rPr>
        <w:t>2609#073</w:t>
      </w:r>
      <w:r w:rsidRPr="006E50FF">
        <w:rPr>
          <w:kern w:val="2"/>
        </w:rPr>
        <w:tab/>
      </w:r>
      <w:r w:rsidRPr="006E50FF">
        <w:rPr>
          <w:kern w:val="2"/>
          <w:sz w:val="18"/>
        </w:rPr>
        <w:t>Legislative Fiscal Office</w:t>
      </w:r>
    </w:p>
    <w:p w14:paraId="65FA1DD9" w14:textId="77777777" w:rsidR="006E50FF" w:rsidRPr="006E50FF" w:rsidRDefault="006E50FF" w:rsidP="006E50FF"/>
    <w:p w14:paraId="4758009F"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61CB818" w14:textId="77777777" w:rsidR="006E50FF" w:rsidRPr="006E50FF" w:rsidRDefault="006E50FF" w:rsidP="006E50FF">
      <w:pPr>
        <w:keepNext/>
        <w:jc w:val="center"/>
        <w:rPr>
          <w:b/>
          <w:noProof/>
        </w:rPr>
      </w:pPr>
      <w:r w:rsidRPr="006E50FF">
        <w:rPr>
          <w:b/>
          <w:noProof/>
        </w:rPr>
        <w:t>Board of Elementary and Secondary Education</w:t>
      </w:r>
    </w:p>
    <w:p w14:paraId="66CF2C82" w14:textId="77777777" w:rsidR="006E50FF" w:rsidRPr="006E50FF" w:rsidRDefault="006E50FF" w:rsidP="006E50FF">
      <w:pPr>
        <w:keepNext/>
        <w:spacing w:before="240" w:after="240"/>
        <w:jc w:val="center"/>
        <w:rPr>
          <w:i/>
          <w:noProof/>
        </w:rPr>
      </w:pPr>
      <w:r w:rsidRPr="006E50FF">
        <w:rPr>
          <w:noProof/>
        </w:rPr>
        <w:t>Math and ELA Content Standards</w:t>
      </w:r>
      <w:r w:rsidRPr="006E50FF">
        <w:rPr>
          <w:noProof/>
        </w:rPr>
        <w:br/>
        <w:t xml:space="preserve">(LAC 28:CXLII.Chapters 3, 5, 7, 9, 11, 13, </w:t>
      </w:r>
      <w:r w:rsidRPr="006E50FF">
        <w:rPr>
          <w:noProof/>
        </w:rPr>
        <w:br/>
        <w:t xml:space="preserve">15, 17, 21, 23, 27, 29, 31, 33, 35, and 37; </w:t>
      </w:r>
      <w:r w:rsidRPr="006E50FF">
        <w:rPr>
          <w:noProof/>
        </w:rPr>
        <w:br/>
        <w:t>LAC 28:CLXIX.Chapters 3, 5, 7, 11, 13, 15, 21, and 23)</w:t>
      </w:r>
    </w:p>
    <w:p w14:paraId="34EB75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amend LAC 28:CXLII in </w:t>
      </w:r>
      <w:r w:rsidRPr="006E50FF">
        <w:rPr>
          <w:i/>
          <w:kern w:val="2"/>
        </w:rPr>
        <w:t>Bulletin 142—Louisiana Mathematics Student Standards</w:t>
      </w:r>
      <w:r w:rsidRPr="006E50FF">
        <w:rPr>
          <w:kern w:val="2"/>
        </w:rPr>
        <w:t xml:space="preserve"> and LAC 28:CLXIX in </w:t>
      </w:r>
      <w:r w:rsidRPr="006E50FF">
        <w:rPr>
          <w:i/>
          <w:kern w:val="2"/>
        </w:rPr>
        <w:t>Bulletin 169—Louisiana English Language Arts Student Standards</w:t>
      </w:r>
      <w:r w:rsidRPr="006E50FF">
        <w:rPr>
          <w:kern w:val="2"/>
        </w:rPr>
        <w:t>. Board of Elementary and Secondary Education (BESE) policy requires that Louisiana content standards are periodically reviewed and revised to maintain rigor and high expectations for teaching and learning. The proposed revisions refine the mathematics and English language arts student standards adopted in July 2026, clarifying standard language, correcting grade-level designations, aligning parallel standards across courses, and removing illustrative examples that are more appropriately addressed through instructional guidance than through the standards themselves.</w:t>
      </w:r>
    </w:p>
    <w:p w14:paraId="4806CBFF" w14:textId="77777777" w:rsidR="006E50FF" w:rsidRPr="006E50FF" w:rsidRDefault="006E50FF" w:rsidP="006E50FF">
      <w:pPr>
        <w:keepNext/>
        <w:jc w:val="center"/>
        <w:rPr>
          <w:b/>
          <w:kern w:val="28"/>
        </w:rPr>
      </w:pPr>
      <w:r w:rsidRPr="006E50FF">
        <w:rPr>
          <w:b/>
          <w:kern w:val="28"/>
        </w:rPr>
        <w:t xml:space="preserve">Title </w:t>
      </w:r>
      <w:bookmarkStart w:id="311" w:name="TitleNumber"/>
      <w:r w:rsidRPr="006E50FF">
        <w:rPr>
          <w:b/>
          <w:kern w:val="28"/>
        </w:rPr>
        <w:t>28</w:t>
      </w:r>
      <w:bookmarkEnd w:id="311"/>
    </w:p>
    <w:p w14:paraId="47CCC715" w14:textId="77777777" w:rsidR="006E50FF" w:rsidRPr="006E50FF" w:rsidRDefault="006E50FF" w:rsidP="006E50FF">
      <w:pPr>
        <w:keepNext/>
        <w:jc w:val="center"/>
        <w:rPr>
          <w:b/>
          <w:kern w:val="28"/>
        </w:rPr>
      </w:pPr>
      <w:bookmarkStart w:id="312" w:name="TitleName"/>
      <w:r w:rsidRPr="006E50FF">
        <w:rPr>
          <w:b/>
          <w:kern w:val="28"/>
        </w:rPr>
        <w:t>EDUCATION</w:t>
      </w:r>
      <w:bookmarkEnd w:id="312"/>
    </w:p>
    <w:p w14:paraId="15FE5B7B" w14:textId="77777777" w:rsidR="006E50FF" w:rsidRPr="006E50FF" w:rsidRDefault="006E50FF" w:rsidP="006E50FF">
      <w:pPr>
        <w:keepNext/>
        <w:jc w:val="center"/>
        <w:rPr>
          <w:b/>
          <w:noProof/>
        </w:rPr>
      </w:pPr>
      <w:bookmarkStart w:id="313" w:name="_Toc235604748"/>
      <w:bookmarkStart w:id="314" w:name="_Toc235600530"/>
      <w:bookmarkStart w:id="315" w:name="_Toc456693321"/>
      <w:r w:rsidRPr="006E50FF">
        <w:rPr>
          <w:b/>
          <w:noProof/>
        </w:rPr>
        <w:t>Part CXLII.  Bulletin 142—Louisiana Mathematics Student Standards</w:t>
      </w:r>
      <w:bookmarkEnd w:id="313"/>
      <w:bookmarkEnd w:id="314"/>
      <w:bookmarkEnd w:id="315"/>
    </w:p>
    <w:p w14:paraId="5A0831E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16" w:name="_Toc235604752"/>
      <w:r w:rsidRPr="006E50FF">
        <w:rPr>
          <w:b/>
          <w:kern w:val="2"/>
        </w:rPr>
        <w:t>Chapter 3.</w:t>
      </w:r>
      <w:r w:rsidRPr="006E50FF">
        <w:rPr>
          <w:b/>
          <w:kern w:val="2"/>
        </w:rPr>
        <w:tab/>
        <w:t>Kindergarten</w:t>
      </w:r>
      <w:bookmarkEnd w:id="316"/>
    </w:p>
    <w:p w14:paraId="076F82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17" w:name="_Toc235604754"/>
      <w:r w:rsidRPr="006E50FF">
        <w:rPr>
          <w:b/>
          <w:kern w:val="2"/>
        </w:rPr>
        <w:t>§303.</w:t>
      </w:r>
      <w:r w:rsidRPr="006E50FF">
        <w:rPr>
          <w:b/>
          <w:kern w:val="2"/>
        </w:rPr>
        <w:tab/>
        <w:t>Numeracy and Operational Fluency</w:t>
      </w:r>
      <w:bookmarkEnd w:id="317"/>
    </w:p>
    <w:p w14:paraId="5BE58D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10845B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Compare sets of objects up to and including 20 in each set using comparative language, e.g., by using matching and counting strategies.</w:t>
      </w:r>
    </w:p>
    <w:p w14:paraId="40B459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C.2. - E.1.c.</w:t>
      </w:r>
      <w:r w:rsidRPr="006E50FF">
        <w:rPr>
          <w:kern w:val="2"/>
        </w:rPr>
        <w:tab/>
        <w:t>…</w:t>
      </w:r>
    </w:p>
    <w:p w14:paraId="61E831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3ADA6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Board of Elementary and Secondary Education, LR 52:1129 (July 2026), amended LR 52:</w:t>
      </w:r>
    </w:p>
    <w:p w14:paraId="57E49E0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18" w:name="_Toc235604758"/>
      <w:r w:rsidRPr="006E50FF">
        <w:rPr>
          <w:b/>
          <w:kern w:val="2"/>
        </w:rPr>
        <w:t>Chapter 5.</w:t>
      </w:r>
      <w:r w:rsidRPr="006E50FF">
        <w:rPr>
          <w:b/>
          <w:kern w:val="2"/>
        </w:rPr>
        <w:tab/>
        <w:t>Grade</w:t>
      </w:r>
      <w:bookmarkEnd w:id="318"/>
      <w:r w:rsidRPr="006E50FF">
        <w:rPr>
          <w:b/>
          <w:kern w:val="2"/>
        </w:rPr>
        <w:t xml:space="preserve"> 1</w:t>
      </w:r>
    </w:p>
    <w:p w14:paraId="788E41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19" w:name="_Toc235604761"/>
      <w:r w:rsidRPr="006E50FF">
        <w:rPr>
          <w:b/>
          <w:kern w:val="2"/>
        </w:rPr>
        <w:t>§505.</w:t>
      </w:r>
      <w:r w:rsidRPr="006E50FF">
        <w:rPr>
          <w:b/>
          <w:kern w:val="2"/>
        </w:rPr>
        <w:tab/>
        <w:t>Algebraic Reasoning</w:t>
      </w:r>
      <w:bookmarkEnd w:id="319"/>
    </w:p>
    <w:p w14:paraId="0467AA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1802D9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Add one- and two-digit numbers within the range of 0-99, including adding a two-digit number and a one-digit number, and adding a two-digit number and a multiple of 10.</w:t>
      </w:r>
    </w:p>
    <w:p w14:paraId="4067167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 concrete models or drawings and strategies based on place value, properties of operations, and the part:whole relationship between addition and subtraction to add and subtract; relate the strategy to a number sentence.</w:t>
      </w:r>
    </w:p>
    <w:p w14:paraId="4DD512D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Understand that in adding two-digit numbers, one must add tens and tens, ones and ones; and sometimes it is necessary to compose a ten.</w:t>
      </w:r>
    </w:p>
    <w:p w14:paraId="0241A75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Justify the reasoning of methods for addition used with an oral or written explanation.</w:t>
      </w:r>
    </w:p>
    <w:p w14:paraId="2BBE77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- 2.a.</w:t>
      </w:r>
      <w:r w:rsidRPr="006E50FF">
        <w:rPr>
          <w:kern w:val="2"/>
        </w:rPr>
        <w:tab/>
        <w:t>…</w:t>
      </w:r>
    </w:p>
    <w:p w14:paraId="44E8EB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6A592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52:1130 (July 2026), amended LR 52:</w:t>
      </w:r>
    </w:p>
    <w:p w14:paraId="08DF018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0" w:name="_Toc235604763"/>
      <w:r w:rsidRPr="006E50FF">
        <w:rPr>
          <w:b/>
          <w:kern w:val="2"/>
        </w:rPr>
        <w:t>§509.</w:t>
      </w:r>
      <w:r w:rsidRPr="006E50FF">
        <w:rPr>
          <w:b/>
          <w:kern w:val="2"/>
        </w:rPr>
        <w:tab/>
        <w:t>Data Analysis and Measurement</w:t>
      </w:r>
      <w:bookmarkEnd w:id="320"/>
    </w:p>
    <w:p w14:paraId="6E49CD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205FF86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Understand that the length measurement of an object is the number of same-size length units that span the distance with no gaps or overlaps.</w:t>
      </w:r>
    </w:p>
    <w:p w14:paraId="1CC8B7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5B27D8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Use tally marks and t-charts, and tables with up to three categories to: </w:t>
      </w:r>
    </w:p>
    <w:p w14:paraId="229EAFE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Create bar graphs and picture graphs to represent data precisely with accurate scaling within a scale of 1 or 2.</w:t>
      </w:r>
    </w:p>
    <w:p w14:paraId="3CCE85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Interpret data represented in a chart or graph by asking and answering questions about the total number of data points, how many are in each category, and how many more or less are in one category than in another.</w:t>
      </w:r>
    </w:p>
    <w:p w14:paraId="59E88B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494E31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Determine the value of a collection of coins up to 50 cents, including groups of pennies, nickels, dimes, and quarters in isolation; not to include a combination of different coins.</w:t>
      </w:r>
    </w:p>
    <w:p w14:paraId="57CD49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9792E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52:1131 (July 2026), amended LR 52:</w:t>
      </w:r>
    </w:p>
    <w:p w14:paraId="38F4F5D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1" w:name="_Toc235604764"/>
      <w:r w:rsidRPr="006E50FF">
        <w:rPr>
          <w:b/>
          <w:kern w:val="2"/>
        </w:rPr>
        <w:t>Chapter 7.</w:t>
      </w:r>
      <w:r w:rsidRPr="006E50FF">
        <w:rPr>
          <w:b/>
          <w:kern w:val="2"/>
        </w:rPr>
        <w:tab/>
        <w:t>Grade</w:t>
      </w:r>
      <w:bookmarkEnd w:id="321"/>
      <w:r w:rsidRPr="006E50FF">
        <w:rPr>
          <w:b/>
          <w:kern w:val="2"/>
        </w:rPr>
        <w:t xml:space="preserve"> 2</w:t>
      </w:r>
    </w:p>
    <w:p w14:paraId="2888E2C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2" w:name="_Toc235604767"/>
      <w:r w:rsidRPr="006E50FF">
        <w:rPr>
          <w:b/>
          <w:kern w:val="2"/>
        </w:rPr>
        <w:t>§705.</w:t>
      </w:r>
      <w:r w:rsidRPr="006E50FF">
        <w:rPr>
          <w:b/>
          <w:kern w:val="2"/>
        </w:rPr>
        <w:tab/>
        <w:t>Algebraic Reasoning</w:t>
      </w:r>
      <w:bookmarkEnd w:id="322"/>
    </w:p>
    <w:p w14:paraId="267178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A.2.a.</w:t>
      </w:r>
      <w:r w:rsidRPr="006E50FF">
        <w:rPr>
          <w:kern w:val="2"/>
        </w:rPr>
        <w:tab/>
        <w:t>…</w:t>
      </w:r>
    </w:p>
    <w:p w14:paraId="6A35839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Justify reasoning with a written explanation when choosing a model or strategy to add or subtract. </w:t>
      </w:r>
    </w:p>
    <w:p w14:paraId="2205BCCE" w14:textId="77777777" w:rsidR="006E50FF" w:rsidRPr="006E50FF" w:rsidRDefault="006E50FF" w:rsidP="006E50FF">
      <w:pPr>
        <w:tabs>
          <w:tab w:val="left" w:pos="144"/>
          <w:tab w:val="left" w:pos="187"/>
          <w:tab w:val="left" w:pos="540"/>
          <w:tab w:val="left" w:pos="907"/>
          <w:tab w:val="left" w:pos="1170"/>
        </w:tabs>
        <w:ind w:firstLine="187"/>
        <w:jc w:val="both"/>
        <w:outlineLvl w:val="3"/>
        <w:rPr>
          <w:kern w:val="2"/>
        </w:rPr>
      </w:pPr>
      <w:r w:rsidRPr="006E50FF">
        <w:rPr>
          <w:kern w:val="2"/>
        </w:rPr>
        <w:t>B. - B.2.a.</w:t>
      </w:r>
      <w:r w:rsidRPr="006E50FF">
        <w:rPr>
          <w:kern w:val="2"/>
        </w:rPr>
        <w:tab/>
        <w:t>…</w:t>
      </w:r>
    </w:p>
    <w:p w14:paraId="5128DD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7D435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52:1132 (July 2026), amended LR 52:</w:t>
      </w:r>
    </w:p>
    <w:p w14:paraId="1315AE5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3" w:name="_Toc235604768"/>
      <w:r w:rsidRPr="006E50FF">
        <w:rPr>
          <w:b/>
          <w:kern w:val="2"/>
        </w:rPr>
        <w:t>§707.</w:t>
      </w:r>
      <w:r w:rsidRPr="006E50FF">
        <w:rPr>
          <w:b/>
          <w:kern w:val="2"/>
        </w:rPr>
        <w:tab/>
        <w:t>Geometric Reasoning and Logic</w:t>
      </w:r>
      <w:bookmarkEnd w:id="323"/>
    </w:p>
    <w:p w14:paraId="41CE31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1E5EF1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Partition a rectangle into rows and columns of same-size units, interpreting both as a collection of units and as single units, and count to find the total number units. The rectangle should not be divided up into more than 5 columns and 5 rows to correlate with 2.AR.B.2.</w:t>
      </w:r>
    </w:p>
    <w:p w14:paraId="3B6EF3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 - 3.a.</w:t>
      </w:r>
      <w:r w:rsidRPr="006E50FF">
        <w:rPr>
          <w:kern w:val="2"/>
        </w:rPr>
        <w:tab/>
        <w:t>…</w:t>
      </w:r>
    </w:p>
    <w:p w14:paraId="2A853D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54870C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52:1132 (July 2026), amended LR 52:</w:t>
      </w:r>
    </w:p>
    <w:p w14:paraId="5BF4B1F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4" w:name="_Toc235604770"/>
      <w:r w:rsidRPr="006E50FF">
        <w:rPr>
          <w:b/>
          <w:kern w:val="2"/>
        </w:rPr>
        <w:t>Chapter 9.</w:t>
      </w:r>
      <w:r w:rsidRPr="006E50FF">
        <w:rPr>
          <w:b/>
          <w:kern w:val="2"/>
        </w:rPr>
        <w:tab/>
        <w:t>Grade</w:t>
      </w:r>
      <w:bookmarkEnd w:id="324"/>
      <w:r w:rsidRPr="006E50FF">
        <w:rPr>
          <w:b/>
          <w:kern w:val="2"/>
        </w:rPr>
        <w:t xml:space="preserve"> 3</w:t>
      </w:r>
    </w:p>
    <w:p w14:paraId="555B96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5" w:name="_Toc235604771"/>
      <w:r w:rsidRPr="006E50FF">
        <w:rPr>
          <w:b/>
          <w:kern w:val="2"/>
        </w:rPr>
        <w:t>§901.</w:t>
      </w:r>
      <w:r w:rsidRPr="006E50FF">
        <w:rPr>
          <w:b/>
          <w:kern w:val="2"/>
        </w:rPr>
        <w:tab/>
        <w:t>Grade Level Foundational Skills</w:t>
      </w:r>
      <w:bookmarkEnd w:id="325"/>
    </w:p>
    <w:p w14:paraId="35B853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7B6C7D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Compare numbers up to 100,000, identifying which are greater than, less than, or equal to each other.</w:t>
      </w:r>
    </w:p>
    <w:p w14:paraId="0C04A0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t>
      </w:r>
    </w:p>
    <w:p w14:paraId="2899A1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Identify equivalent fractions with denominators limited to 2, 3, 4, 6, and 8.</w:t>
      </w:r>
    </w:p>
    <w:p w14:paraId="28DC55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7C6C9F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52:1133 (July 2026), amended LR 52:</w:t>
      </w:r>
    </w:p>
    <w:p w14:paraId="103EAA2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6" w:name="_Toc235604772"/>
      <w:r w:rsidRPr="006E50FF">
        <w:rPr>
          <w:b/>
          <w:kern w:val="2"/>
        </w:rPr>
        <w:t>§903.</w:t>
      </w:r>
      <w:r w:rsidRPr="006E50FF">
        <w:rPr>
          <w:b/>
          <w:kern w:val="2"/>
        </w:rPr>
        <w:tab/>
        <w:t>Numeracy and Operational Fluency</w:t>
      </w:r>
      <w:bookmarkEnd w:id="326"/>
    </w:p>
    <w:p w14:paraId="4F124E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C.1.a.</w:t>
      </w:r>
      <w:r w:rsidRPr="006E50FF">
        <w:rPr>
          <w:kern w:val="2"/>
        </w:rPr>
        <w:tab/>
        <w:t>…</w:t>
      </w:r>
    </w:p>
    <w:p w14:paraId="0C4AC3D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Use estimation to reason about solutions to real-world mathematical tasks.</w:t>
      </w:r>
    </w:p>
    <w:p w14:paraId="2B47CF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- 3.</w:t>
      </w:r>
      <w:r w:rsidRPr="006E50FF">
        <w:rPr>
          <w:kern w:val="2"/>
        </w:rPr>
        <w:tab/>
        <w:t>…</w:t>
      </w:r>
    </w:p>
    <w:p w14:paraId="7CFA89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268219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52:1132 (July 2026), amended LR 52:</w:t>
      </w:r>
    </w:p>
    <w:p w14:paraId="5FDE94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7" w:name="_Toc235604773"/>
      <w:r w:rsidRPr="006E50FF">
        <w:rPr>
          <w:b/>
          <w:kern w:val="2"/>
        </w:rPr>
        <w:t>§905.</w:t>
      </w:r>
      <w:r w:rsidRPr="006E50FF">
        <w:rPr>
          <w:b/>
          <w:kern w:val="2"/>
        </w:rPr>
        <w:tab/>
        <w:t>Algebraic Reasoning</w:t>
      </w:r>
      <w:bookmarkEnd w:id="327"/>
    </w:p>
    <w:p w14:paraId="78EB0E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C8AEE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Interpret products of whole numbers and interpret whole number factors.</w:t>
      </w:r>
    </w:p>
    <w:p w14:paraId="28E784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w:t>
      </w:r>
    </w:p>
    <w:p w14:paraId="54C9B8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Understand properties of multiplication and the relationships between multiplication and division.</w:t>
      </w:r>
    </w:p>
    <w:p w14:paraId="59B465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789BDD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Understand division as an unknown-factor problem. Provide an explanation that leverages the relationship between multiplication and division.</w:t>
      </w:r>
    </w:p>
    <w:p w14:paraId="0E878E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Solve real-world mathematical tasks involving the four operations and identify and explain patterns in arithmetic.</w:t>
      </w:r>
    </w:p>
    <w:p w14:paraId="017399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D.1.b.</w:t>
      </w:r>
      <w:r w:rsidRPr="006E50FF">
        <w:rPr>
          <w:kern w:val="2"/>
        </w:rPr>
        <w:tab/>
        <w:t>…</w:t>
      </w:r>
    </w:p>
    <w:p w14:paraId="4AE00F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0B643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52:1133 (July 2026), amended LR 52:</w:t>
      </w:r>
    </w:p>
    <w:p w14:paraId="3B3EBF4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8" w:name="_Toc235604775"/>
      <w:r w:rsidRPr="006E50FF">
        <w:rPr>
          <w:b/>
          <w:kern w:val="2"/>
        </w:rPr>
        <w:t>§909.</w:t>
      </w:r>
      <w:r w:rsidRPr="006E50FF">
        <w:rPr>
          <w:b/>
          <w:kern w:val="2"/>
        </w:rPr>
        <w:tab/>
        <w:t>Data Analysis and Measurement</w:t>
      </w:r>
      <w:bookmarkEnd w:id="328"/>
    </w:p>
    <w:p w14:paraId="713BBB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C.2.</w:t>
      </w:r>
      <w:r w:rsidRPr="006E50FF">
        <w:rPr>
          <w:kern w:val="2"/>
        </w:rPr>
        <w:tab/>
        <w:t>…</w:t>
      </w:r>
    </w:p>
    <w:p w14:paraId="1B8CD2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Relate area to the operations of multiplication and addition.</w:t>
      </w:r>
    </w:p>
    <w:p w14:paraId="048124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C.3.a. - E.2.</w:t>
      </w:r>
      <w:r w:rsidRPr="006E50FF">
        <w:rPr>
          <w:kern w:val="2"/>
        </w:rPr>
        <w:tab/>
        <w:t>…</w:t>
      </w:r>
    </w:p>
    <w:p w14:paraId="695684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731A93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52:1134 (July 2026), amended LR 52:</w:t>
      </w:r>
    </w:p>
    <w:p w14:paraId="0736007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9" w:name="_Toc235604776"/>
      <w:r w:rsidRPr="006E50FF">
        <w:rPr>
          <w:b/>
          <w:kern w:val="2"/>
        </w:rPr>
        <w:t>Chapter 11.</w:t>
      </w:r>
      <w:r w:rsidRPr="006E50FF">
        <w:rPr>
          <w:b/>
          <w:kern w:val="2"/>
        </w:rPr>
        <w:tab/>
        <w:t>Grade 4</w:t>
      </w:r>
      <w:bookmarkEnd w:id="329"/>
    </w:p>
    <w:p w14:paraId="3DBCD2B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0" w:name="_Toc235604777"/>
      <w:r w:rsidRPr="006E50FF">
        <w:rPr>
          <w:b/>
          <w:kern w:val="2"/>
        </w:rPr>
        <w:t>§1101.</w:t>
      </w:r>
      <w:r w:rsidRPr="006E50FF">
        <w:rPr>
          <w:b/>
          <w:kern w:val="2"/>
        </w:rPr>
        <w:tab/>
        <w:t>Grade Level Foundational Skills</w:t>
      </w:r>
      <w:bookmarkEnd w:id="330"/>
    </w:p>
    <w:p w14:paraId="0FED59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1F952F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Multiply multi-digit numbers with products up to 100.</w:t>
      </w:r>
    </w:p>
    <w:p w14:paraId="395DD7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- 7.</w:t>
      </w:r>
      <w:r w:rsidRPr="006E50FF">
        <w:rPr>
          <w:kern w:val="2"/>
        </w:rPr>
        <w:tab/>
        <w:t>…</w:t>
      </w:r>
    </w:p>
    <w:p w14:paraId="601FEE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43FBA8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52:1135 (July 2026), amended LR 52:</w:t>
      </w:r>
    </w:p>
    <w:p w14:paraId="286E0A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1" w:name="_Toc235604778"/>
      <w:r w:rsidRPr="006E50FF">
        <w:rPr>
          <w:b/>
          <w:kern w:val="2"/>
        </w:rPr>
        <w:lastRenderedPageBreak/>
        <w:t>§1103.</w:t>
      </w:r>
      <w:r w:rsidRPr="006E50FF">
        <w:rPr>
          <w:b/>
          <w:kern w:val="2"/>
        </w:rPr>
        <w:tab/>
        <w:t>Numeracy and Operational Fluency</w:t>
      </w:r>
      <w:bookmarkEnd w:id="331"/>
    </w:p>
    <w:p w14:paraId="20969F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Generalize place value understanding for multi-digit whole numbers.</w:t>
      </w:r>
    </w:p>
    <w:p w14:paraId="4D6956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Recognize that in a multi-digit whole number less than or equal to 1,000,000, a digit in one place represents ten times what it represents in the place to its right. </w:t>
      </w:r>
    </w:p>
    <w:p w14:paraId="5D28B2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Read and write multi-digit whole numbers up to 1,000,000 using base-ten numerals, standard form, written form, unit form, and expanded form. </w:t>
      </w:r>
    </w:p>
    <w:p w14:paraId="7D5EAE2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Compare multi-digit whole numbers up to 1,000,000 using &gt;, =, and &lt; symbols to record the results of comparisons.</w:t>
      </w:r>
    </w:p>
    <w:p w14:paraId="344B89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Order a set of whole numbers up to 1,000,000.</w:t>
      </w:r>
    </w:p>
    <w:p w14:paraId="50F8E8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Use place value understanding.</w:t>
      </w:r>
    </w:p>
    <w:p w14:paraId="780413A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Round multi-digit whole numbers up to 1,000,000, to any place.</w:t>
      </w:r>
    </w:p>
    <w:p w14:paraId="4F73252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Use estimation to reason about solutions to real-world mathematical tasks.</w:t>
      </w:r>
    </w:p>
    <w:p w14:paraId="0F65B6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Use place value understanding and properties of operations to perform multi-digit arithmetic. </w:t>
      </w:r>
    </w:p>
    <w:p w14:paraId="4C1017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Fluently add and subtract multi-digit whole numbers with sums or differences less than or equal to 1,000,000, using a standard algorithm. </w:t>
      </w:r>
    </w:p>
    <w:p w14:paraId="2054B87D"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Repealed.</w:t>
      </w:r>
    </w:p>
    <w:p w14:paraId="6D3669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Multiply a whole number of up to four digits by a one-digit whole number, and multiply two two-digit numbers, using strategies based on place value understanding and the properties of operations. </w:t>
      </w:r>
    </w:p>
    <w:p w14:paraId="5B71A8C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Illustrate and explain the calculation by using equations, rectangular arrays, number line diagrams, and area models. </w:t>
      </w:r>
    </w:p>
    <w:p w14:paraId="3264A7F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Repealed.</w:t>
      </w:r>
    </w:p>
    <w:p w14:paraId="5A8DA2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Find whole-number quotients and remainders with up to four-digit dividends and one-digit divisors, using strategies based on place value understanding, the properties of operations, and the relationship between multiplication and division. </w:t>
      </w:r>
    </w:p>
    <w:p w14:paraId="06B2134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Represent and explain the calculation by using equations, rectangular arrays, and area models. </w:t>
      </w:r>
    </w:p>
    <w:p w14:paraId="789A8F6A" w14:textId="77777777" w:rsidR="006E50FF" w:rsidRPr="006E50FF" w:rsidRDefault="006E50FF" w:rsidP="006E50FF">
      <w:pPr>
        <w:tabs>
          <w:tab w:val="left" w:pos="907"/>
        </w:tabs>
        <w:ind w:firstLine="547"/>
        <w:jc w:val="both"/>
        <w:outlineLvl w:val="5"/>
        <w:rPr>
          <w:kern w:val="2"/>
        </w:rPr>
      </w:pPr>
      <w:r w:rsidRPr="006E50FF">
        <w:rPr>
          <w:kern w:val="2"/>
        </w:rPr>
        <w:t>b. - c.</w:t>
      </w:r>
      <w:r w:rsidRPr="006E50FF">
        <w:rPr>
          <w:kern w:val="2"/>
        </w:rPr>
        <w:tab/>
        <w:t>Repealed.</w:t>
      </w:r>
    </w:p>
    <w:p w14:paraId="5C7CC2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Extend understanding of fraction equivalence and ordering. </w:t>
      </w:r>
    </w:p>
    <w:p w14:paraId="39455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Explain why a fraction a/b is equivalent to a fraction (n x a)/(n x b) by using visual fraction models or number line diagrams, with attention to how the number and size of the parts differ even though the two fractions themselves are the same size. Use this principle to recognize and generate equivalent fractions. Denominators are limited to 2, 3, 4, 5, 6, 8, 10, 12, and 100. </w:t>
      </w:r>
    </w:p>
    <w:p w14:paraId="348F86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Compare two fractions with different numerators and different denominators. Denominators are limited to 2, 3, 4, 5, 6, 8, 10, 12, and 100. </w:t>
      </w:r>
    </w:p>
    <w:p w14:paraId="01246E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6DB1A2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Build fractions from unit fractions by applying and extending previous understandings of operations on whole numbers. </w:t>
      </w:r>
    </w:p>
    <w:p w14:paraId="52BDEB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Understand a fraction a/b with a &gt; 1 as a sum of fractions 1/b. Denominators are limited to 2, 3, 4, 5, 6, 8, 10, 12, and 100. </w:t>
      </w:r>
    </w:p>
    <w:p w14:paraId="5B056E4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Understand addition and subtraction of fractions as joining and separating parts referring to the same whole. </w:t>
      </w:r>
    </w:p>
    <w:p w14:paraId="7A6598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Decompose a fraction, including mixed numbers or fractions greater than 1, into a sum of fractions, including unit fractions and non-unit fractions, with the same denominator in more than one way, recording each decomposition by an equation. Justify decompositions. </w:t>
      </w:r>
    </w:p>
    <w:p w14:paraId="26AA853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Evaluate the reasonableness of sums and differences of fractions using benchmark fractions, 0, ¼, ½, ¾, 1, referring to the same whole. </w:t>
      </w:r>
    </w:p>
    <w:p w14:paraId="76C5531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Repealed.</w:t>
      </w:r>
    </w:p>
    <w:p w14:paraId="0B1177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Add and subtract fractions with like denominators.</w:t>
      </w:r>
    </w:p>
    <w:p w14:paraId="3820EF7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Add and subtract mixed numbers with like denominators.</w:t>
      </w:r>
    </w:p>
    <w:p w14:paraId="628F7CE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Solve real-world mathematical tasks involving addition and subtraction of fractions, including mixed numbers and fractions greater than 1, referring to the same whole and having like denominators.</w:t>
      </w:r>
    </w:p>
    <w:p w14:paraId="35B767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Multiply a fraction by a whole number. Denominators are limited to 2, 3, 4, 5, 6, 8, 10, 12, and 100.</w:t>
      </w:r>
    </w:p>
    <w:p w14:paraId="57FC6C8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Understand a fraction a/b as a multiple of 1/b.</w:t>
      </w:r>
    </w:p>
    <w:p w14:paraId="09DD37F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Understand a multiple of a/b as a multiple of 1/b and use this understanding to multiply a fraction by a whole number.</w:t>
      </w:r>
    </w:p>
    <w:p w14:paraId="06B8B0F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Solve real-world mathematical tasks involving multiplication of a fraction by a whole number.</w:t>
      </w:r>
    </w:p>
    <w:p w14:paraId="76688F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Understand decimal notation for fractions and compare decimal fractions. </w:t>
      </w:r>
    </w:p>
    <w:p w14:paraId="244791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Express a fraction with denominator 10 as an equivalent fraction with denominator 100 and use this technique to add two fractions with respective denominators 10 and 100. </w:t>
      </w:r>
    </w:p>
    <w:p w14:paraId="689FCB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Use decimal notation and precise language for fractions with denominators 10 or 100. </w:t>
      </w:r>
    </w:p>
    <w:p w14:paraId="5542D1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Compare two decimals to hundredths by reasoning about their size, recognize that comparisons are valid only when the two decimals refer to the same whole, record the results of comparisons with the symbols &gt;, =, or &lt;, and justify the conclusions. </w:t>
      </w:r>
    </w:p>
    <w:p w14:paraId="7F736AA8" w14:textId="77777777" w:rsidR="006E50FF" w:rsidRPr="006E50FF" w:rsidRDefault="006E50FF" w:rsidP="006E50FF">
      <w:pPr>
        <w:tabs>
          <w:tab w:val="left" w:pos="907"/>
        </w:tabs>
        <w:ind w:firstLine="547"/>
        <w:jc w:val="both"/>
        <w:outlineLvl w:val="5"/>
        <w:rPr>
          <w:kern w:val="2"/>
        </w:rPr>
      </w:pPr>
      <w:r w:rsidRPr="006E50FF">
        <w:rPr>
          <w:kern w:val="2"/>
        </w:rPr>
        <w:t>a. - b.</w:t>
      </w:r>
      <w:r w:rsidRPr="006E50FF">
        <w:rPr>
          <w:kern w:val="2"/>
        </w:rPr>
        <w:tab/>
        <w:t>Repealed.</w:t>
      </w:r>
    </w:p>
    <w:p w14:paraId="09CFBC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Generate and analyze patterns. </w:t>
      </w:r>
    </w:p>
    <w:p w14:paraId="018AAB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Generate and extend a number or shape pattern that follows a given rule. </w:t>
      </w:r>
    </w:p>
    <w:p w14:paraId="3FD14D3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Identify apparent features of the pattern that were not explicit in the rule itself.</w:t>
      </w:r>
    </w:p>
    <w:p w14:paraId="5B8B3C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79BD3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52:1135 (July 2026), amended LR 52:</w:t>
      </w:r>
    </w:p>
    <w:p w14:paraId="001E59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2" w:name="_Toc235604779"/>
      <w:r w:rsidRPr="006E50FF">
        <w:rPr>
          <w:b/>
          <w:kern w:val="2"/>
        </w:rPr>
        <w:t>§1105.</w:t>
      </w:r>
      <w:r w:rsidRPr="006E50FF">
        <w:rPr>
          <w:b/>
          <w:kern w:val="2"/>
        </w:rPr>
        <w:tab/>
        <w:t>Algebraic Reasoning</w:t>
      </w:r>
      <w:bookmarkEnd w:id="332"/>
    </w:p>
    <w:p w14:paraId="27690A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3BE437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Represent these tasks by using drawings and equations with a symbol for the unknown number to represent the problem, distinguishing multiplicative comparison from additive comparison.</w:t>
      </w:r>
    </w:p>
    <w:p w14:paraId="352DD8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- 3.b.</w:t>
      </w:r>
      <w:r w:rsidRPr="006E50FF">
        <w:rPr>
          <w:kern w:val="2"/>
        </w:rPr>
        <w:tab/>
        <w:t>…</w:t>
      </w:r>
    </w:p>
    <w:p w14:paraId="3AD3FA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Gain familiarity with factors and multiples. </w:t>
      </w:r>
    </w:p>
    <w:p w14:paraId="714C4F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Use whole numbers in the range 1-100. </w:t>
      </w:r>
    </w:p>
    <w:p w14:paraId="178719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Find all factor pairs for a given whole number. </w:t>
      </w:r>
    </w:p>
    <w:p w14:paraId="34EE7DF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Recognize that a given whole number is a multiple of each of its factors.</w:t>
      </w:r>
    </w:p>
    <w:p w14:paraId="3C63561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Determine whether a given whole number is a multiple of a given one-digit number.</w:t>
      </w:r>
    </w:p>
    <w:p w14:paraId="49EA25F1" w14:textId="77777777" w:rsidR="006E50FF" w:rsidRPr="006E50FF" w:rsidRDefault="006E50FF" w:rsidP="006E50FF">
      <w:pPr>
        <w:tabs>
          <w:tab w:val="left" w:pos="907"/>
        </w:tabs>
        <w:ind w:firstLine="547"/>
        <w:jc w:val="both"/>
        <w:outlineLvl w:val="5"/>
        <w:rPr>
          <w:kern w:val="2"/>
        </w:rPr>
      </w:pPr>
      <w:r w:rsidRPr="006E50FF">
        <w:rPr>
          <w:kern w:val="2"/>
        </w:rPr>
        <w:br w:type="page"/>
      </w:r>
    </w:p>
    <w:p w14:paraId="36BE5EE0" w14:textId="77777777" w:rsidR="006E50FF" w:rsidRPr="006E50FF" w:rsidRDefault="006E50FF" w:rsidP="006E50FF">
      <w:pPr>
        <w:tabs>
          <w:tab w:val="left" w:pos="907"/>
        </w:tabs>
        <w:ind w:firstLine="547"/>
        <w:jc w:val="both"/>
        <w:outlineLvl w:val="5"/>
        <w:rPr>
          <w:kern w:val="2"/>
        </w:rPr>
      </w:pPr>
      <w:r w:rsidRPr="006E50FF">
        <w:rPr>
          <w:kern w:val="2"/>
        </w:rPr>
        <w:lastRenderedPageBreak/>
        <w:t>d.</w:t>
      </w:r>
      <w:r w:rsidRPr="006E50FF">
        <w:rPr>
          <w:kern w:val="2"/>
        </w:rPr>
        <w:tab/>
        <w:t>Determine whether a given whole number is prime or composite.</w:t>
      </w:r>
    </w:p>
    <w:p w14:paraId="404A86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Generate and analyze patterns. </w:t>
      </w:r>
    </w:p>
    <w:p w14:paraId="0613CF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Generate and extend a number or shape pattern that follows a given rule. </w:t>
      </w:r>
    </w:p>
    <w:p w14:paraId="41039BC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Identify apparent features of the pattern that were not explicit in the rule itself. </w:t>
      </w:r>
    </w:p>
    <w:p w14:paraId="427CEC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C.1.b. - D.2.a.</w:t>
      </w:r>
      <w:r w:rsidRPr="006E50FF">
        <w:rPr>
          <w:kern w:val="2"/>
        </w:rPr>
        <w:tab/>
        <w:t>Repealed.</w:t>
      </w:r>
    </w:p>
    <w:p w14:paraId="4D88D8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5E526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52:1135 (July 2026), amended LR 52:</w:t>
      </w:r>
    </w:p>
    <w:p w14:paraId="12FED06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3" w:name="_Toc235604781"/>
      <w:r w:rsidRPr="006E50FF">
        <w:rPr>
          <w:b/>
          <w:kern w:val="2"/>
        </w:rPr>
        <w:t>§1109.</w:t>
      </w:r>
      <w:r w:rsidRPr="006E50FF">
        <w:rPr>
          <w:b/>
          <w:kern w:val="2"/>
        </w:rPr>
        <w:tab/>
        <w:t>Data Analysis and Measurement</w:t>
      </w:r>
      <w:bookmarkEnd w:id="333"/>
    </w:p>
    <w:p w14:paraId="548CCA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38543D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Represent and interpret data. </w:t>
      </w:r>
    </w:p>
    <w:p w14:paraId="12B9E0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- 1.a.</w:t>
      </w:r>
      <w:r w:rsidRPr="006E50FF">
        <w:rPr>
          <w:kern w:val="2"/>
        </w:rPr>
        <w:tab/>
        <w:t>…</w:t>
      </w:r>
    </w:p>
    <w:p w14:paraId="7FD5FE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Understand concepts of angle and measure angles.</w:t>
      </w:r>
    </w:p>
    <w:p w14:paraId="4F91B7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- 3.</w:t>
      </w:r>
      <w:r w:rsidRPr="006E50FF">
        <w:rPr>
          <w:kern w:val="2"/>
        </w:rPr>
        <w:tab/>
        <w:t>…</w:t>
      </w:r>
    </w:p>
    <w:p w14:paraId="243DDB9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Solve addition and subtraction real-world and mathematical tasks to find unknown angles on a diagram.</w:t>
      </w:r>
    </w:p>
    <w:p w14:paraId="741D72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D.1.a.</w:t>
      </w:r>
      <w:r w:rsidRPr="006E50FF">
        <w:rPr>
          <w:kern w:val="2"/>
        </w:rPr>
        <w:tab/>
        <w:t>…</w:t>
      </w:r>
    </w:p>
    <w:p w14:paraId="28C0E8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B9846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52:1136 (July 2026), amended LR 52:</w:t>
      </w:r>
    </w:p>
    <w:p w14:paraId="6BCB72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34" w:name="_Toc235604782"/>
      <w:r w:rsidRPr="006E50FF">
        <w:rPr>
          <w:b/>
          <w:kern w:val="2"/>
        </w:rPr>
        <w:t>Chapter 13.</w:t>
      </w:r>
      <w:r w:rsidRPr="006E50FF">
        <w:rPr>
          <w:b/>
          <w:kern w:val="2"/>
        </w:rPr>
        <w:tab/>
        <w:t>Grade 5</w:t>
      </w:r>
      <w:bookmarkEnd w:id="334"/>
    </w:p>
    <w:p w14:paraId="770661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5" w:name="_Toc235604783"/>
      <w:r w:rsidRPr="006E50FF">
        <w:rPr>
          <w:b/>
          <w:kern w:val="2"/>
        </w:rPr>
        <w:t>§1301.</w:t>
      </w:r>
      <w:r w:rsidRPr="006E50FF">
        <w:rPr>
          <w:b/>
          <w:kern w:val="2"/>
        </w:rPr>
        <w:tab/>
        <w:t>Grade Level Foundational Skills</w:t>
      </w:r>
      <w:bookmarkEnd w:id="335"/>
    </w:p>
    <w:p w14:paraId="4ADCD0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14425A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509301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- 8.</w:t>
      </w:r>
      <w:r w:rsidRPr="006E50FF">
        <w:rPr>
          <w:kern w:val="2"/>
        </w:rPr>
        <w:tab/>
        <w:t>…</w:t>
      </w:r>
    </w:p>
    <w:p w14:paraId="32B7F9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56E78A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52:1136 (July 2026), amended LR 52:</w:t>
      </w:r>
    </w:p>
    <w:p w14:paraId="0BACF58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6" w:name="_Toc235604784"/>
      <w:r w:rsidRPr="006E50FF">
        <w:rPr>
          <w:b/>
          <w:kern w:val="2"/>
        </w:rPr>
        <w:t>§1303.</w:t>
      </w:r>
      <w:r w:rsidRPr="006E50FF">
        <w:rPr>
          <w:b/>
          <w:kern w:val="2"/>
        </w:rPr>
        <w:tab/>
        <w:t>Numeracy and Operational Fluency</w:t>
      </w:r>
      <w:bookmarkEnd w:id="336"/>
    </w:p>
    <w:p w14:paraId="05542E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98FC5F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Add and subtract fractions referring to the same whole, including cases of unlike denominators by using visual fraction models or equations to represent the problem.</w:t>
      </w:r>
    </w:p>
    <w:p w14:paraId="6BAA7F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A.2.b. - B.2.a.</w:t>
      </w:r>
      <w:r w:rsidRPr="006E50FF">
        <w:rPr>
          <w:kern w:val="2"/>
        </w:rPr>
        <w:tab/>
        <w:t>...</w:t>
      </w:r>
    </w:p>
    <w:p w14:paraId="06DBEC2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Construct or critique a model to develop understanding of the concept of multiplying two fractions and create a story context for the equation. In general, </w:t>
      </w:r>
      <m:oMath>
        <m:r>
          <w:rPr>
            <w:rFonts w:ascii="Cambria Math" w:hAnsi="Cambria Math"/>
            <w:kern w:val="2"/>
          </w:rPr>
          <m:t>(</m:t>
        </m:r>
        <m:f>
          <m:fPr>
            <m:ctrlPr>
              <w:rPr>
                <w:rFonts w:ascii="Cambria Math" w:hAnsi="Cambria Math"/>
                <w:kern w:val="2"/>
              </w:rPr>
            </m:ctrlPr>
          </m:fPr>
          <m:num>
            <m:r>
              <w:rPr>
                <w:rFonts w:ascii="Cambria Math" w:hAnsi="Cambria Math"/>
                <w:kern w:val="2"/>
              </w:rPr>
              <m:t>m</m:t>
            </m:r>
          </m:num>
          <m:den>
            <m:r>
              <w:rPr>
                <w:rFonts w:ascii="Cambria Math" w:hAnsi="Cambria Math"/>
                <w:kern w:val="2"/>
              </w:rPr>
              <m:t>n</m:t>
            </m:r>
          </m:den>
        </m:f>
        <m:r>
          <w:rPr>
            <w:rFonts w:ascii="Cambria Math" w:hAnsi="Cambria Math"/>
            <w:kern w:val="2"/>
          </w:rPr>
          <m:t>)×(</m:t>
        </m:r>
        <m:f>
          <m:fPr>
            <m:ctrlPr>
              <w:rPr>
                <w:rFonts w:ascii="Cambria Math" w:hAnsi="Cambria Math"/>
                <w:kern w:val="2"/>
              </w:rPr>
            </m:ctrlPr>
          </m:fPr>
          <m:num>
            <m:r>
              <w:rPr>
                <w:rFonts w:ascii="Cambria Math" w:hAnsi="Cambria Math"/>
                <w:kern w:val="2"/>
              </w:rPr>
              <m:t>c</m:t>
            </m:r>
          </m:num>
          <m:den>
            <m:r>
              <w:rPr>
                <w:rFonts w:ascii="Cambria Math" w:hAnsi="Cambria Math"/>
                <w:kern w:val="2"/>
              </w:rPr>
              <m:t>d</m:t>
            </m:r>
          </m:den>
        </m:f>
        <m:r>
          <w:rPr>
            <w:rFonts w:ascii="Cambria Math" w:hAnsi="Cambria Math"/>
            <w:kern w:val="2"/>
          </w:rPr>
          <m:t>)=</m:t>
        </m:r>
        <m:f>
          <m:fPr>
            <m:ctrlPr>
              <w:rPr>
                <w:rFonts w:ascii="Cambria Math" w:hAnsi="Cambria Math"/>
                <w:kern w:val="2"/>
              </w:rPr>
            </m:ctrlPr>
          </m:fPr>
          <m:num>
            <m:r>
              <w:rPr>
                <w:rFonts w:ascii="Cambria Math" w:hAnsi="Cambria Math"/>
                <w:kern w:val="2"/>
              </w:rPr>
              <m:t>(mc)</m:t>
            </m:r>
          </m:num>
          <m:den>
            <m:r>
              <w:rPr>
                <w:rFonts w:ascii="Cambria Math" w:hAnsi="Cambria Math"/>
                <w:kern w:val="2"/>
              </w:rPr>
              <m:t>(nd)</m:t>
            </m:r>
          </m:den>
        </m:f>
      </m:oMath>
      <w:r w:rsidRPr="006E50FF">
        <w:rPr>
          <w:kern w:val="2"/>
        </w:rPr>
        <w:t xml:space="preserve"> .</w:t>
      </w:r>
    </w:p>
    <w:p w14:paraId="3DFE91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- 3.c.</w:t>
      </w:r>
      <w:r w:rsidRPr="006E50FF">
        <w:rPr>
          <w:kern w:val="2"/>
        </w:rPr>
        <w:tab/>
        <w:t>…</w:t>
      </w:r>
    </w:p>
    <w:p w14:paraId="6A1D912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Relate the principle of fraction equivalence </w:t>
      </w:r>
      <m:oMath>
        <m:f>
          <m:fPr>
            <m:ctrlPr>
              <w:rPr>
                <w:rFonts w:ascii="Cambria Math" w:hAnsi="Cambria Math"/>
                <w:kern w:val="2"/>
              </w:rPr>
            </m:ctrlPr>
          </m:fPr>
          <m:num>
            <m:r>
              <w:rPr>
                <w:rFonts w:ascii="Cambria Math" w:hAnsi="Cambria Math"/>
                <w:kern w:val="2"/>
              </w:rPr>
              <m:t>a</m:t>
            </m:r>
          </m:num>
          <m:den>
            <m:r>
              <w:rPr>
                <w:rFonts w:ascii="Cambria Math" w:hAnsi="Cambria Math"/>
                <w:kern w:val="2"/>
              </w:rPr>
              <m:t>b</m:t>
            </m:r>
          </m:den>
        </m:f>
        <m:r>
          <w:rPr>
            <w:rFonts w:ascii="Cambria Math" w:hAnsi="Cambria Math"/>
            <w:kern w:val="2"/>
          </w:rPr>
          <m:t>=</m:t>
        </m:r>
        <m:f>
          <m:fPr>
            <m:ctrlPr>
              <w:rPr>
                <w:rFonts w:ascii="Cambria Math" w:hAnsi="Cambria Math"/>
                <w:kern w:val="2"/>
              </w:rPr>
            </m:ctrlPr>
          </m:fPr>
          <m:num>
            <m:r>
              <w:rPr>
                <w:rFonts w:ascii="Cambria Math" w:hAnsi="Cambria Math"/>
                <w:kern w:val="2"/>
              </w:rPr>
              <m:t>(nxa)</m:t>
            </m:r>
          </m:num>
          <m:den>
            <m:r>
              <w:rPr>
                <w:rFonts w:ascii="Cambria Math" w:hAnsi="Cambria Math"/>
                <w:kern w:val="2"/>
              </w:rPr>
              <m:t>(nxb)</m:t>
            </m:r>
          </m:den>
        </m:f>
      </m:oMath>
      <w:r w:rsidRPr="006E50FF">
        <w:rPr>
          <w:kern w:val="2"/>
        </w:rPr>
        <w:t xml:space="preserve"> to the effect of multiplying </w:t>
      </w:r>
      <m:oMath>
        <m:f>
          <m:fPr>
            <m:ctrlPr>
              <w:rPr>
                <w:rFonts w:ascii="Cambria Math" w:hAnsi="Cambria Math"/>
                <w:kern w:val="2"/>
              </w:rPr>
            </m:ctrlPr>
          </m:fPr>
          <m:num>
            <m:r>
              <w:rPr>
                <w:rFonts w:ascii="Cambria Math" w:hAnsi="Cambria Math"/>
                <w:kern w:val="2"/>
              </w:rPr>
              <m:t>a</m:t>
            </m:r>
          </m:num>
          <m:den>
            <m:r>
              <w:rPr>
                <w:rFonts w:ascii="Cambria Math" w:hAnsi="Cambria Math"/>
                <w:kern w:val="2"/>
              </w:rPr>
              <m:t>b</m:t>
            </m:r>
          </m:den>
        </m:f>
      </m:oMath>
      <w:r w:rsidRPr="006E50FF">
        <w:rPr>
          <w:kern w:val="2"/>
        </w:rPr>
        <w:t xml:space="preserve"> by 1.</w:t>
      </w:r>
    </w:p>
    <w:p w14:paraId="0B55A8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t>
      </w:r>
    </w:p>
    <w:p w14:paraId="70279C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Apply and extend previous understandings of division to divide unit fractions by whole numbers and whole numbers by unit fractions within and without the context of real-world mathematical tasks.</w:t>
      </w:r>
    </w:p>
    <w:p w14:paraId="3AB32E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B.5.a. - C.1.</w:t>
      </w:r>
      <w:r w:rsidRPr="006E50FF">
        <w:rPr>
          <w:kern w:val="2"/>
        </w:rPr>
        <w:tab/>
        <w:t>…</w:t>
      </w:r>
    </w:p>
    <w:p w14:paraId="06F8D8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Explain and apply patterns when multiplying or dividing by powers of 10. </w:t>
      </w:r>
    </w:p>
    <w:p w14:paraId="13917F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Explain and apply patterns in the number of zeros of the product when multiplying a number by powers of 10. </w:t>
      </w:r>
    </w:p>
    <w:p w14:paraId="4FD89DD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Explain and apply patterns in the values of the digits in the product or the quotient when a decimal is multiplied or divided by a power of 10. </w:t>
      </w:r>
    </w:p>
    <w:p w14:paraId="442C471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Use whole-number exponents to denote powers of 10.</w:t>
      </w:r>
    </w:p>
    <w:p w14:paraId="71AF9B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Extend place value understanding of the base-ten system to decimals.</w:t>
      </w:r>
    </w:p>
    <w:p w14:paraId="78EA007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Read and write decimals to thousandths using base-ten numerals, standard form, written form, unit form, and expanded form.</w:t>
      </w:r>
    </w:p>
    <w:p w14:paraId="442159E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Compare and order multi-digit whole numbers and decimals to thousandths based on the values of the digits in each place, using &gt;, =, and &lt; symbols to record the results of comparisons.</w:t>
      </w:r>
    </w:p>
    <w:p w14:paraId="4E82F0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Use place value understanding to round multi-digit numbers with decimals to any place.</w:t>
      </w:r>
    </w:p>
    <w:p w14:paraId="104E42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 estimation to reason about solutions to real-world mathematical tasks.</w:t>
      </w:r>
    </w:p>
    <w:p w14:paraId="255D6F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0C7DEB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Repealed.</w:t>
      </w:r>
    </w:p>
    <w:p w14:paraId="55CFFA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Perform operations with whole numbers and with decimals to hundredths.</w:t>
      </w:r>
    </w:p>
    <w:p w14:paraId="26D264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Fluently multiply multi-digit whole numbers using a standard algorithm.</w:t>
      </w:r>
    </w:p>
    <w:p w14:paraId="7055F0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Find whole-number quotients of whole numbers with up to four-digit dividends and two-digit divisors, using strategies based on place value understanding, the properties of operations, subtracting multiples of the divisor, and the relationship between multiplication and division.</w:t>
      </w:r>
    </w:p>
    <w:p w14:paraId="2C005EB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Illustrate and explain the calculation by using equations, rectangular arrays, area models, or other strategies based on place value understanding.</w:t>
      </w:r>
    </w:p>
    <w:p w14:paraId="253E82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Add, subtract, multiply, and divide decimals to hundredths, using concrete models or drawings and strategies based on place value understanding, properties of operations, and the part-whole relationship between addition and subtraction or multiplication and division.</w:t>
      </w:r>
    </w:p>
    <w:p w14:paraId="6A15B1B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Justify the reasoning of methods used for calculation with a written explanation.</w:t>
      </w:r>
    </w:p>
    <w:p w14:paraId="5D4EEB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7A6E4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52:1137 (July 2026), amended LR 52:</w:t>
      </w:r>
    </w:p>
    <w:p w14:paraId="1895636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7" w:name="_Toc235604785"/>
      <w:r w:rsidRPr="006E50FF">
        <w:rPr>
          <w:b/>
          <w:kern w:val="2"/>
        </w:rPr>
        <w:t>§1305.</w:t>
      </w:r>
      <w:r w:rsidRPr="006E50FF">
        <w:rPr>
          <w:b/>
          <w:kern w:val="2"/>
        </w:rPr>
        <w:tab/>
        <w:t>Algebraic Reasoning</w:t>
      </w:r>
      <w:bookmarkEnd w:id="337"/>
    </w:p>
    <w:p w14:paraId="3612C5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93369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Analyze patterns and relationships. </w:t>
      </w:r>
    </w:p>
    <w:p w14:paraId="145D9B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Generate and extend two numerical patterns using two given rules. Identify apparent relationships between corresponding terms. Explain these relationships informally.</w:t>
      </w:r>
    </w:p>
    <w:p w14:paraId="662A30F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t>
      </w:r>
    </w:p>
    <w:p w14:paraId="7BA523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B.1.b. - D.2.a.</w:t>
      </w:r>
      <w:r w:rsidRPr="006E50FF">
        <w:rPr>
          <w:kern w:val="2"/>
        </w:rPr>
        <w:tab/>
        <w:t>Repealed.</w:t>
      </w:r>
    </w:p>
    <w:p w14:paraId="095114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68331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52:1137 (July 2026), amended LR 52:</w:t>
      </w:r>
    </w:p>
    <w:p w14:paraId="721EED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8" w:name="_Toc235604786"/>
      <w:r w:rsidRPr="006E50FF">
        <w:rPr>
          <w:b/>
          <w:kern w:val="2"/>
        </w:rPr>
        <w:t>§1307.</w:t>
      </w:r>
      <w:r w:rsidRPr="006E50FF">
        <w:rPr>
          <w:b/>
          <w:kern w:val="2"/>
        </w:rPr>
        <w:tab/>
        <w:t>Geometric Reasoning and Logic</w:t>
      </w:r>
      <w:bookmarkEnd w:id="338"/>
    </w:p>
    <w:p w14:paraId="278CD4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Graph points on the coordinate plane to solve real-world and mathematical tasks. </w:t>
      </w:r>
    </w:p>
    <w:p w14:paraId="60CBAE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a pair of perpendicular number lines, called axes, to define a coordinate system, with the intersection of the lines the origin arranged to coincide with the 0 on each line and a given point in the plane located by using an ordered pair of numbers, called its coordinates. Understand that in an ordered pair, the first number shows how far to move along the x-axis, and the second number shows how far to move along the y-axis from the origin. With this convention, the names of the two axes and the coordinates correspond.</w:t>
      </w:r>
    </w:p>
    <w:p w14:paraId="0102DC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65C253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A.2. - B.</w:t>
      </w:r>
      <w:r w:rsidRPr="006E50FF">
        <w:rPr>
          <w:kern w:val="2"/>
        </w:rPr>
        <w:tab/>
        <w:t>…</w:t>
      </w:r>
    </w:p>
    <w:p w14:paraId="6B0339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Understand, analyze, and relate attributes belonging to a category of two-dimensional figures also belong to all subcategories of that category.</w:t>
      </w:r>
    </w:p>
    <w:p w14:paraId="75AF5E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B.2.a.</w:t>
      </w:r>
      <w:r w:rsidRPr="006E50FF">
        <w:rPr>
          <w:kern w:val="2"/>
        </w:rPr>
        <w:tab/>
        <w:t>…</w:t>
      </w:r>
    </w:p>
    <w:p w14:paraId="63B69A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6F4622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52:1138 (July 2026), amended LR 52:</w:t>
      </w:r>
    </w:p>
    <w:p w14:paraId="70A41E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9" w:name="_Toc235604787"/>
      <w:r w:rsidRPr="006E50FF">
        <w:rPr>
          <w:b/>
          <w:kern w:val="2"/>
        </w:rPr>
        <w:t>§1309.</w:t>
      </w:r>
      <w:r w:rsidRPr="006E50FF">
        <w:rPr>
          <w:b/>
          <w:kern w:val="2"/>
        </w:rPr>
        <w:tab/>
        <w:t>Data Analysis and Measurement</w:t>
      </w:r>
      <w:bookmarkEnd w:id="339"/>
    </w:p>
    <w:p w14:paraId="632BFE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29D0CA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Represent and interpret data. </w:t>
      </w:r>
    </w:p>
    <w:p w14:paraId="49F0A1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2F6A3F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Understand concepts of volume and relate volume to multiplication and to addition.</w:t>
      </w:r>
    </w:p>
    <w:p w14:paraId="1A17BF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- 3.c.</w:t>
      </w:r>
      <w:r w:rsidRPr="006E50FF">
        <w:rPr>
          <w:kern w:val="2"/>
        </w:rPr>
        <w:tab/>
        <w:t>…</w:t>
      </w:r>
    </w:p>
    <w:p w14:paraId="1C2344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Extend previous understandings of area and multiplication to multiply fractions.</w:t>
      </w:r>
    </w:p>
    <w:p w14:paraId="0FFEF5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- 1.c.</w:t>
      </w:r>
      <w:r w:rsidRPr="006E50FF">
        <w:rPr>
          <w:kern w:val="2"/>
        </w:rPr>
        <w:tab/>
        <w:t>…</w:t>
      </w:r>
    </w:p>
    <w:p w14:paraId="430A6E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2307D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52:1138 (July 2026), amended LR 52:</w:t>
      </w:r>
    </w:p>
    <w:p w14:paraId="194C4FB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0" w:name="_Toc235604788"/>
      <w:r w:rsidRPr="006E50FF">
        <w:rPr>
          <w:b/>
          <w:kern w:val="2"/>
        </w:rPr>
        <w:t>Chapter 15.</w:t>
      </w:r>
      <w:r w:rsidRPr="006E50FF">
        <w:rPr>
          <w:b/>
          <w:kern w:val="2"/>
        </w:rPr>
        <w:tab/>
        <w:t>Grade 6</w:t>
      </w:r>
      <w:bookmarkEnd w:id="340"/>
    </w:p>
    <w:p w14:paraId="1F9B68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1" w:name="_Toc235604791"/>
      <w:r w:rsidRPr="006E50FF">
        <w:rPr>
          <w:b/>
          <w:kern w:val="2"/>
        </w:rPr>
        <w:t>§1505.</w:t>
      </w:r>
      <w:r w:rsidRPr="006E50FF">
        <w:rPr>
          <w:b/>
          <w:kern w:val="2"/>
        </w:rPr>
        <w:tab/>
        <w:t>Algebraic Reasoning</w:t>
      </w:r>
      <w:bookmarkEnd w:id="341"/>
    </w:p>
    <w:p w14:paraId="280287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041BBC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Translate a real-world written description into an algebraic inequality in the form of x &gt; c or x &lt; c. Recognize, describe, and interpret the infinitely many solutions for x&gt;c or x&lt;c and graph the solutions on a number line.</w:t>
      </w:r>
    </w:p>
    <w:p w14:paraId="3717C3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C.1.b.</w:t>
      </w:r>
      <w:r w:rsidRPr="006E50FF">
        <w:rPr>
          <w:kern w:val="2"/>
        </w:rPr>
        <w:tab/>
        <w:t>…</w:t>
      </w:r>
    </w:p>
    <w:p w14:paraId="25ADA71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1F0DA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52:1139 (July 2026), amended LR 52:</w:t>
      </w:r>
    </w:p>
    <w:p w14:paraId="5FF9629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2" w:name="_Toc235604795"/>
      <w:r w:rsidRPr="006E50FF">
        <w:rPr>
          <w:b/>
          <w:kern w:val="2"/>
        </w:rPr>
        <w:t>Chapter 17.</w:t>
      </w:r>
      <w:r w:rsidRPr="006E50FF">
        <w:rPr>
          <w:b/>
          <w:kern w:val="2"/>
        </w:rPr>
        <w:tab/>
        <w:t>Grade 7</w:t>
      </w:r>
      <w:bookmarkEnd w:id="342"/>
    </w:p>
    <w:p w14:paraId="7D481B8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3" w:name="_Toc235604799"/>
      <w:r w:rsidRPr="006E50FF">
        <w:rPr>
          <w:b/>
          <w:kern w:val="2"/>
        </w:rPr>
        <w:t>§1707.</w:t>
      </w:r>
      <w:r w:rsidRPr="006E50FF">
        <w:rPr>
          <w:b/>
          <w:kern w:val="2"/>
        </w:rPr>
        <w:tab/>
        <w:t>Geometric Reasoning and Logic</w:t>
      </w:r>
      <w:bookmarkEnd w:id="343"/>
    </w:p>
    <w:p w14:paraId="525456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0889DA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Draw triangles with given conditions. Understand the possible side lengths and angle measures that determine one and only one triangle, more than one triangle, or no triangle.</w:t>
      </w:r>
    </w:p>
    <w:p w14:paraId="2B9A15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B.3.</w:t>
      </w:r>
      <w:r w:rsidRPr="006E50FF">
        <w:rPr>
          <w:kern w:val="2"/>
        </w:rPr>
        <w:tab/>
        <w:t>…</w:t>
      </w:r>
    </w:p>
    <w:p w14:paraId="5133CA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4AEBEE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52:1141 (July 2026), amended LR 52:</w:t>
      </w:r>
    </w:p>
    <w:p w14:paraId="5828D30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4" w:name="_Toc235604800"/>
      <w:r w:rsidRPr="006E50FF">
        <w:rPr>
          <w:b/>
          <w:kern w:val="2"/>
        </w:rPr>
        <w:t>§1709.</w:t>
      </w:r>
      <w:r w:rsidRPr="006E50FF">
        <w:rPr>
          <w:b/>
          <w:kern w:val="2"/>
        </w:rPr>
        <w:tab/>
        <w:t>Data Analysis</w:t>
      </w:r>
      <w:bookmarkEnd w:id="344"/>
    </w:p>
    <w:p w14:paraId="313588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Use random sampling to draw inferences about a population.</w:t>
      </w:r>
    </w:p>
    <w:p w14:paraId="6DD268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C.4.c.</w:t>
      </w:r>
      <w:r w:rsidRPr="006E50FF">
        <w:rPr>
          <w:kern w:val="2"/>
        </w:rPr>
        <w:tab/>
        <w:t>…</w:t>
      </w:r>
    </w:p>
    <w:p w14:paraId="3BF17B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A2647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52:1141 (July 2026), amended LR 52:</w:t>
      </w:r>
    </w:p>
    <w:p w14:paraId="698C1B2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5" w:name="_Toc235604809"/>
      <w:r w:rsidRPr="006E50FF">
        <w:rPr>
          <w:b/>
          <w:kern w:val="2"/>
        </w:rPr>
        <w:t>Chapter 21.</w:t>
      </w:r>
      <w:r w:rsidRPr="006E50FF">
        <w:rPr>
          <w:b/>
          <w:kern w:val="2"/>
        </w:rPr>
        <w:tab/>
        <w:t>Algebra I</w:t>
      </w:r>
      <w:bookmarkEnd w:id="345"/>
    </w:p>
    <w:p w14:paraId="3EFB01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6" w:name="_Toc235604815"/>
      <w:r w:rsidRPr="006E50FF">
        <w:rPr>
          <w:b/>
          <w:kern w:val="2"/>
        </w:rPr>
        <w:t>§2111.</w:t>
      </w:r>
      <w:r w:rsidRPr="006E50FF">
        <w:rPr>
          <w:b/>
          <w:kern w:val="2"/>
        </w:rPr>
        <w:tab/>
        <w:t>Reasoning with Equations and Inequalities</w:t>
      </w:r>
      <w:bookmarkEnd w:id="346"/>
    </w:p>
    <w:p w14:paraId="3E72DD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57B14A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Solve linear equations and inequalities in one variable, including equations with coefficients represented by letters.</w:t>
      </w:r>
    </w:p>
    <w:p w14:paraId="47724C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D.3.</w:t>
      </w:r>
      <w:r w:rsidRPr="006E50FF">
        <w:rPr>
          <w:kern w:val="2"/>
        </w:rPr>
        <w:tab/>
        <w:t>…</w:t>
      </w:r>
    </w:p>
    <w:p w14:paraId="06E165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00AD1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52:1145 (July 2026), amended LR 52:</w:t>
      </w:r>
    </w:p>
    <w:p w14:paraId="0A13CA2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7" w:name="_Toc235604820"/>
      <w:r w:rsidRPr="006E50FF">
        <w:rPr>
          <w:b/>
          <w:kern w:val="2"/>
        </w:rPr>
        <w:t>Chapter 23.</w:t>
      </w:r>
      <w:r w:rsidRPr="006E50FF">
        <w:rPr>
          <w:b/>
          <w:kern w:val="2"/>
        </w:rPr>
        <w:tab/>
        <w:t>Geometry</w:t>
      </w:r>
      <w:bookmarkEnd w:id="347"/>
    </w:p>
    <w:p w14:paraId="344026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8" w:name="_Toc235604821"/>
      <w:r w:rsidRPr="006E50FF">
        <w:rPr>
          <w:b/>
          <w:kern w:val="2"/>
        </w:rPr>
        <w:t>§2301.</w:t>
      </w:r>
      <w:r w:rsidRPr="006E50FF">
        <w:rPr>
          <w:b/>
          <w:kern w:val="2"/>
        </w:rPr>
        <w:tab/>
        <w:t>Geometric Reasoning and Logic</w:t>
      </w:r>
      <w:bookmarkEnd w:id="348"/>
    </w:p>
    <w:p w14:paraId="1C1C28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7F3D89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lines and angles. Theorems include: vertical angles are congruent; when a transversal crosses parallel lines, alternate interior angles are congruent and corresponding angles are congruent; points on a perpendicular bisector of a line segment are exactly those equidistant from the segment’s endpoints.</w:t>
      </w:r>
    </w:p>
    <w:p w14:paraId="76D107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Prove and apply theorems about triangles. Theorems include: measures of interior angles of a triangle sum to 180°; base angles of isosceles triangles are congruent; the segment joining midpoints of two sides of a triangle is parallel to the third side and half the length; the medians of a triangle meet at a point.</w:t>
      </w:r>
    </w:p>
    <w:p w14:paraId="4C0D70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Prove and apply theorems about parallelograms. Theorems include: opposite sides are congruent, opposite angles are congruent, the diagonals of a parallelogram bisect each other, and the converse of this theorem; rectangles are parallelograms with congruent diagonals and the converse of this theorem.</w:t>
      </w:r>
    </w:p>
    <w:p w14:paraId="3AA234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w:t>
      </w:r>
      <w:r w:rsidRPr="006E50FF">
        <w:rPr>
          <w:kern w:val="2"/>
        </w:rPr>
        <w:tab/>
        <w:t>…</w:t>
      </w:r>
    </w:p>
    <w:p w14:paraId="7BCD5C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06626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52:1146 (July 2026), amended LR 52:</w:t>
      </w:r>
    </w:p>
    <w:p w14:paraId="39E6DDF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9" w:name="_Toc235604822"/>
      <w:r w:rsidRPr="006E50FF">
        <w:rPr>
          <w:b/>
          <w:kern w:val="2"/>
        </w:rPr>
        <w:t>§2303.</w:t>
      </w:r>
      <w:r w:rsidRPr="006E50FF">
        <w:rPr>
          <w:b/>
          <w:kern w:val="2"/>
        </w:rPr>
        <w:tab/>
        <w:t>Similarity, Right Triangles, and Trigonometry</w:t>
      </w:r>
      <w:bookmarkEnd w:id="349"/>
    </w:p>
    <w:p w14:paraId="68DE37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2FF5C4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triangles including: a line parallel to one side of a triangle divides the other two proportionally, and the converse of this theorem; the Pythagorean Theorem proved using triangle similarity; SAS similarity criteria; SSS similarity criteria; and AA similarity criteria.</w:t>
      </w:r>
    </w:p>
    <w:p w14:paraId="027209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C.3.</w:t>
      </w:r>
      <w:r w:rsidRPr="006E50FF">
        <w:rPr>
          <w:kern w:val="2"/>
        </w:rPr>
        <w:tab/>
        <w:t>…</w:t>
      </w:r>
    </w:p>
    <w:p w14:paraId="6BDD49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35076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ascii="Segoe UI Symbol" w:hAnsi="Segoe UI Symbol" w:cs="Segoe UI Symbol"/>
          <w:kern w:val="2"/>
          <w:sz w:val="18"/>
        </w:rPr>
      </w:pPr>
      <w:r w:rsidRPr="006E50FF">
        <w:rPr>
          <w:kern w:val="2"/>
          <w:sz w:val="18"/>
        </w:rPr>
        <w:t>HISTORICAL NOTE:</w:t>
      </w:r>
      <w:r w:rsidRPr="006E50FF">
        <w:rPr>
          <w:kern w:val="2"/>
          <w:sz w:val="18"/>
        </w:rPr>
        <w:tab/>
        <w:t>Promulgated by the Board of Elementary and Secondary Education, LR 52:1147 (July 2026), amended LR 52:</w:t>
      </w:r>
    </w:p>
    <w:p w14:paraId="60DCBB9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50" w:name="_Toc235604842"/>
      <w:r w:rsidRPr="006E50FF">
        <w:rPr>
          <w:b/>
          <w:kern w:val="2"/>
        </w:rPr>
        <w:t>Chapter 27.</w:t>
      </w:r>
      <w:r w:rsidRPr="006E50FF">
        <w:rPr>
          <w:b/>
          <w:kern w:val="2"/>
        </w:rPr>
        <w:tab/>
        <w:t>Integrated Math I</w:t>
      </w:r>
      <w:bookmarkEnd w:id="350"/>
    </w:p>
    <w:p w14:paraId="0F14A6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1" w:name="_Toc235604846"/>
      <w:r w:rsidRPr="006E50FF">
        <w:rPr>
          <w:b/>
          <w:kern w:val="2"/>
        </w:rPr>
        <w:t>§2707.</w:t>
      </w:r>
      <w:r w:rsidRPr="006E50FF">
        <w:rPr>
          <w:b/>
          <w:kern w:val="2"/>
        </w:rPr>
        <w:tab/>
        <w:t>Reasoning with Equations and Inequalities</w:t>
      </w:r>
      <w:bookmarkEnd w:id="351"/>
    </w:p>
    <w:p w14:paraId="265013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691116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Solve linear equations and inequalities in one variable, including equations with coefficients represented by letters.</w:t>
      </w:r>
    </w:p>
    <w:p w14:paraId="4F867C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D.3.</w:t>
      </w:r>
      <w:r w:rsidRPr="006E50FF">
        <w:rPr>
          <w:kern w:val="2"/>
        </w:rPr>
        <w:tab/>
        <w:t>…</w:t>
      </w:r>
    </w:p>
    <w:p w14:paraId="756A08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FCBBF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52:1150 (July 2026), amended LR 52:</w:t>
      </w:r>
    </w:p>
    <w:p w14:paraId="4670A8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2" w:name="_Toc235604851"/>
      <w:r w:rsidRPr="006E50FF">
        <w:rPr>
          <w:b/>
          <w:kern w:val="2"/>
        </w:rPr>
        <w:t>§2717.</w:t>
      </w:r>
      <w:r w:rsidRPr="006E50FF">
        <w:rPr>
          <w:b/>
          <w:kern w:val="2"/>
        </w:rPr>
        <w:tab/>
        <w:t>Interpreting Categorical and Quantitative Data</w:t>
      </w:r>
      <w:bookmarkEnd w:id="352"/>
    </w:p>
    <w:p w14:paraId="6B0EB9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2F00EE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Interpret the slope and the intercept of a linear model in the context of the data.</w:t>
      </w:r>
    </w:p>
    <w:p w14:paraId="51DCDA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- 3.</w:t>
      </w:r>
      <w:r w:rsidRPr="006E50FF">
        <w:rPr>
          <w:kern w:val="2"/>
        </w:rPr>
        <w:tab/>
        <w:t>…</w:t>
      </w:r>
    </w:p>
    <w:p w14:paraId="20A971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F71D8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52:1152 (July 2026), amended LR 52:</w:t>
      </w:r>
    </w:p>
    <w:p w14:paraId="6D7D999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53" w:name="_Toc235604852"/>
      <w:r w:rsidRPr="006E50FF">
        <w:rPr>
          <w:b/>
          <w:kern w:val="2"/>
        </w:rPr>
        <w:t>Chapter 29.</w:t>
      </w:r>
      <w:r w:rsidRPr="006E50FF">
        <w:rPr>
          <w:b/>
          <w:kern w:val="2"/>
        </w:rPr>
        <w:tab/>
        <w:t>Integrated Math II</w:t>
      </w:r>
      <w:bookmarkEnd w:id="353"/>
    </w:p>
    <w:p w14:paraId="067B399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4" w:name="_Toc235604855"/>
      <w:r w:rsidRPr="006E50FF">
        <w:rPr>
          <w:b/>
          <w:kern w:val="2"/>
        </w:rPr>
        <w:t>§2905.</w:t>
      </w:r>
      <w:r w:rsidRPr="006E50FF">
        <w:rPr>
          <w:b/>
          <w:kern w:val="2"/>
        </w:rPr>
        <w:tab/>
        <w:t>Seeing Structure in Equations</w:t>
      </w:r>
      <w:bookmarkEnd w:id="354"/>
    </w:p>
    <w:p w14:paraId="405DEF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B.1.b.</w:t>
      </w:r>
      <w:r w:rsidRPr="006E50FF">
        <w:rPr>
          <w:kern w:val="2"/>
        </w:rPr>
        <w:tab/>
        <w:t>…</w:t>
      </w:r>
    </w:p>
    <w:p w14:paraId="6EAEC6C7" w14:textId="77777777" w:rsidR="006E50FF" w:rsidRPr="006E50FF" w:rsidRDefault="006E50FF" w:rsidP="006E50FF">
      <w:pPr>
        <w:tabs>
          <w:tab w:val="left" w:pos="907"/>
        </w:tabs>
        <w:ind w:firstLine="547"/>
        <w:jc w:val="both"/>
        <w:outlineLvl w:val="5"/>
        <w:rPr>
          <w:kern w:val="2"/>
        </w:rPr>
      </w:pPr>
      <w:r w:rsidRPr="006E50FF">
        <w:rPr>
          <w:kern w:val="2"/>
        </w:rPr>
        <w:lastRenderedPageBreak/>
        <w:t>c.</w:t>
      </w:r>
      <w:r w:rsidRPr="006E50FF">
        <w:rPr>
          <w:kern w:val="2"/>
        </w:rPr>
        <w:tab/>
        <w:t xml:space="preserve">Use the properties of exponents to transform expressions for exponential functions, emphasizing integer exponents. </w:t>
      </w:r>
    </w:p>
    <w:p w14:paraId="420CAA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AE9006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52:1153 (July 2026), amended LR 52:</w:t>
      </w:r>
    </w:p>
    <w:p w14:paraId="57C210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5" w:name="_Toc235604859"/>
      <w:r w:rsidRPr="006E50FF">
        <w:rPr>
          <w:b/>
          <w:kern w:val="2"/>
        </w:rPr>
        <w:t>§2913.</w:t>
      </w:r>
      <w:r w:rsidRPr="006E50FF">
        <w:rPr>
          <w:b/>
          <w:kern w:val="2"/>
        </w:rPr>
        <w:tab/>
        <w:t>Interpreting Functions</w:t>
      </w:r>
      <w:bookmarkEnd w:id="355"/>
    </w:p>
    <w:p w14:paraId="4AEE43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B.1.a.</w:t>
      </w:r>
      <w:r w:rsidRPr="006E50FF">
        <w:rPr>
          <w:kern w:val="2"/>
        </w:rPr>
        <w:tab/>
        <w:t>…</w:t>
      </w:r>
    </w:p>
    <w:p w14:paraId="31A22BA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Graph piecewise linear, to include absolute value, and exponential functions.</w:t>
      </w:r>
    </w:p>
    <w:p w14:paraId="357063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- 3.</w:t>
      </w:r>
      <w:r w:rsidRPr="006E50FF">
        <w:rPr>
          <w:kern w:val="2"/>
        </w:rPr>
        <w:tab/>
        <w:t>…</w:t>
      </w:r>
    </w:p>
    <w:p w14:paraId="33B299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65B89D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52:1153 (July 2026), amended LR 52:</w:t>
      </w:r>
    </w:p>
    <w:p w14:paraId="768E29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6" w:name="_Toc235604863"/>
      <w:r w:rsidRPr="006E50FF">
        <w:rPr>
          <w:b/>
          <w:kern w:val="2"/>
        </w:rPr>
        <w:t>§2921.</w:t>
      </w:r>
      <w:r w:rsidRPr="006E50FF">
        <w:rPr>
          <w:b/>
          <w:kern w:val="2"/>
        </w:rPr>
        <w:tab/>
        <w:t>Congruence</w:t>
      </w:r>
      <w:bookmarkEnd w:id="356"/>
    </w:p>
    <w:p w14:paraId="46D99A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514FC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lines and angles. Theorems include: vertical angles are congruent; when a transversal crosses parallel lines, alternate interior angles are congruent and corresponding angles are congruent; points on a perpendicular bisector of a line segment are exactly those equidistant from the segment’s endpoints.</w:t>
      </w:r>
    </w:p>
    <w:p w14:paraId="312D33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Prove and apply theorems about triangles. Theorems include: measures of interior angles of a triangle sum to 180°; base angles of isosceles triangles are congruent; the segment joining midpoints of two sides of a triangle is parallel to the third side and half the length; and the medians of a triangle meet at a point. </w:t>
      </w:r>
    </w:p>
    <w:p w14:paraId="2E0BCC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Prove and apply theorems about parallelograms. Theorems include: opposite sides are congruent; opposite angles are congruent; the diagonals of a parallelogram bisect each other, and the converse of this theorem; and rectangles are parallelograms with congruent diagonals and the converse of this theorem.</w:t>
      </w:r>
    </w:p>
    <w:p w14:paraId="15A176C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6E579E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52:1154 (July 2026), amended LR 52:</w:t>
      </w:r>
    </w:p>
    <w:p w14:paraId="326CEE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7" w:name="_Toc235604864"/>
      <w:r w:rsidRPr="006E50FF">
        <w:rPr>
          <w:b/>
          <w:kern w:val="2"/>
        </w:rPr>
        <w:t>§2923.</w:t>
      </w:r>
      <w:r w:rsidRPr="006E50FF">
        <w:rPr>
          <w:b/>
          <w:kern w:val="2"/>
        </w:rPr>
        <w:tab/>
        <w:t>Similarity, Right Triangles, and Trigonometry</w:t>
      </w:r>
      <w:bookmarkEnd w:id="357"/>
    </w:p>
    <w:p w14:paraId="18126C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15CA8A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triangles. Theorems include: a line parallel to one side of a triangle divides the other two proportionally, and the converse of this theorem; the Pythagorean Theorem proved using triangle similarity; SAS similarity criteria; SSS similarity criteria; AA similarity criteria.</w:t>
      </w:r>
    </w:p>
    <w:p w14:paraId="162F1A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C.3.</w:t>
      </w:r>
      <w:r w:rsidRPr="006E50FF">
        <w:rPr>
          <w:kern w:val="2"/>
        </w:rPr>
        <w:tab/>
        <w:t>…</w:t>
      </w:r>
    </w:p>
    <w:p w14:paraId="280733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745DF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52:1154 (July 2026), amended LR 52:</w:t>
      </w:r>
    </w:p>
    <w:p w14:paraId="0E9C86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8" w:name="_Toc235604865"/>
      <w:r w:rsidRPr="006E50FF">
        <w:rPr>
          <w:b/>
          <w:kern w:val="2"/>
        </w:rPr>
        <w:t>§2925.</w:t>
      </w:r>
      <w:r w:rsidRPr="006E50FF">
        <w:rPr>
          <w:b/>
          <w:kern w:val="2"/>
        </w:rPr>
        <w:tab/>
        <w:t>Circles</w:t>
      </w:r>
      <w:bookmarkEnd w:id="358"/>
    </w:p>
    <w:p w14:paraId="25DEA5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698B49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1F912972" w14:textId="77777777" w:rsidR="006E50FF" w:rsidRPr="006E50FF" w:rsidRDefault="006E50FF" w:rsidP="006E50FF">
      <w:pPr>
        <w:tabs>
          <w:tab w:val="left" w:pos="144"/>
          <w:tab w:val="left" w:pos="187"/>
          <w:tab w:val="left" w:pos="540"/>
          <w:tab w:val="left" w:pos="907"/>
          <w:tab w:val="left" w:pos="1080"/>
        </w:tabs>
        <w:ind w:firstLine="187"/>
        <w:jc w:val="both"/>
        <w:outlineLvl w:val="3"/>
        <w:rPr>
          <w:iCs/>
          <w:kern w:val="2"/>
        </w:rPr>
      </w:pPr>
      <w:r w:rsidRPr="006E50FF">
        <w:rPr>
          <w:kern w:val="2"/>
        </w:rPr>
        <w:t>B. - B.1.</w:t>
      </w:r>
      <w:r w:rsidRPr="006E50FF">
        <w:rPr>
          <w:kern w:val="2"/>
        </w:rPr>
        <w:tab/>
        <w:t>…</w:t>
      </w:r>
    </w:p>
    <w:p w14:paraId="1EEFCC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097BF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52:1155 (July 2026), amended LR 52:</w:t>
      </w:r>
    </w:p>
    <w:p w14:paraId="08A7118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9" w:name="_Toc235604866"/>
      <w:r w:rsidRPr="006E50FF">
        <w:rPr>
          <w:b/>
          <w:kern w:val="2"/>
        </w:rPr>
        <w:t>§2927.</w:t>
      </w:r>
      <w:r w:rsidRPr="006E50FF">
        <w:rPr>
          <w:b/>
          <w:kern w:val="2"/>
        </w:rPr>
        <w:tab/>
        <w:t>Expressing Geometric Properties with Equations</w:t>
      </w:r>
      <w:bookmarkEnd w:id="359"/>
    </w:p>
    <w:p w14:paraId="0C57C5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1E3523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Repealed.</w:t>
      </w:r>
    </w:p>
    <w:p w14:paraId="77B1D74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B.1.</w:t>
      </w:r>
      <w:r w:rsidRPr="006E50FF">
        <w:rPr>
          <w:kern w:val="2"/>
        </w:rPr>
        <w:tab/>
        <w:t>...</w:t>
      </w:r>
    </w:p>
    <w:p w14:paraId="7C9BC3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EAC20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52:1155 (July 2026), amended LR 52:</w:t>
      </w:r>
    </w:p>
    <w:p w14:paraId="2C5C06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0" w:name="_Toc235604870"/>
      <w:r w:rsidRPr="006E50FF">
        <w:rPr>
          <w:b/>
          <w:kern w:val="2"/>
        </w:rPr>
        <w:t>Chapter 31.</w:t>
      </w:r>
      <w:r w:rsidRPr="006E50FF">
        <w:rPr>
          <w:b/>
          <w:kern w:val="2"/>
        </w:rPr>
        <w:tab/>
        <w:t>Integrated Math III</w:t>
      </w:r>
      <w:bookmarkEnd w:id="360"/>
    </w:p>
    <w:p w14:paraId="6184F6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1" w:name="_Toc235604873"/>
      <w:r w:rsidRPr="006E50FF">
        <w:rPr>
          <w:b/>
          <w:kern w:val="2"/>
        </w:rPr>
        <w:t>§3105.</w:t>
      </w:r>
      <w:r w:rsidRPr="006E50FF">
        <w:rPr>
          <w:b/>
          <w:kern w:val="2"/>
        </w:rPr>
        <w:tab/>
        <w:t>Arithmetic with Polynomials and Rational Expressions</w:t>
      </w:r>
      <w:bookmarkEnd w:id="361"/>
    </w:p>
    <w:p w14:paraId="44E79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C.1.</w:t>
      </w:r>
      <w:r w:rsidRPr="006E50FF">
        <w:rPr>
          <w:kern w:val="2"/>
        </w:rPr>
        <w:tab/>
        <w:t>…</w:t>
      </w:r>
    </w:p>
    <w:p w14:paraId="0471EE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Repealed.</w:t>
      </w:r>
    </w:p>
    <w:p w14:paraId="21C6C0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w:t>
      </w:r>
      <w:r w:rsidRPr="006E50FF">
        <w:rPr>
          <w:kern w:val="2"/>
        </w:rPr>
        <w:tab/>
        <w:t>…</w:t>
      </w:r>
    </w:p>
    <w:p w14:paraId="60D4669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Repealed.</w:t>
      </w:r>
    </w:p>
    <w:p w14:paraId="4F7072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7D7AD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52:1156 (July 2026), amended LR 52:</w:t>
      </w:r>
    </w:p>
    <w:p w14:paraId="181EC98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2" w:name="_Toc235604887"/>
      <w:r w:rsidRPr="006E50FF">
        <w:rPr>
          <w:b/>
          <w:kern w:val="2"/>
        </w:rPr>
        <w:t>Chapter 33.</w:t>
      </w:r>
      <w:r w:rsidRPr="006E50FF">
        <w:rPr>
          <w:b/>
          <w:kern w:val="2"/>
        </w:rPr>
        <w:tab/>
        <w:t>Algebra III</w:t>
      </w:r>
      <w:bookmarkEnd w:id="362"/>
    </w:p>
    <w:p w14:paraId="7026AA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3" w:name="_Toc235604889"/>
      <w:r w:rsidRPr="006E50FF">
        <w:rPr>
          <w:b/>
          <w:kern w:val="2"/>
        </w:rPr>
        <w:t>§3303.</w:t>
      </w:r>
      <w:r w:rsidRPr="006E50FF">
        <w:rPr>
          <w:b/>
          <w:kern w:val="2"/>
        </w:rPr>
        <w:tab/>
        <w:t>Vector and Matrix Quantities</w:t>
      </w:r>
      <w:bookmarkEnd w:id="363"/>
    </w:p>
    <w:p w14:paraId="16564B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B.2.</w:t>
      </w:r>
      <w:r w:rsidRPr="006E50FF">
        <w:rPr>
          <w:kern w:val="2"/>
        </w:rPr>
        <w:tab/>
        <w:t>…</w:t>
      </w:r>
    </w:p>
    <w:p w14:paraId="07AC8F1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Represent scalar multiplication graphically by scaling vectors and possibly reversing their direction; perform scalar multiplication component-wise.</w:t>
      </w:r>
    </w:p>
    <w:p w14:paraId="01FAD2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B.2.b. - C.</w:t>
      </w:r>
      <w:r w:rsidRPr="006E50FF">
        <w:rPr>
          <w:kern w:val="2"/>
        </w:rPr>
        <w:tab/>
        <w:t>…</w:t>
      </w:r>
    </w:p>
    <w:p w14:paraId="0E78D3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matrices to represent and manipulate data.</w:t>
      </w:r>
    </w:p>
    <w:p w14:paraId="4C675B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- 6.</w:t>
      </w:r>
      <w:r w:rsidRPr="006E50FF">
        <w:rPr>
          <w:kern w:val="2"/>
        </w:rPr>
        <w:tab/>
        <w:t>…</w:t>
      </w:r>
    </w:p>
    <w:p w14:paraId="34331E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81BA9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52:1158 (July 2026), amended LR 52:</w:t>
      </w:r>
    </w:p>
    <w:p w14:paraId="48334B5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4" w:name="_Toc235604895"/>
      <w:r w:rsidRPr="006E50FF">
        <w:rPr>
          <w:b/>
          <w:kern w:val="2"/>
        </w:rPr>
        <w:t>Chapter 35.</w:t>
      </w:r>
      <w:r w:rsidRPr="006E50FF">
        <w:rPr>
          <w:b/>
          <w:kern w:val="2"/>
        </w:rPr>
        <w:tab/>
        <w:t>Advanced Math Precalculus</w:t>
      </w:r>
      <w:bookmarkEnd w:id="364"/>
    </w:p>
    <w:p w14:paraId="72DD72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5" w:name="_Toc235604897"/>
      <w:r w:rsidRPr="006E50FF">
        <w:rPr>
          <w:b/>
          <w:kern w:val="2"/>
        </w:rPr>
        <w:t>§3503.</w:t>
      </w:r>
      <w:r w:rsidRPr="006E50FF">
        <w:rPr>
          <w:b/>
          <w:kern w:val="2"/>
        </w:rPr>
        <w:tab/>
        <w:t>Vector and Matrix Quantities</w:t>
      </w:r>
      <w:bookmarkEnd w:id="365"/>
    </w:p>
    <w:p w14:paraId="348A70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B.2.</w:t>
      </w:r>
      <w:r w:rsidRPr="006E50FF">
        <w:rPr>
          <w:kern w:val="2"/>
        </w:rPr>
        <w:tab/>
        <w:t>…</w:t>
      </w:r>
    </w:p>
    <w:p w14:paraId="3E0032D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Represent scalar multiplication graphically by scaling vectors and possibly reversing their direction; perform scalar multiplication component-wise</w:t>
      </w:r>
    </w:p>
    <w:p w14:paraId="28AA5C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B.2.b. - C.</w:t>
      </w:r>
      <w:r w:rsidRPr="006E50FF">
        <w:rPr>
          <w:kern w:val="2"/>
        </w:rPr>
        <w:tab/>
        <w:t>…</w:t>
      </w:r>
    </w:p>
    <w:p w14:paraId="2AA326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matrices to represent and manipulate data.</w:t>
      </w:r>
    </w:p>
    <w:p w14:paraId="500D94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- 7.</w:t>
      </w:r>
      <w:r w:rsidRPr="006E50FF">
        <w:rPr>
          <w:kern w:val="2"/>
        </w:rPr>
        <w:tab/>
        <w:t>…</w:t>
      </w:r>
    </w:p>
    <w:p w14:paraId="33FD4A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70F60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52:1160 (July 2026), amended LR 52:</w:t>
      </w:r>
    </w:p>
    <w:p w14:paraId="4402085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6" w:name="_Toc235604905"/>
      <w:r w:rsidRPr="006E50FF">
        <w:rPr>
          <w:b/>
          <w:kern w:val="2"/>
        </w:rPr>
        <w:t>Chapter 37.</w:t>
      </w:r>
      <w:r w:rsidRPr="006E50FF">
        <w:rPr>
          <w:b/>
          <w:kern w:val="2"/>
        </w:rPr>
        <w:tab/>
        <w:t>Advanced Math Functions and Statistics</w:t>
      </w:r>
      <w:bookmarkEnd w:id="366"/>
    </w:p>
    <w:p w14:paraId="1D05F5D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7" w:name="_Toc235604909"/>
      <w:r w:rsidRPr="006E50FF">
        <w:rPr>
          <w:b/>
          <w:kern w:val="2"/>
        </w:rPr>
        <w:t>§3707.</w:t>
      </w:r>
      <w:r w:rsidRPr="006E50FF">
        <w:rPr>
          <w:b/>
          <w:kern w:val="2"/>
        </w:rPr>
        <w:tab/>
        <w:t>Reasoning with Equations and Inequalities</w:t>
      </w:r>
      <w:bookmarkEnd w:id="367"/>
    </w:p>
    <w:p w14:paraId="08B476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w:t>
      </w:r>
      <w:r w:rsidRPr="006E50FF">
        <w:rPr>
          <w:kern w:val="2"/>
        </w:rPr>
        <w:tab/>
        <w:t>…</w:t>
      </w:r>
    </w:p>
    <w:p w14:paraId="0E3E2D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Explain why the x-coordinates of the points where the graphs of the equations y = f(x) and y = g(x) intersect are the solutions of the equation f(x) = g(x); find the solutions approximately, make tables of values, or find successive approximations. Include cases where f(x) and/or g(x) are linear, quadratic, polynomial, rational, piecewise linear, to include absolute value, logarithmic and exponential functions. Identify domain restrictions and real and non-real solutions algebraically.</w:t>
      </w:r>
    </w:p>
    <w:p w14:paraId="025512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4BCC3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52:1162 (July 2026), amended LR 52:</w:t>
      </w:r>
    </w:p>
    <w:p w14:paraId="28AEE749" w14:textId="77777777" w:rsidR="006E50FF" w:rsidRPr="006E50FF" w:rsidRDefault="006E50FF" w:rsidP="006E50FF">
      <w:pPr>
        <w:keepNext/>
        <w:jc w:val="center"/>
        <w:rPr>
          <w:b/>
          <w:bCs/>
          <w:noProof/>
        </w:rPr>
      </w:pPr>
      <w:bookmarkStart w:id="368" w:name="_Toc456693321_Copy_1"/>
      <w:bookmarkStart w:id="369" w:name="TOC_Part0_Copy_1"/>
      <w:bookmarkStart w:id="370" w:name="_Toc235600530_Copy_1"/>
      <w:r w:rsidRPr="006E50FF">
        <w:rPr>
          <w:b/>
          <w:noProof/>
        </w:rPr>
        <w:t>Part CLXIX.  Bulletin 169—Louisiana English Language Arts</w:t>
      </w:r>
      <w:bookmarkEnd w:id="368"/>
      <w:bookmarkEnd w:id="369"/>
      <w:r w:rsidRPr="006E50FF">
        <w:rPr>
          <w:b/>
          <w:bCs/>
          <w:noProof/>
        </w:rPr>
        <w:t xml:space="preserve"> </w:t>
      </w:r>
      <w:r w:rsidRPr="006E50FF">
        <w:rPr>
          <w:b/>
          <w:bCs/>
          <w:iCs/>
          <w:noProof/>
        </w:rPr>
        <w:t>Student Standards</w:t>
      </w:r>
      <w:bookmarkEnd w:id="370"/>
    </w:p>
    <w:p w14:paraId="58EBA50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sz w:val="24"/>
          <w:szCs w:val="24"/>
        </w:rPr>
      </w:pPr>
      <w:bookmarkStart w:id="371" w:name="_Toc191363384"/>
      <w:bookmarkStart w:id="372" w:name="TOC_Chap4"/>
      <w:bookmarkStart w:id="373" w:name="_Toc235600533"/>
      <w:r w:rsidRPr="006E50FF">
        <w:rPr>
          <w:b/>
          <w:kern w:val="2"/>
        </w:rPr>
        <w:t>Chapter 3.</w:t>
      </w:r>
      <w:bookmarkEnd w:id="371"/>
      <w:bookmarkEnd w:id="372"/>
      <w:r w:rsidRPr="006E50FF">
        <w:rPr>
          <w:b/>
          <w:kern w:val="2"/>
        </w:rPr>
        <w:tab/>
        <w:t>Kindergarten</w:t>
      </w:r>
      <w:bookmarkEnd w:id="373"/>
    </w:p>
    <w:p w14:paraId="6326B84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4" w:name="_Toc191363387"/>
      <w:bookmarkStart w:id="375" w:name="_Toc235600536"/>
      <w:r w:rsidRPr="006E50FF">
        <w:rPr>
          <w:b/>
          <w:kern w:val="2"/>
        </w:rPr>
        <w:t>§305.</w:t>
      </w:r>
      <w:r w:rsidRPr="006E50FF">
        <w:rPr>
          <w:b/>
          <w:kern w:val="2"/>
        </w:rPr>
        <w:tab/>
      </w:r>
      <w:bookmarkEnd w:id="374"/>
      <w:r w:rsidRPr="006E50FF">
        <w:rPr>
          <w:b/>
          <w:kern w:val="2"/>
        </w:rPr>
        <w:t>Reading Foundations</w:t>
      </w:r>
      <w:bookmarkEnd w:id="375"/>
      <w:r w:rsidRPr="006E50FF">
        <w:rPr>
          <w:b/>
          <w:kern w:val="2"/>
        </w:rPr>
        <w:t xml:space="preserve"> </w:t>
      </w:r>
    </w:p>
    <w:p w14:paraId="5F78B1F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A.1.</w:t>
      </w:r>
      <w:r w:rsidRPr="006E50FF">
        <w:rPr>
          <w:kern w:val="2"/>
        </w:rPr>
        <w:tab/>
        <w:t>…</w:t>
      </w:r>
    </w:p>
    <w:p w14:paraId="344F5A32"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lastRenderedPageBreak/>
        <w:t>2.</w:t>
      </w:r>
      <w:r w:rsidRPr="006E50FF">
        <w:rPr>
          <w:rFonts w:eastAsia="Calibri"/>
          <w:kern w:val="2"/>
        </w:rPr>
        <w:tab/>
        <w:t>Recognize that spoken words are represented in written language by specific sequences of letters. (Prerequisite standard from PreK)</w:t>
      </w:r>
    </w:p>
    <w:p w14:paraId="6343FC5D"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3. - 4.</w:t>
      </w:r>
      <w:r w:rsidRPr="006E50FF">
        <w:rPr>
          <w:rFonts w:eastAsia="Calibri"/>
          <w:kern w:val="2"/>
        </w:rPr>
        <w:tab/>
        <w:t>…</w:t>
      </w:r>
    </w:p>
    <w:p w14:paraId="42357193"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5.</w:t>
      </w:r>
      <w:r w:rsidRPr="006E50FF">
        <w:rPr>
          <w:rFonts w:eastAsia="Calibri"/>
          <w:kern w:val="2"/>
        </w:rPr>
        <w:tab/>
        <w:t>Locate words on a page.</w:t>
      </w:r>
    </w:p>
    <w:p w14:paraId="1752DC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A.6. - B.</w:t>
      </w:r>
      <w:r w:rsidRPr="006E50FF">
        <w:rPr>
          <w:rFonts w:eastAsia="Calibri"/>
          <w:kern w:val="2"/>
        </w:rPr>
        <w:tab/>
        <w:t>…</w:t>
      </w:r>
    </w:p>
    <w:p w14:paraId="60E430B7"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Recognize and produce rhyming words. (Prerequisite standard from PreK)</w:t>
      </w:r>
    </w:p>
    <w:p w14:paraId="2D2DC35C"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Count, pronounce, blend, and segment syllables in spoken words. (Prerequisite standard from PreK)</w:t>
      </w:r>
    </w:p>
    <w:p w14:paraId="4FAC62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B.3. - D.</w:t>
      </w:r>
      <w:r w:rsidRPr="006E50FF">
        <w:rPr>
          <w:rFonts w:eastAsia="Calibri"/>
          <w:kern w:val="2"/>
        </w:rPr>
        <w:tab/>
        <w:t>…</w:t>
      </w:r>
    </w:p>
    <w:p w14:paraId="235D36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9F65E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42:1020 (July 2016), amended LR 52:1171 (July 2026), LR 52:</w:t>
      </w:r>
    </w:p>
    <w:p w14:paraId="0B9387D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6" w:name="_Toc191363388"/>
      <w:bookmarkStart w:id="377" w:name="_Toc235600537"/>
      <w:r w:rsidRPr="006E50FF">
        <w:rPr>
          <w:b/>
          <w:kern w:val="2"/>
        </w:rPr>
        <w:t>§307.</w:t>
      </w:r>
      <w:r w:rsidRPr="006E50FF">
        <w:rPr>
          <w:b/>
          <w:kern w:val="2"/>
        </w:rPr>
        <w:tab/>
      </w:r>
      <w:bookmarkEnd w:id="376"/>
      <w:r w:rsidRPr="006E50FF">
        <w:rPr>
          <w:b/>
          <w:kern w:val="2"/>
        </w:rPr>
        <w:t>Writing</w:t>
      </w:r>
      <w:bookmarkEnd w:id="377"/>
      <w:r w:rsidRPr="006E50FF">
        <w:rPr>
          <w:b/>
          <w:kern w:val="2"/>
        </w:rPr>
        <w:t xml:space="preserve"> </w:t>
      </w:r>
    </w:p>
    <w:p w14:paraId="35CF70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Use a combination of drawing, dictating, or writing to express opinions about a topic or text with at least one supporting reason.</w:t>
      </w:r>
    </w:p>
    <w:p w14:paraId="722111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G.</w:t>
      </w:r>
      <w:r w:rsidRPr="006E50FF">
        <w:rPr>
          <w:kern w:val="2"/>
        </w:rPr>
        <w:tab/>
        <w:t>…</w:t>
      </w:r>
    </w:p>
    <w:p w14:paraId="799AF8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945CE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42:1020 (July 2016), amended LR 52:1171 (July 2026), LR 52:</w:t>
      </w:r>
    </w:p>
    <w:p w14:paraId="1621C5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378" w:name="_Toc235600539"/>
      <w:r w:rsidRPr="006E50FF">
        <w:rPr>
          <w:rFonts w:eastAsia="Calibri"/>
          <w:b/>
          <w:kern w:val="2"/>
        </w:rPr>
        <w:t>§311.</w:t>
      </w:r>
      <w:r w:rsidRPr="006E50FF">
        <w:rPr>
          <w:rFonts w:eastAsia="Calibri"/>
          <w:b/>
          <w:kern w:val="2"/>
        </w:rPr>
        <w:tab/>
        <w:t>Language</w:t>
      </w:r>
      <w:bookmarkEnd w:id="378"/>
    </w:p>
    <w:p w14:paraId="28991B3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D.3.</w:t>
      </w:r>
      <w:r w:rsidRPr="006E50FF">
        <w:rPr>
          <w:kern w:val="2"/>
        </w:rPr>
        <w:tab/>
        <w:t>…</w:t>
      </w:r>
    </w:p>
    <w:p w14:paraId="14B4F2B5"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4.</w:t>
      </w:r>
      <w:r w:rsidRPr="006E50FF">
        <w:rPr>
          <w:rFonts w:eastAsia="Calibri"/>
          <w:kern w:val="2"/>
        </w:rPr>
        <w:tab/>
        <w:t>Distinguish shades of meaning among verbs describing the same general action (e.g., walk, march, strut, prance) by acting out the meanings.</w:t>
      </w:r>
    </w:p>
    <w:p w14:paraId="7CCFBD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t>
      </w:r>
    </w:p>
    <w:p w14:paraId="489E31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77F019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42:1021 (July 2016), amended LR 52:1172 (July 2026), LR 52:</w:t>
      </w:r>
    </w:p>
    <w:p w14:paraId="510235D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79" w:name="_Toc191363389"/>
      <w:bookmarkStart w:id="380" w:name="TOC_Chap5"/>
      <w:bookmarkStart w:id="381" w:name="_Toc235600540"/>
      <w:r w:rsidRPr="006E50FF">
        <w:rPr>
          <w:b/>
          <w:kern w:val="2"/>
        </w:rPr>
        <w:t>Chapter 5.</w:t>
      </w:r>
      <w:bookmarkEnd w:id="379"/>
      <w:bookmarkEnd w:id="380"/>
      <w:r w:rsidRPr="006E50FF">
        <w:rPr>
          <w:b/>
          <w:kern w:val="2"/>
        </w:rPr>
        <w:tab/>
        <w:t>Grade 1</w:t>
      </w:r>
      <w:bookmarkEnd w:id="381"/>
    </w:p>
    <w:p w14:paraId="5CD7CA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2" w:name="_Toc235600546"/>
      <w:r w:rsidRPr="006E50FF">
        <w:rPr>
          <w:b/>
          <w:kern w:val="2"/>
        </w:rPr>
        <w:t>§511.</w:t>
      </w:r>
      <w:r w:rsidRPr="006E50FF">
        <w:rPr>
          <w:b/>
          <w:kern w:val="2"/>
        </w:rPr>
        <w:tab/>
        <w:t>Language</w:t>
      </w:r>
      <w:bookmarkEnd w:id="382"/>
    </w:p>
    <w:p w14:paraId="5D77CB7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A.7.</w:t>
      </w:r>
      <w:r w:rsidRPr="006E50FF">
        <w:rPr>
          <w:kern w:val="2"/>
        </w:rPr>
        <w:tab/>
        <w:t>…</w:t>
      </w:r>
    </w:p>
    <w:p w14:paraId="57C5DE50"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8.</w:t>
      </w:r>
      <w:r w:rsidRPr="006E50FF">
        <w:rPr>
          <w:rFonts w:eastAsia="Calibri"/>
          <w:kern w:val="2"/>
        </w:rPr>
        <w:tab/>
        <w:t xml:space="preserve">Use determiners to modify, describe, or introduce a noun or pronoun (e.g., articles, demonstratives). </w:t>
      </w:r>
    </w:p>
    <w:p w14:paraId="5CEE787B"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A.9. - B.5.</w:t>
      </w:r>
      <w:r w:rsidRPr="006E50FF">
        <w:rPr>
          <w:rFonts w:eastAsia="Calibri"/>
          <w:kern w:val="2"/>
        </w:rPr>
        <w:tab/>
        <w:t>…</w:t>
      </w:r>
    </w:p>
    <w:p w14:paraId="4390E3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Determine or clarify the meaning of unknown and multiple-meaning words and phrases based on grade-level reading and content.</w:t>
      </w:r>
    </w:p>
    <w:p w14:paraId="2869C1B3"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 xml:space="preserve">Use sentence-level context to determine the meaning of a word or phrase. </w:t>
      </w:r>
    </w:p>
    <w:p w14:paraId="7C38A8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C.2. - E.</w:t>
      </w:r>
      <w:r w:rsidRPr="006E50FF">
        <w:rPr>
          <w:rFonts w:eastAsia="Calibri"/>
          <w:kern w:val="2"/>
        </w:rPr>
        <w:tab/>
        <w:t>…</w:t>
      </w:r>
    </w:p>
    <w:p w14:paraId="249795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664FCF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42:1022 (July 2016), amended LR 52:1173 (July 2026), LR 52:</w:t>
      </w:r>
    </w:p>
    <w:p w14:paraId="1ED3A1B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83" w:name="_Toc191363394"/>
      <w:bookmarkStart w:id="384" w:name="_Toc235600547"/>
      <w:r w:rsidRPr="006E50FF">
        <w:rPr>
          <w:b/>
          <w:kern w:val="2"/>
        </w:rPr>
        <w:t>Chapter 7.</w:t>
      </w:r>
      <w:bookmarkEnd w:id="383"/>
      <w:r w:rsidRPr="006E50FF">
        <w:rPr>
          <w:b/>
          <w:kern w:val="2"/>
        </w:rPr>
        <w:tab/>
        <w:t>Grade 2</w:t>
      </w:r>
      <w:bookmarkEnd w:id="384"/>
    </w:p>
    <w:p w14:paraId="37EEDA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5" w:name="_Toc191363395"/>
      <w:bookmarkStart w:id="386" w:name="_Toc235600548"/>
      <w:r w:rsidRPr="006E50FF">
        <w:rPr>
          <w:b/>
          <w:kern w:val="2"/>
        </w:rPr>
        <w:t>§701.</w:t>
      </w:r>
      <w:r w:rsidRPr="006E50FF">
        <w:rPr>
          <w:b/>
          <w:kern w:val="2"/>
        </w:rPr>
        <w:tab/>
      </w:r>
      <w:bookmarkEnd w:id="385"/>
      <w:r w:rsidRPr="006E50FF">
        <w:rPr>
          <w:b/>
          <w:kern w:val="2"/>
        </w:rPr>
        <w:t>Reading Literature</w:t>
      </w:r>
      <w:bookmarkEnd w:id="386"/>
      <w:r w:rsidRPr="006E50FF">
        <w:rPr>
          <w:b/>
          <w:kern w:val="2"/>
        </w:rPr>
        <w:t xml:space="preserve"> </w:t>
      </w:r>
    </w:p>
    <w:p w14:paraId="615043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G.</w:t>
      </w:r>
      <w:r w:rsidRPr="006E50FF">
        <w:rPr>
          <w:kern w:val="2"/>
        </w:rPr>
        <w:tab/>
        <w:t xml:space="preserve">… </w:t>
      </w:r>
    </w:p>
    <w:p w14:paraId="5F3F59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 xml:space="preserve">Compare and contrast two or more versions of the same story by different authors or from different traditions. </w:t>
      </w:r>
    </w:p>
    <w:p w14:paraId="1C5647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w:t>
      </w:r>
    </w:p>
    <w:p w14:paraId="34F718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066148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42:1023 (July 2016), amended LR 52:1173 (July 2026), LR 52:</w:t>
      </w:r>
    </w:p>
    <w:p w14:paraId="5D195C2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7" w:name="_Toc191363396"/>
      <w:bookmarkStart w:id="388" w:name="_Toc235600549"/>
      <w:r w:rsidRPr="006E50FF">
        <w:rPr>
          <w:b/>
          <w:kern w:val="2"/>
        </w:rPr>
        <w:t>§703.</w:t>
      </w:r>
      <w:r w:rsidRPr="006E50FF">
        <w:rPr>
          <w:b/>
          <w:kern w:val="2"/>
        </w:rPr>
        <w:tab/>
      </w:r>
      <w:bookmarkEnd w:id="387"/>
      <w:r w:rsidRPr="006E50FF">
        <w:rPr>
          <w:b/>
          <w:kern w:val="2"/>
        </w:rPr>
        <w:t>Reading Informational Text</w:t>
      </w:r>
      <w:bookmarkEnd w:id="388"/>
      <w:r w:rsidRPr="006E50FF">
        <w:rPr>
          <w:b/>
          <w:kern w:val="2"/>
        </w:rPr>
        <w:t xml:space="preserve"> </w:t>
      </w:r>
    </w:p>
    <w:p w14:paraId="30F029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w:t>
      </w:r>
      <w:r w:rsidRPr="006E50FF">
        <w:rPr>
          <w:kern w:val="2"/>
        </w:rPr>
        <w:tab/>
        <w:t xml:space="preserve">… </w:t>
      </w:r>
    </w:p>
    <w:p w14:paraId="087B4A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Explain how specific images (e.g., diagrams) contribute to and clarify a text.</w:t>
      </w:r>
    </w:p>
    <w:p w14:paraId="7CD7B8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J.</w:t>
      </w:r>
      <w:r w:rsidRPr="006E50FF">
        <w:rPr>
          <w:kern w:val="2"/>
        </w:rPr>
        <w:tab/>
        <w:t>…</w:t>
      </w:r>
    </w:p>
    <w:p w14:paraId="7AE0BC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1AA92E1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42:1023 (July 2016), amended LR 52:1173 (July 2026), LR 52:</w:t>
      </w:r>
    </w:p>
    <w:p w14:paraId="675ACEE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9" w:name="_Toc191363397"/>
      <w:bookmarkStart w:id="390" w:name="_Toc235600550"/>
      <w:r w:rsidRPr="006E50FF">
        <w:rPr>
          <w:b/>
          <w:kern w:val="2"/>
        </w:rPr>
        <w:t>§705.</w:t>
      </w:r>
      <w:r w:rsidRPr="006E50FF">
        <w:rPr>
          <w:b/>
          <w:kern w:val="2"/>
        </w:rPr>
        <w:tab/>
      </w:r>
      <w:bookmarkEnd w:id="389"/>
      <w:r w:rsidRPr="006E50FF">
        <w:rPr>
          <w:b/>
          <w:kern w:val="2"/>
        </w:rPr>
        <w:t>Reading Foundations</w:t>
      </w:r>
      <w:bookmarkEnd w:id="390"/>
      <w:r w:rsidRPr="006E50FF">
        <w:rPr>
          <w:b/>
          <w:kern w:val="2"/>
        </w:rPr>
        <w:t xml:space="preserve"> </w:t>
      </w:r>
    </w:p>
    <w:p w14:paraId="21C0288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A.1</w:t>
      </w:r>
      <w:r w:rsidRPr="006E50FF">
        <w:rPr>
          <w:kern w:val="2"/>
        </w:rPr>
        <w:tab/>
        <w:t>…</w:t>
      </w:r>
    </w:p>
    <w:p w14:paraId="63DF3D6C"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Decode and encode words with open and closed syllables and consonant -le .</w:t>
      </w:r>
    </w:p>
    <w:p w14:paraId="0644408A"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3.</w:t>
      </w:r>
      <w:r w:rsidRPr="006E50FF">
        <w:rPr>
          <w:rFonts w:eastAsia="Calibri"/>
          <w:kern w:val="2"/>
        </w:rPr>
        <w:tab/>
        <w:t>Decode and encode regularly spelled two-syllable words with long and short vowels.</w:t>
      </w:r>
    </w:p>
    <w:p w14:paraId="036C9B9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A.4. - B.2.</w:t>
      </w:r>
      <w:r w:rsidRPr="006E50FF">
        <w:rPr>
          <w:kern w:val="2"/>
        </w:rPr>
        <w:tab/>
        <w:t>…</w:t>
      </w:r>
    </w:p>
    <w:p w14:paraId="789AB9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Demonstrate understanding of the organization and basic features of print. </w:t>
      </w:r>
    </w:p>
    <w:p w14:paraId="62D285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Print letters, words, and sentences legibly, leaving appropriate spaces between words.</w:t>
      </w:r>
    </w:p>
    <w:p w14:paraId="414933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Develop handwriting by accurately forming all cursive letters using appropriate strokes when connecting letters.</w:t>
      </w:r>
    </w:p>
    <w:p w14:paraId="304995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Repealed.</w:t>
      </w:r>
    </w:p>
    <w:p w14:paraId="11F5A3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1799D4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42:1023 (July 2016), amended LR 52:1174 (July 2026), LR 52:</w:t>
      </w:r>
    </w:p>
    <w:p w14:paraId="037360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1" w:name="_Toc191363398"/>
      <w:bookmarkStart w:id="392" w:name="_Toc235600551"/>
      <w:r w:rsidRPr="006E50FF">
        <w:rPr>
          <w:b/>
          <w:kern w:val="2"/>
        </w:rPr>
        <w:t>§707.</w:t>
      </w:r>
      <w:r w:rsidRPr="006E50FF">
        <w:rPr>
          <w:b/>
          <w:kern w:val="2"/>
        </w:rPr>
        <w:tab/>
      </w:r>
      <w:bookmarkEnd w:id="391"/>
      <w:r w:rsidRPr="006E50FF">
        <w:rPr>
          <w:b/>
          <w:kern w:val="2"/>
        </w:rPr>
        <w:t>Writing</w:t>
      </w:r>
      <w:bookmarkEnd w:id="392"/>
      <w:r w:rsidRPr="006E50FF">
        <w:rPr>
          <w:b/>
          <w:kern w:val="2"/>
        </w:rPr>
        <w:t xml:space="preserve"> </w:t>
      </w:r>
    </w:p>
    <w:p w14:paraId="7C527A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Write opinion pieces about a topic or text. </w:t>
      </w:r>
    </w:p>
    <w:p w14:paraId="0336B7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H.</w:t>
      </w:r>
      <w:r w:rsidRPr="006E50FF">
        <w:rPr>
          <w:kern w:val="2"/>
        </w:rPr>
        <w:tab/>
        <w:t>…</w:t>
      </w:r>
    </w:p>
    <w:p w14:paraId="653C84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DAD5F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42:1024 (July 2016), amended LR 52:1174 (July 2026), LR 52:</w:t>
      </w:r>
    </w:p>
    <w:p w14:paraId="5F2988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393" w:name="_Toc235600553"/>
      <w:r w:rsidRPr="006E50FF">
        <w:rPr>
          <w:rFonts w:eastAsia="Calibri"/>
          <w:b/>
          <w:kern w:val="2"/>
        </w:rPr>
        <w:t>§711.</w:t>
      </w:r>
      <w:r w:rsidRPr="006E50FF">
        <w:rPr>
          <w:rFonts w:eastAsia="Calibri"/>
          <w:b/>
          <w:kern w:val="2"/>
        </w:rPr>
        <w:tab/>
        <w:t>Language</w:t>
      </w:r>
      <w:bookmarkEnd w:id="393"/>
    </w:p>
    <w:p w14:paraId="576C752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D.3.</w:t>
      </w:r>
      <w:r w:rsidRPr="006E50FF">
        <w:rPr>
          <w:kern w:val="2"/>
        </w:rPr>
        <w:tab/>
        <w:t>…</w:t>
      </w:r>
      <w:r w:rsidRPr="006E50FF">
        <w:rPr>
          <w:rFonts w:eastAsia="Calibri"/>
          <w:kern w:val="2"/>
        </w:rPr>
        <w:t xml:space="preserve"> </w:t>
      </w:r>
    </w:p>
    <w:p w14:paraId="76D7A7D1"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4.</w:t>
      </w:r>
      <w:r w:rsidRPr="006E50FF">
        <w:rPr>
          <w:rFonts w:eastAsia="Calibri"/>
          <w:kern w:val="2"/>
        </w:rPr>
        <w:tab/>
        <w:t>Use knowledge of the meaning of individual words to determine the meaning of compound words.</w:t>
      </w:r>
    </w:p>
    <w:p w14:paraId="4A4DFB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D.5. - F.</w:t>
      </w:r>
      <w:r w:rsidRPr="006E50FF">
        <w:rPr>
          <w:rFonts w:eastAsia="Calibri"/>
          <w:kern w:val="2"/>
        </w:rPr>
        <w:tab/>
        <w:t>…</w:t>
      </w:r>
    </w:p>
    <w:p w14:paraId="2CC0EF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00A016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42:1024 (July 2016). amended LR 52:1174 (July 2026), LR 52:</w:t>
      </w:r>
    </w:p>
    <w:p w14:paraId="1890BB7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94" w:name="TOC_Chap8"/>
      <w:bookmarkStart w:id="395" w:name="_Toc191363404"/>
      <w:bookmarkStart w:id="396" w:name="_Toc235600561"/>
      <w:r w:rsidRPr="006E50FF">
        <w:rPr>
          <w:b/>
          <w:kern w:val="2"/>
        </w:rPr>
        <w:t>Chapter 11.</w:t>
      </w:r>
      <w:bookmarkEnd w:id="394"/>
      <w:r w:rsidRPr="006E50FF">
        <w:rPr>
          <w:b/>
          <w:kern w:val="2"/>
        </w:rPr>
        <w:tab/>
      </w:r>
      <w:bookmarkEnd w:id="395"/>
      <w:r w:rsidRPr="006E50FF">
        <w:rPr>
          <w:b/>
          <w:kern w:val="2"/>
        </w:rPr>
        <w:t>Grade 4</w:t>
      </w:r>
      <w:bookmarkEnd w:id="396"/>
    </w:p>
    <w:p w14:paraId="037569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7" w:name="_Toc191363406"/>
      <w:bookmarkStart w:id="398" w:name="_Toc235600563"/>
      <w:r w:rsidRPr="006E50FF">
        <w:rPr>
          <w:b/>
          <w:kern w:val="2"/>
        </w:rPr>
        <w:t>§1103.</w:t>
      </w:r>
      <w:r w:rsidRPr="006E50FF">
        <w:rPr>
          <w:b/>
          <w:kern w:val="2"/>
        </w:rPr>
        <w:tab/>
      </w:r>
      <w:bookmarkEnd w:id="397"/>
      <w:r w:rsidRPr="006E50FF">
        <w:rPr>
          <w:b/>
          <w:kern w:val="2"/>
        </w:rPr>
        <w:t>Reading Informational Text</w:t>
      </w:r>
      <w:bookmarkEnd w:id="398"/>
    </w:p>
    <w:p w14:paraId="4A51B7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Refer to details and examples from a text when explaining what the text says explicitly and when drawing inferences.</w:t>
      </w:r>
    </w:p>
    <w:p w14:paraId="3BEA8C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 w:val="24"/>
        </w:rPr>
      </w:pPr>
      <w:r w:rsidRPr="006E50FF">
        <w:rPr>
          <w:kern w:val="2"/>
        </w:rPr>
        <w:t>B. - J.</w:t>
      </w:r>
      <w:r w:rsidRPr="006E50FF">
        <w:rPr>
          <w:kern w:val="2"/>
        </w:rPr>
        <w:tab/>
        <w:t>…</w:t>
      </w:r>
    </w:p>
    <w:p w14:paraId="302635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4EBF9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42:1027 (July 2016), amended LR 52:1176 (July 2026), LR 52:</w:t>
      </w:r>
    </w:p>
    <w:p w14:paraId="2BDFF93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9" w:name="_Toc235600567"/>
      <w:r w:rsidRPr="006E50FF">
        <w:rPr>
          <w:b/>
          <w:kern w:val="2"/>
        </w:rPr>
        <w:t>§1111.</w:t>
      </w:r>
      <w:r w:rsidRPr="006E50FF">
        <w:rPr>
          <w:b/>
          <w:kern w:val="2"/>
        </w:rPr>
        <w:tab/>
        <w:t>Language</w:t>
      </w:r>
      <w:bookmarkEnd w:id="399"/>
    </w:p>
    <w:p w14:paraId="4A68F0C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C.3.</w:t>
      </w:r>
      <w:r w:rsidRPr="006E50FF">
        <w:rPr>
          <w:kern w:val="2"/>
        </w:rPr>
        <w:tab/>
        <w:t>…</w:t>
      </w:r>
    </w:p>
    <w:p w14:paraId="36E9B9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Determine or clarify the meaning of unknown and multiple-meaning words and phrases based on grade-level texts and content.</w:t>
      </w:r>
    </w:p>
    <w:p w14:paraId="3F7BF1E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br w:type="page"/>
      </w:r>
    </w:p>
    <w:p w14:paraId="10FBFA3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lastRenderedPageBreak/>
        <w:t>D.1. - E.3.</w:t>
      </w:r>
      <w:r w:rsidRPr="006E50FF">
        <w:rPr>
          <w:rFonts w:eastAsia="Calibri"/>
          <w:kern w:val="2"/>
        </w:rPr>
        <w:tab/>
        <w:t>…</w:t>
      </w:r>
    </w:p>
    <w:p w14:paraId="2DBA0A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Acquire and accurately use grade-appropriate general academic and domain-specific words and phrases, including those that signal precise actions, emotions, or states of being and relate to a particular topic.</w:t>
      </w:r>
    </w:p>
    <w:p w14:paraId="552D30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1AEB6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42:1028 (July 2016), amended LR 52:1177 (July 2026), LR 52:</w:t>
      </w:r>
    </w:p>
    <w:p w14:paraId="66A7A00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0" w:name="_Toc191363409"/>
      <w:bookmarkStart w:id="401" w:name="TOC_Chap9"/>
      <w:bookmarkStart w:id="402" w:name="_Toc235600568"/>
      <w:r w:rsidRPr="006E50FF">
        <w:rPr>
          <w:b/>
          <w:kern w:val="2"/>
        </w:rPr>
        <w:t>Chapter 13.</w:t>
      </w:r>
      <w:bookmarkEnd w:id="400"/>
      <w:bookmarkEnd w:id="401"/>
      <w:r w:rsidRPr="006E50FF">
        <w:rPr>
          <w:b/>
          <w:kern w:val="2"/>
        </w:rPr>
        <w:tab/>
        <w:t>Grade 5</w:t>
      </w:r>
      <w:bookmarkEnd w:id="402"/>
    </w:p>
    <w:p w14:paraId="47B3FAC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3" w:name="_Toc191363412"/>
      <w:bookmarkStart w:id="404" w:name="_Toc235600571"/>
      <w:r w:rsidRPr="006E50FF">
        <w:rPr>
          <w:b/>
          <w:kern w:val="2"/>
        </w:rPr>
        <w:t>§1305.</w:t>
      </w:r>
      <w:r w:rsidRPr="006E50FF">
        <w:rPr>
          <w:b/>
          <w:kern w:val="2"/>
        </w:rPr>
        <w:tab/>
      </w:r>
      <w:bookmarkEnd w:id="403"/>
      <w:r w:rsidRPr="006E50FF">
        <w:rPr>
          <w:b/>
          <w:kern w:val="2"/>
        </w:rPr>
        <w:t>Reading Foundations</w:t>
      </w:r>
      <w:bookmarkEnd w:id="404"/>
      <w:r w:rsidRPr="006E50FF">
        <w:rPr>
          <w:b/>
          <w:kern w:val="2"/>
        </w:rPr>
        <w:t xml:space="preserve"> </w:t>
      </w:r>
    </w:p>
    <w:p w14:paraId="5EA949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F7231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combined knowledge of all letter-sound correspondences, syllabication patterns, and morphology (e.g., roots and affixes) to read, decode, and encode unfamiliar multisyllabic words in context and out of context.</w:t>
      </w:r>
    </w:p>
    <w:p w14:paraId="7AD4E0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Repealed.</w:t>
      </w:r>
    </w:p>
    <w:p w14:paraId="53C6385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C. - D.</w:t>
      </w:r>
      <w:r w:rsidRPr="006E50FF">
        <w:rPr>
          <w:kern w:val="2"/>
        </w:rPr>
        <w:tab/>
        <w:t>…</w:t>
      </w:r>
    </w:p>
    <w:p w14:paraId="766D5E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CD39F8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42:1030 (July 2016), amended LR 52:1178 (July 2026), LR 52:</w:t>
      </w:r>
    </w:p>
    <w:p w14:paraId="3D9BC68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5" w:name="_Toc235600574"/>
      <w:r w:rsidRPr="006E50FF">
        <w:rPr>
          <w:b/>
          <w:kern w:val="2"/>
        </w:rPr>
        <w:t>§1311.</w:t>
      </w:r>
      <w:r w:rsidRPr="006E50FF">
        <w:rPr>
          <w:b/>
          <w:kern w:val="2"/>
        </w:rPr>
        <w:tab/>
        <w:t>Language</w:t>
      </w:r>
      <w:bookmarkEnd w:id="405"/>
    </w:p>
    <w:p w14:paraId="1C1AE8C8"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D.1.</w:t>
      </w:r>
      <w:r w:rsidRPr="006E50FF">
        <w:rPr>
          <w:kern w:val="2"/>
        </w:rPr>
        <w:tab/>
        <w:t>…</w:t>
      </w:r>
    </w:p>
    <w:p w14:paraId="4F60F0AF"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Use common, grade-appropriate Greek and Latin affixes and roots to determine the meaning of a word.</w:t>
      </w:r>
    </w:p>
    <w:p w14:paraId="54FE53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D.3. - F.</w:t>
      </w:r>
      <w:r w:rsidRPr="006E50FF">
        <w:rPr>
          <w:kern w:val="2"/>
        </w:rPr>
        <w:tab/>
        <w:t>…</w:t>
      </w:r>
    </w:p>
    <w:p w14:paraId="3BE84E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A1C26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42:1031 (July 2016), amended LR 52:1178 (July 2026), LR 52:</w:t>
      </w:r>
    </w:p>
    <w:p w14:paraId="050E99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6" w:name="TOC_Chap10"/>
      <w:bookmarkStart w:id="407" w:name="_Toc191363414"/>
      <w:bookmarkStart w:id="408" w:name="_Toc235600575"/>
      <w:r w:rsidRPr="006E50FF">
        <w:rPr>
          <w:b/>
          <w:kern w:val="2"/>
        </w:rPr>
        <w:t>Chapter 15.</w:t>
      </w:r>
      <w:bookmarkStart w:id="409" w:name="TOCT_Chap10"/>
      <w:bookmarkEnd w:id="406"/>
      <w:r w:rsidRPr="006E50FF">
        <w:rPr>
          <w:b/>
          <w:kern w:val="2"/>
        </w:rPr>
        <w:tab/>
        <w:t xml:space="preserve">Grade </w:t>
      </w:r>
      <w:bookmarkEnd w:id="407"/>
      <w:bookmarkEnd w:id="409"/>
      <w:r w:rsidRPr="006E50FF">
        <w:rPr>
          <w:b/>
          <w:kern w:val="2"/>
        </w:rPr>
        <w:t>6</w:t>
      </w:r>
      <w:bookmarkEnd w:id="408"/>
    </w:p>
    <w:p w14:paraId="1C22EA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0" w:name="_Toc191363417"/>
      <w:bookmarkStart w:id="411" w:name="_Toc235600578"/>
      <w:r w:rsidRPr="006E50FF">
        <w:rPr>
          <w:b/>
          <w:kern w:val="2"/>
        </w:rPr>
        <w:t>§1505.</w:t>
      </w:r>
      <w:r w:rsidRPr="006E50FF">
        <w:rPr>
          <w:b/>
          <w:kern w:val="2"/>
        </w:rPr>
        <w:tab/>
      </w:r>
      <w:bookmarkEnd w:id="410"/>
      <w:r w:rsidRPr="006E50FF">
        <w:rPr>
          <w:b/>
          <w:kern w:val="2"/>
        </w:rPr>
        <w:t>Writing</w:t>
      </w:r>
      <w:bookmarkEnd w:id="411"/>
      <w:r w:rsidRPr="006E50FF">
        <w:rPr>
          <w:b/>
          <w:kern w:val="2"/>
        </w:rPr>
        <w:t xml:space="preserve"> </w:t>
      </w:r>
    </w:p>
    <w:p w14:paraId="0295F87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A.4.</w:t>
      </w:r>
      <w:r w:rsidRPr="006E50FF">
        <w:rPr>
          <w:kern w:val="2"/>
        </w:rPr>
        <w:tab/>
        <w:t>…</w:t>
      </w:r>
    </w:p>
    <w:p w14:paraId="4E699FBB"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5.</w:t>
      </w:r>
      <w:r w:rsidRPr="006E50FF">
        <w:rPr>
          <w:rFonts w:eastAsia="Calibri"/>
          <w:kern w:val="2"/>
        </w:rPr>
        <w:tab/>
        <w:t>Provide a concluding section that follows from the argument presented.</w:t>
      </w:r>
    </w:p>
    <w:p w14:paraId="4521B3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J.</w:t>
      </w:r>
      <w:r w:rsidRPr="006E50FF">
        <w:rPr>
          <w:kern w:val="2"/>
        </w:rPr>
        <w:tab/>
        <w:t xml:space="preserve">… </w:t>
      </w:r>
    </w:p>
    <w:p w14:paraId="38E112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2D8C2C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42:1032 (July 2016), amended LR 52:1179 (July 2026), LR 52:</w:t>
      </w:r>
    </w:p>
    <w:p w14:paraId="759F621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2" w:name="_Toc235600593"/>
      <w:r w:rsidRPr="006E50FF">
        <w:rPr>
          <w:b/>
          <w:kern w:val="2"/>
        </w:rPr>
        <w:t>Chapter 21.</w:t>
      </w:r>
      <w:r w:rsidRPr="006E50FF">
        <w:rPr>
          <w:b/>
          <w:kern w:val="2"/>
        </w:rPr>
        <w:tab/>
        <w:t>Grades 9 and 10</w:t>
      </w:r>
      <w:bookmarkEnd w:id="412"/>
    </w:p>
    <w:p w14:paraId="7E8371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3" w:name="_Toc235600596"/>
      <w:r w:rsidRPr="006E50FF">
        <w:rPr>
          <w:b/>
          <w:kern w:val="2"/>
        </w:rPr>
        <w:t>§2105.</w:t>
      </w:r>
      <w:r w:rsidRPr="006E50FF">
        <w:rPr>
          <w:b/>
          <w:kern w:val="2"/>
        </w:rPr>
        <w:tab/>
        <w:t>Writing</w:t>
      </w:r>
      <w:bookmarkEnd w:id="413"/>
    </w:p>
    <w:p w14:paraId="13944E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3B88AB9B"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Provide a thesis statement that introduces a precise claim(s), distinguishes the claim(s) from alternate or opposing claims, and creates an organizational structure for establishing clear relationships among claim(s), counterclaims, reasons, and evidence.</w:t>
      </w:r>
    </w:p>
    <w:p w14:paraId="052C322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G.</w:t>
      </w:r>
      <w:r w:rsidRPr="006E50FF">
        <w:rPr>
          <w:kern w:val="2"/>
        </w:rPr>
        <w:tab/>
        <w:t>…</w:t>
      </w:r>
    </w:p>
    <w:p w14:paraId="0B8DAC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Gather relevant information from print and digital sources.</w:t>
      </w:r>
    </w:p>
    <w:p w14:paraId="551263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search terms effectively.</w:t>
      </w:r>
    </w:p>
    <w:p w14:paraId="3D71D8B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H.2. - J.</w:t>
      </w:r>
      <w:r w:rsidRPr="006E50FF">
        <w:rPr>
          <w:kern w:val="2"/>
        </w:rPr>
        <w:tab/>
        <w:t>…</w:t>
      </w:r>
    </w:p>
    <w:p w14:paraId="53936A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979D1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42:1038 (July 2016), amended LR 52:1183 (July 2026), LR 52:</w:t>
      </w:r>
    </w:p>
    <w:p w14:paraId="316324F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4" w:name="_Toc235600599"/>
      <w:r w:rsidRPr="006E50FF">
        <w:rPr>
          <w:b/>
          <w:kern w:val="2"/>
        </w:rPr>
        <w:t>Chapter 23.</w:t>
      </w:r>
      <w:r w:rsidRPr="006E50FF">
        <w:rPr>
          <w:b/>
          <w:kern w:val="2"/>
        </w:rPr>
        <w:tab/>
        <w:t>Grades 11 and 12</w:t>
      </w:r>
      <w:bookmarkEnd w:id="414"/>
    </w:p>
    <w:p w14:paraId="438D518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5" w:name="_Toc235600602"/>
      <w:r w:rsidRPr="006E50FF">
        <w:rPr>
          <w:b/>
          <w:kern w:val="2"/>
        </w:rPr>
        <w:t>§2305.</w:t>
      </w:r>
      <w:r w:rsidRPr="006E50FF">
        <w:rPr>
          <w:b/>
          <w:kern w:val="2"/>
        </w:rPr>
        <w:tab/>
        <w:t>Writing</w:t>
      </w:r>
      <w:bookmarkEnd w:id="415"/>
      <w:r w:rsidRPr="006E50FF">
        <w:rPr>
          <w:b/>
          <w:kern w:val="2"/>
        </w:rPr>
        <w:t xml:space="preserve"> </w:t>
      </w:r>
    </w:p>
    <w:p w14:paraId="1F7D53F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w:t>
      </w:r>
      <w:r w:rsidRPr="006E50FF">
        <w:rPr>
          <w:kern w:val="2"/>
        </w:rPr>
        <w:t>. - B.6.</w:t>
      </w:r>
      <w:r w:rsidRPr="006E50FF">
        <w:rPr>
          <w:kern w:val="2"/>
        </w:rPr>
        <w:tab/>
        <w:t>…</w:t>
      </w:r>
    </w:p>
    <w:p w14:paraId="260A7C0D"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7.</w:t>
      </w:r>
      <w:r w:rsidRPr="006E50FF">
        <w:rPr>
          <w:rFonts w:eastAsia="Calibri"/>
          <w:kern w:val="2"/>
        </w:rPr>
        <w:tab/>
        <w:t>Organize complex ideas, concepts, and information so that each new element builds on that which precedes it to create a unified whole, including formatting (e.g., headings), graphics (e.g., figures, tables), and multimedia when useful in aiding comprehension.</w:t>
      </w:r>
    </w:p>
    <w:p w14:paraId="7B45D2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G.</w:t>
      </w:r>
      <w:r w:rsidRPr="006E50FF">
        <w:rPr>
          <w:kern w:val="2"/>
        </w:rPr>
        <w:tab/>
        <w:t>…</w:t>
      </w:r>
    </w:p>
    <w:p w14:paraId="40A348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Gather relevant information from print and digital sources.</w:t>
      </w:r>
    </w:p>
    <w:p w14:paraId="532991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H.1. - J.</w:t>
      </w:r>
      <w:r w:rsidRPr="006E50FF">
        <w:rPr>
          <w:kern w:val="2"/>
        </w:rPr>
        <w:tab/>
        <w:t>...</w:t>
      </w:r>
    </w:p>
    <w:p w14:paraId="7CAFD5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009CA2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42:1041 (July 2016), amended LR 52:1185 (July 2026), LR 52:</w:t>
      </w:r>
    </w:p>
    <w:p w14:paraId="1413D1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6" w:name="_Toc235600604"/>
      <w:r w:rsidRPr="006E50FF">
        <w:rPr>
          <w:b/>
          <w:kern w:val="2"/>
        </w:rPr>
        <w:t>§2309.</w:t>
      </w:r>
      <w:r w:rsidRPr="006E50FF">
        <w:rPr>
          <w:b/>
          <w:kern w:val="2"/>
        </w:rPr>
        <w:tab/>
        <w:t>Language</w:t>
      </w:r>
      <w:bookmarkEnd w:id="416"/>
      <w:r w:rsidRPr="006E50FF">
        <w:rPr>
          <w:b/>
          <w:kern w:val="2"/>
        </w:rPr>
        <w:t xml:space="preserve"> </w:t>
      </w:r>
    </w:p>
    <w:p w14:paraId="575398B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C.2.</w:t>
      </w:r>
      <w:r w:rsidRPr="006E50FF">
        <w:rPr>
          <w:kern w:val="2"/>
        </w:rPr>
        <w:tab/>
        <w:t>…</w:t>
      </w:r>
    </w:p>
    <w:p w14:paraId="3D1708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Determine or clarify the meaning of unknown and multiple-meaning words and phrases based on grade-level texts and content.</w:t>
      </w:r>
    </w:p>
    <w:p w14:paraId="37BD42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D.1. - F.</w:t>
      </w:r>
      <w:r w:rsidRPr="006E50FF">
        <w:rPr>
          <w:rFonts w:eastAsia="Calibri"/>
          <w:kern w:val="2"/>
        </w:rPr>
        <w:tab/>
        <w:t>…</w:t>
      </w:r>
    </w:p>
    <w:p w14:paraId="72A5B9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ADC67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42:1042 (July 2016), amended LR 52:1186 (July 2026), LR 52:</w:t>
      </w:r>
    </w:p>
    <w:p w14:paraId="546E8AB3" w14:textId="77777777" w:rsidR="006E50FF" w:rsidRPr="006E50FF" w:rsidRDefault="006E50FF" w:rsidP="006E50FF">
      <w:pPr>
        <w:keepNext/>
        <w:jc w:val="center"/>
        <w:rPr>
          <w:b/>
          <w:kern w:val="28"/>
        </w:rPr>
      </w:pPr>
      <w:r w:rsidRPr="006E50FF">
        <w:rPr>
          <w:b/>
          <w:kern w:val="28"/>
        </w:rPr>
        <w:t>Family Impact Statement</w:t>
      </w:r>
    </w:p>
    <w:p w14:paraId="2FCBEA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3CDF5D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600E05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14F56F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26C4E6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6ADA5F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569113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16B8DAB5" w14:textId="77777777" w:rsidR="006E50FF" w:rsidRPr="006E50FF" w:rsidRDefault="006E50FF" w:rsidP="006E50FF">
      <w:pPr>
        <w:keepNext/>
        <w:jc w:val="center"/>
        <w:rPr>
          <w:b/>
          <w:kern w:val="28"/>
        </w:rPr>
      </w:pPr>
      <w:r w:rsidRPr="006E50FF">
        <w:rPr>
          <w:b/>
          <w:kern w:val="28"/>
        </w:rPr>
        <w:t>Poverty Impact Statement</w:t>
      </w:r>
    </w:p>
    <w:p w14:paraId="4CAB06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582B17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083713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Will the proposed Rule affect early childhood development and preschool through postsecondary education development? No.</w:t>
      </w:r>
    </w:p>
    <w:p w14:paraId="43E561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51DE4C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583817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7AF7BDF0" w14:textId="77777777" w:rsidR="006E50FF" w:rsidRPr="006E50FF" w:rsidRDefault="006E50FF" w:rsidP="006E50FF">
      <w:pPr>
        <w:keepNext/>
        <w:jc w:val="center"/>
        <w:rPr>
          <w:b/>
          <w:kern w:val="28"/>
        </w:rPr>
      </w:pPr>
      <w:r w:rsidRPr="006E50FF">
        <w:rPr>
          <w:b/>
          <w:kern w:val="28"/>
        </w:rPr>
        <w:t>Small Business Analysis</w:t>
      </w:r>
    </w:p>
    <w:p w14:paraId="0D3EA5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376AE4C4" w14:textId="77777777" w:rsidR="006E50FF" w:rsidRPr="006E50FF" w:rsidRDefault="006E50FF" w:rsidP="006E50FF">
      <w:pPr>
        <w:keepNext/>
        <w:jc w:val="center"/>
        <w:rPr>
          <w:b/>
          <w:kern w:val="28"/>
        </w:rPr>
      </w:pPr>
      <w:r w:rsidRPr="006E50FF">
        <w:rPr>
          <w:b/>
          <w:kern w:val="28"/>
        </w:rPr>
        <w:t>Provider Impact Statement</w:t>
      </w:r>
    </w:p>
    <w:p w14:paraId="1AD6F7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43DD76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22065F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697B8A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4372400A" w14:textId="77777777" w:rsidR="006E50FF" w:rsidRPr="006E50FF" w:rsidRDefault="006E50FF" w:rsidP="006E50FF">
      <w:pPr>
        <w:keepNext/>
        <w:jc w:val="center"/>
        <w:rPr>
          <w:b/>
          <w:kern w:val="28"/>
        </w:rPr>
      </w:pPr>
      <w:r w:rsidRPr="006E50FF">
        <w:rPr>
          <w:b/>
          <w:kern w:val="28"/>
        </w:rPr>
        <w:t>Public Comments</w:t>
      </w:r>
    </w:p>
    <w:p w14:paraId="110F94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1DB651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6686D87" w14:textId="77777777" w:rsidR="006E50FF" w:rsidRPr="006E50FF" w:rsidRDefault="006E50FF" w:rsidP="006E50FF">
      <w:pPr>
        <w:keepNext/>
        <w:ind w:left="2160"/>
        <w:jc w:val="both"/>
      </w:pPr>
      <w:r w:rsidRPr="006E50FF">
        <w:t>Tavares A. Walker</w:t>
      </w:r>
    </w:p>
    <w:p w14:paraId="1F3ED4C6" w14:textId="77777777" w:rsidR="006E50FF" w:rsidRPr="006E50FF" w:rsidRDefault="006E50FF" w:rsidP="006E50FF">
      <w:pPr>
        <w:keepNext/>
        <w:ind w:left="2160"/>
        <w:jc w:val="both"/>
      </w:pPr>
      <w:r w:rsidRPr="006E50FF">
        <w:t>Executive Director</w:t>
      </w:r>
    </w:p>
    <w:p w14:paraId="487565CE" w14:textId="77777777" w:rsidR="006E50FF" w:rsidRPr="006E50FF" w:rsidRDefault="006E50FF" w:rsidP="006E50FF">
      <w:pPr>
        <w:keepNext/>
        <w:jc w:val="center"/>
        <w:rPr>
          <w:b/>
        </w:rPr>
      </w:pPr>
    </w:p>
    <w:p w14:paraId="5ACF5A50" w14:textId="77777777" w:rsidR="006E50FF" w:rsidRPr="006E50FF" w:rsidRDefault="006E50FF" w:rsidP="006E50FF">
      <w:pPr>
        <w:keepNext/>
        <w:jc w:val="center"/>
        <w:rPr>
          <w:b/>
        </w:rPr>
      </w:pPr>
      <w:r w:rsidRPr="006E50FF">
        <w:rPr>
          <w:b/>
        </w:rPr>
        <w:t>FISCAL AND ECONOMIC IMPACT STATEMENT FOR ADMINISTRATIVE RULES</w:t>
      </w:r>
    </w:p>
    <w:p w14:paraId="5FC89E08" w14:textId="77777777" w:rsidR="006E50FF" w:rsidRPr="006E50FF" w:rsidRDefault="006E50FF" w:rsidP="006E50FF">
      <w:pPr>
        <w:keepNext/>
        <w:jc w:val="center"/>
        <w:rPr>
          <w:b/>
          <w:noProof/>
        </w:rPr>
      </w:pPr>
      <w:r w:rsidRPr="006E50FF">
        <w:rPr>
          <w:b/>
          <w:noProof/>
        </w:rPr>
        <w:t>RULE TITLE:  Math and ELA Content Standards</w:t>
      </w:r>
    </w:p>
    <w:p w14:paraId="2E63731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8443A6A"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C81B94B" w14:textId="77777777" w:rsidR="006E50FF" w:rsidRPr="006E50FF" w:rsidRDefault="006E50FF" w:rsidP="006E50FF">
      <w:pPr>
        <w:ind w:left="288" w:firstLine="288"/>
        <w:jc w:val="both"/>
        <w:rPr>
          <w:noProof/>
          <w:sz w:val="18"/>
        </w:rPr>
      </w:pPr>
      <w:r w:rsidRPr="006E50FF">
        <w:rPr>
          <w:noProof/>
          <w:sz w:val="18"/>
        </w:rPr>
        <w:t xml:space="preserve">There are no anticipated implementation costs or savings to state or local governmental units as a result of the proposed rule change. The proposed rule change amends LAC 28:CXLII in </w:t>
      </w:r>
      <w:r w:rsidRPr="006E50FF">
        <w:rPr>
          <w:i/>
          <w:noProof/>
          <w:sz w:val="18"/>
        </w:rPr>
        <w:t>Bulletin 142—Louisiana Mathematics Student Standards</w:t>
      </w:r>
      <w:r w:rsidRPr="006E50FF">
        <w:rPr>
          <w:noProof/>
          <w:sz w:val="18"/>
        </w:rPr>
        <w:t xml:space="preserve"> and LAC 28:CLXIX in </w:t>
      </w:r>
      <w:r w:rsidRPr="006E50FF">
        <w:rPr>
          <w:i/>
          <w:noProof/>
          <w:sz w:val="18"/>
        </w:rPr>
        <w:t>Bulletin 169—Louisiana English Language Arts Student Standards</w:t>
      </w:r>
      <w:r w:rsidRPr="006E50FF">
        <w:rPr>
          <w:noProof/>
          <w:sz w:val="18"/>
        </w:rPr>
        <w:t xml:space="preserve">. </w:t>
      </w:r>
    </w:p>
    <w:p w14:paraId="07AE4259" w14:textId="77777777" w:rsidR="006E50FF" w:rsidRPr="006E50FF" w:rsidRDefault="006E50FF" w:rsidP="006E50FF">
      <w:pPr>
        <w:ind w:left="288" w:firstLine="288"/>
        <w:jc w:val="both"/>
        <w:rPr>
          <w:sz w:val="18"/>
        </w:rPr>
      </w:pPr>
      <w:r w:rsidRPr="006E50FF">
        <w:rPr>
          <w:sz w:val="18"/>
        </w:rPr>
        <w:br w:type="column"/>
      </w:r>
      <w:r w:rsidRPr="006E50FF">
        <w:rPr>
          <w:sz w:val="18"/>
        </w:rPr>
        <w:t>The revisions refine standards adopted in July 2026 by clarifying standard language, correcting grade-level designations, aligning parallel standards across courses, and removing illustrative examples. Revising the published standards documents and updating the associated instructional guidance are performed by existing Louisiana Department of Education staff within current workload, using positions and funding already appropriated. No change to assessment design, instructional materials review, or educator preparation is required by these revisions.</w:t>
      </w:r>
    </w:p>
    <w:p w14:paraId="43340A7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E82C25D"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39672DA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64FE8B0"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 as a result of the proposed rule change. The revisions clarify the wording of existing student standards and do not impose any new requirement, fee, or reporting obligation on students, families, or nongovernmental entities.</w:t>
      </w:r>
    </w:p>
    <w:p w14:paraId="029E938A"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188EC251"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37C16536" w14:textId="77777777" w:rsidR="006E50FF" w:rsidRPr="006E50FF" w:rsidRDefault="006E50FF" w:rsidP="006E50FF">
      <w:pPr>
        <w:ind w:left="288" w:firstLine="288"/>
        <w:jc w:val="both"/>
        <w:rPr>
          <w:sz w:val="18"/>
        </w:rPr>
      </w:pPr>
    </w:p>
    <w:p w14:paraId="1154938C"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74AD2DE9"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32C72B7F" w14:textId="77777777" w:rsidR="006E50FF" w:rsidRPr="006E50FF" w:rsidRDefault="006E50FF" w:rsidP="006E50FF">
      <w:pPr>
        <w:tabs>
          <w:tab w:val="left" w:pos="2880"/>
          <w:tab w:val="decimal" w:pos="2988"/>
        </w:tabs>
        <w:outlineLvl w:val="8"/>
        <w:rPr>
          <w:kern w:val="2"/>
          <w:sz w:val="18"/>
        </w:rPr>
      </w:pPr>
      <w:r w:rsidRPr="006E50FF">
        <w:rPr>
          <w:noProof/>
          <w:sz w:val="16"/>
        </w:rPr>
        <w:t>2609#074</w:t>
      </w:r>
      <w:r w:rsidRPr="006E50FF">
        <w:rPr>
          <w:kern w:val="2"/>
        </w:rPr>
        <w:tab/>
      </w:r>
      <w:r w:rsidRPr="006E50FF">
        <w:rPr>
          <w:kern w:val="2"/>
          <w:sz w:val="18"/>
        </w:rPr>
        <w:t>Legislative Fiscal officer</w:t>
      </w:r>
    </w:p>
    <w:p w14:paraId="1DDC77B0" w14:textId="77777777" w:rsidR="006E50FF" w:rsidRPr="006E50FF" w:rsidRDefault="006E50FF" w:rsidP="006E50FF"/>
    <w:p w14:paraId="2DE85888"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459918B8" w14:textId="77777777" w:rsidR="006E50FF" w:rsidRPr="006E50FF" w:rsidRDefault="006E50FF" w:rsidP="006E50FF">
      <w:pPr>
        <w:keepNext/>
        <w:jc w:val="center"/>
        <w:rPr>
          <w:b/>
          <w:noProof/>
        </w:rPr>
      </w:pPr>
      <w:r w:rsidRPr="006E50FF">
        <w:rPr>
          <w:b/>
          <w:noProof/>
        </w:rPr>
        <w:t>Board of Elementary and Secondary Education</w:t>
      </w:r>
    </w:p>
    <w:p w14:paraId="1D563758" w14:textId="77777777" w:rsidR="006E50FF" w:rsidRPr="006E50FF" w:rsidRDefault="006E50FF" w:rsidP="006E50FF">
      <w:pPr>
        <w:keepNext/>
        <w:spacing w:before="240" w:after="240"/>
        <w:jc w:val="center"/>
        <w:rPr>
          <w:b/>
          <w:noProof/>
        </w:rPr>
      </w:pPr>
      <w:r w:rsidRPr="006E50FF">
        <w:rPr>
          <w:noProof/>
        </w:rPr>
        <w:t>School Administration</w:t>
      </w:r>
      <w:r w:rsidRPr="006E50FF">
        <w:rPr>
          <w:noProof/>
        </w:rPr>
        <w:br/>
        <w:t>(LAC 28:LIX.Chapter 5; LAC 28:LXXIX.1309; LAC 28:CXIII.309 and 1901; LAC 28:CXV.Chapters 3, 5, 7 ,9, 11, 13, 23, and 31; LAC 28:CXXXIX.Chapters 3, 5, 21, 23, 27, 43; and LAC 28:CLIII.1517)</w:t>
      </w:r>
    </w:p>
    <w:p w14:paraId="0F95DF0C"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222222"/>
          <w:kern w:val="2"/>
          <w:shd w:val="clear" w:color="auto" w:fill="FFFFFF"/>
        </w:rPr>
      </w:pPr>
      <w:r w:rsidRPr="006E50FF">
        <w:rPr>
          <w:kern w:val="2"/>
        </w:rPr>
        <w:t xml:space="preserve">In accordance with the provisions of R.S. 17:6(A)(10) and the Administrative Procedure Act (APA), R.S. 49:961 </w:t>
      </w:r>
      <w:r w:rsidRPr="006E50FF">
        <w:rPr>
          <w:iCs/>
          <w:kern w:val="2"/>
        </w:rPr>
        <w:t>et seq.,</w:t>
      </w:r>
      <w:r w:rsidRPr="006E50FF">
        <w:rPr>
          <w:kern w:val="2"/>
        </w:rPr>
        <w:t xml:space="preserve"> the Board of Elementary and Secondary Education (BESE) proposes to amend LAC 28:LIX in </w:t>
      </w:r>
      <w:r w:rsidRPr="006E50FF">
        <w:rPr>
          <w:i/>
          <w:kern w:val="2"/>
        </w:rPr>
        <w:t>Bulletin 103―Louisiana Health Education Student Standards</w:t>
      </w:r>
      <w:r w:rsidRPr="006E50FF">
        <w:rPr>
          <w:kern w:val="2"/>
        </w:rPr>
        <w:t xml:space="preserve">, LAC 28:LXXIX in </w:t>
      </w:r>
      <w:r w:rsidRPr="006E50FF">
        <w:rPr>
          <w:i/>
          <w:kern w:val="2"/>
        </w:rPr>
        <w:t>Bulletin 741 (Nonpublic)―Louisiana Handbook for Nonpublic School Administrators</w:t>
      </w:r>
      <w:r w:rsidRPr="006E50FF">
        <w:rPr>
          <w:kern w:val="2"/>
        </w:rPr>
        <w:t xml:space="preserve">, LAC 28:CXIII in </w:t>
      </w:r>
      <w:r w:rsidRPr="006E50FF">
        <w:rPr>
          <w:i/>
          <w:kern w:val="2"/>
        </w:rPr>
        <w:t>Bulletin 119—Louisiana School Transportation Specifications and Procedures</w:t>
      </w:r>
      <w:r w:rsidRPr="006E50FF">
        <w:rPr>
          <w:kern w:val="2"/>
        </w:rPr>
        <w:t xml:space="preserve">, LAC 28:CXV in </w:t>
      </w:r>
      <w:r w:rsidRPr="006E50FF">
        <w:rPr>
          <w:i/>
          <w:kern w:val="2"/>
        </w:rPr>
        <w:t>Bulletin 741―Louisiana Handbook for School Administrators</w:t>
      </w:r>
      <w:r w:rsidRPr="006E50FF">
        <w:rPr>
          <w:kern w:val="2"/>
        </w:rPr>
        <w:t xml:space="preserve">, LAC 28:CXXXIX in </w:t>
      </w:r>
      <w:r w:rsidRPr="006E50FF">
        <w:rPr>
          <w:i/>
          <w:kern w:val="2"/>
        </w:rPr>
        <w:t>Bulletin 126—Charter Schools</w:t>
      </w:r>
      <w:r w:rsidRPr="006E50FF">
        <w:rPr>
          <w:kern w:val="2"/>
        </w:rPr>
        <w:t xml:space="preserve">, and LAC 28:CLIII in </w:t>
      </w:r>
      <w:r w:rsidRPr="006E50FF">
        <w:rPr>
          <w:i/>
          <w:kern w:val="2"/>
        </w:rPr>
        <w:t>Bulletin 133—Scholarship Programs</w:t>
      </w:r>
      <w:r w:rsidRPr="006E50FF">
        <w:rPr>
          <w:kern w:val="2"/>
        </w:rPr>
        <w:t>. The proposed revisions conform Board policy to legislation enacted during the 2026 Regular Legislative Session and to HCR 26 of the 2026 Regular Legislative Session</w:t>
      </w:r>
      <w:r w:rsidRPr="006E50FF">
        <w:rPr>
          <w:color w:val="222222"/>
          <w:kern w:val="2"/>
          <w:shd w:val="clear" w:color="auto" w:fill="FFFFFF"/>
        </w:rPr>
        <w:t>.</w:t>
      </w:r>
    </w:p>
    <w:p w14:paraId="039A8C0E" w14:textId="77777777" w:rsidR="006E50FF" w:rsidRPr="006E50FF" w:rsidRDefault="006E50FF" w:rsidP="006E50FF">
      <w:pPr>
        <w:keepNext/>
        <w:jc w:val="center"/>
        <w:rPr>
          <w:b/>
          <w:kern w:val="28"/>
        </w:rPr>
      </w:pPr>
      <w:r w:rsidRPr="006E50FF">
        <w:rPr>
          <w:b/>
          <w:kern w:val="28"/>
        </w:rPr>
        <w:lastRenderedPageBreak/>
        <w:t>Title 28</w:t>
      </w:r>
    </w:p>
    <w:p w14:paraId="5AFBAD81" w14:textId="77777777" w:rsidR="006E50FF" w:rsidRPr="006E50FF" w:rsidRDefault="006E50FF" w:rsidP="006E50FF">
      <w:pPr>
        <w:keepNext/>
        <w:jc w:val="center"/>
        <w:rPr>
          <w:b/>
          <w:kern w:val="28"/>
        </w:rPr>
      </w:pPr>
      <w:r w:rsidRPr="006E50FF">
        <w:rPr>
          <w:b/>
          <w:kern w:val="28"/>
        </w:rPr>
        <w:t>EDUCATION</w:t>
      </w:r>
    </w:p>
    <w:p w14:paraId="043C2574" w14:textId="77777777" w:rsidR="006E50FF" w:rsidRPr="006E50FF" w:rsidRDefault="006E50FF" w:rsidP="006E50FF">
      <w:pPr>
        <w:keepNext/>
        <w:jc w:val="center"/>
        <w:rPr>
          <w:b/>
          <w:noProof/>
        </w:rPr>
      </w:pPr>
      <w:r w:rsidRPr="006E50FF">
        <w:rPr>
          <w:b/>
          <w:noProof/>
        </w:rPr>
        <w:t>Part LIX.  Bulletin 103―Louisiana Health Education Student Standards</w:t>
      </w:r>
    </w:p>
    <w:p w14:paraId="127582B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Health Education Content Standards, Benchmarks and Grade-Level Expectations (GLEs)</w:t>
      </w:r>
    </w:p>
    <w:p w14:paraId="4124B3C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Kindergarten Grade-Level Expectations</w:t>
      </w:r>
    </w:p>
    <w:p w14:paraId="3812629D" w14:textId="77777777" w:rsidR="006E50FF" w:rsidRPr="006E50FF" w:rsidRDefault="006E50FF" w:rsidP="006E50FF">
      <w:pPr>
        <w:tabs>
          <w:tab w:val="left" w:pos="144"/>
          <w:tab w:val="left" w:pos="187"/>
          <w:tab w:val="left" w:pos="540"/>
          <w:tab w:val="left" w:pos="907"/>
          <w:tab w:val="left" w:pos="1080"/>
        </w:tabs>
        <w:ind w:firstLine="187"/>
        <w:jc w:val="both"/>
        <w:outlineLvl w:val="3"/>
        <w:rPr>
          <w:i/>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345E0225" w14:textId="77777777" w:rsidR="006E50FF" w:rsidRPr="006E50FF" w:rsidRDefault="006E50FF" w:rsidP="006E50FF">
      <w:pPr>
        <w:tabs>
          <w:tab w:val="left" w:pos="720"/>
          <w:tab w:val="left" w:pos="979"/>
          <w:tab w:val="left" w:pos="1152"/>
        </w:tabs>
        <w:ind w:firstLine="360"/>
        <w:jc w:val="both"/>
        <w:outlineLvl w:val="4"/>
        <w:rPr>
          <w:bCs/>
          <w:i/>
          <w:iCs/>
          <w:kern w:val="2"/>
        </w:rPr>
      </w:pPr>
      <w:r w:rsidRPr="006E50FF">
        <w:rPr>
          <w:kern w:val="2"/>
        </w:rPr>
        <w:t>1.</w:t>
      </w:r>
      <w:r w:rsidRPr="006E50FF">
        <w:rPr>
          <w:kern w:val="2"/>
        </w:rPr>
        <w:tab/>
        <w:t>...</w:t>
      </w:r>
    </w:p>
    <w:p w14:paraId="1585088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1-E-1.1—identify major body parts (e.g., stomach, ears, eyes) and recognize that these body parts begin to grow and develop before a baby is born.</w:t>
      </w:r>
    </w:p>
    <w:p w14:paraId="2BA406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A.1b. - H.3.b.</w:t>
      </w:r>
      <w:r w:rsidRPr="006E50FF">
        <w:rPr>
          <w:kern w:val="2"/>
        </w:rPr>
        <w:tab/>
        <w:t>…</w:t>
      </w:r>
    </w:p>
    <w:p w14:paraId="4E8C85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FEFDA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37:2100 (July 2011), amended LR 52:</w:t>
      </w:r>
    </w:p>
    <w:p w14:paraId="2F99104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§505.</w:t>
      </w:r>
      <w:r w:rsidRPr="006E50FF">
        <w:rPr>
          <w:b/>
          <w:kern w:val="2"/>
        </w:rPr>
        <w:tab/>
        <w:t>Grade 1 Grade-Level Expectations</w:t>
      </w:r>
    </w:p>
    <w:p w14:paraId="1E1357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Standard 1. Students will comprehend concepts related to human growth and development, health promotion, and disease prevention to enhance health. </w:t>
      </w:r>
    </w:p>
    <w:p w14:paraId="670447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A.1.g.</w:t>
      </w:r>
      <w:r w:rsidRPr="006E50FF">
        <w:rPr>
          <w:kern w:val="2"/>
        </w:rPr>
        <w:tab/>
        <w:t>…</w:t>
      </w:r>
    </w:p>
    <w:p w14:paraId="2A2C0795"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1-E-1.8—describe how a mother’s health decisions can positively impact human growth and development before birth.</w:t>
      </w:r>
    </w:p>
    <w:p w14:paraId="762B9E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H.3.b.</w:t>
      </w:r>
      <w:r w:rsidRPr="006E50FF">
        <w:rPr>
          <w:kern w:val="2"/>
        </w:rPr>
        <w:tab/>
        <w:t xml:space="preserve">… </w:t>
      </w:r>
    </w:p>
    <w:p w14:paraId="026761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31B08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37:2102 (July 2011), amended LR 52:</w:t>
      </w:r>
    </w:p>
    <w:p w14:paraId="4F21405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§507.</w:t>
      </w:r>
      <w:r w:rsidRPr="006E50FF">
        <w:rPr>
          <w:b/>
          <w:kern w:val="2"/>
        </w:rPr>
        <w:tab/>
        <w:t>Grade 2 Grade-Level Expectations</w:t>
      </w:r>
    </w:p>
    <w:p w14:paraId="49ADF211" w14:textId="77777777" w:rsidR="006E50FF" w:rsidRPr="006E50FF" w:rsidRDefault="006E50FF" w:rsidP="006E50FF">
      <w:pPr>
        <w:tabs>
          <w:tab w:val="left" w:pos="144"/>
          <w:tab w:val="left" w:pos="187"/>
          <w:tab w:val="left" w:pos="540"/>
          <w:tab w:val="left" w:pos="907"/>
          <w:tab w:val="left" w:pos="1080"/>
        </w:tabs>
        <w:ind w:firstLine="187"/>
        <w:jc w:val="both"/>
        <w:outlineLvl w:val="3"/>
        <w:rPr>
          <w:i/>
          <w:kern w:val="2"/>
        </w:rPr>
      </w:pPr>
      <w:r w:rsidRPr="006E50FF">
        <w:rPr>
          <w:kern w:val="2"/>
        </w:rPr>
        <w:t>A.</w:t>
      </w:r>
      <w:r w:rsidRPr="006E50FF">
        <w:rPr>
          <w:kern w:val="2"/>
        </w:rPr>
        <w:tab/>
        <w:t>Standard 1. Students will comprehend concepts related to human growth and development, health promotion, and disease prevention to enhance health.</w:t>
      </w:r>
      <w:r w:rsidRPr="006E50FF">
        <w:rPr>
          <w:i/>
          <w:kern w:val="2"/>
        </w:rPr>
        <w:t xml:space="preserve"> </w:t>
      </w:r>
    </w:p>
    <w:p w14:paraId="312C53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A.1.f.</w:t>
      </w:r>
      <w:r w:rsidRPr="006E50FF">
        <w:rPr>
          <w:kern w:val="2"/>
        </w:rPr>
        <w:tab/>
        <w:t>…</w:t>
      </w:r>
    </w:p>
    <w:p w14:paraId="0C84F570"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1-E-2.7—identify prenatal development as one dimension of a person’s physical health.</w:t>
      </w:r>
    </w:p>
    <w:p w14:paraId="63C887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H.3.b.</w:t>
      </w:r>
      <w:r w:rsidRPr="006E50FF">
        <w:rPr>
          <w:kern w:val="2"/>
        </w:rPr>
        <w:tab/>
        <w:t>…</w:t>
      </w:r>
    </w:p>
    <w:p w14:paraId="1EF7B4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FD842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37:2103 (July 2011), amended LR 52:</w:t>
      </w:r>
    </w:p>
    <w:p w14:paraId="467078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Grade 3 Grade-Level Expectations</w:t>
      </w:r>
    </w:p>
    <w:p w14:paraId="63CF1F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1BF5B2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A.1.b.</w:t>
      </w:r>
      <w:r w:rsidRPr="006E50FF">
        <w:rPr>
          <w:kern w:val="2"/>
        </w:rPr>
        <w:tab/>
        <w:t>…</w:t>
      </w:r>
    </w:p>
    <w:p w14:paraId="3BC7F60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1-E-1.3—explain that reaching significant markers of human growth before birth contributes to a person’s overall physical well-being.</w:t>
      </w:r>
    </w:p>
    <w:p w14:paraId="0136EB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H.1.b.</w:t>
      </w:r>
      <w:r w:rsidRPr="006E50FF">
        <w:rPr>
          <w:kern w:val="2"/>
        </w:rPr>
        <w:tab/>
        <w:t xml:space="preserve">… </w:t>
      </w:r>
    </w:p>
    <w:p w14:paraId="32F734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0AF69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37:2105 (July 2011), amended LR 52:</w:t>
      </w:r>
    </w:p>
    <w:p w14:paraId="747E216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§511.</w:t>
      </w:r>
      <w:r w:rsidRPr="006E50FF">
        <w:rPr>
          <w:b/>
          <w:kern w:val="2"/>
        </w:rPr>
        <w:tab/>
        <w:t>Grade 4 Grade-Level Expectations</w:t>
      </w:r>
    </w:p>
    <w:p w14:paraId="25D3B5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45D83E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A.2.d.</w:t>
      </w:r>
      <w:r w:rsidRPr="006E50FF">
        <w:rPr>
          <w:kern w:val="2"/>
        </w:rPr>
        <w:tab/>
        <w:t>…</w:t>
      </w:r>
    </w:p>
    <w:p w14:paraId="13DAFA3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1.E.2.5—explain how a mother’s healthy choices help a developing baby reach significant markers of human growth before birth.</w:t>
      </w:r>
    </w:p>
    <w:p w14:paraId="52BE25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H.2.a.</w:t>
      </w:r>
      <w:r w:rsidRPr="006E50FF">
        <w:rPr>
          <w:kern w:val="2"/>
        </w:rPr>
        <w:tab/>
        <w:t xml:space="preserve">… </w:t>
      </w:r>
    </w:p>
    <w:p w14:paraId="63C147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08D6E9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37:2107 (July 2011), amended LR 52:</w:t>
      </w:r>
    </w:p>
    <w:p w14:paraId="37B81F5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§513.</w:t>
      </w:r>
      <w:r w:rsidRPr="006E50FF">
        <w:rPr>
          <w:b/>
          <w:kern w:val="2"/>
        </w:rPr>
        <w:tab/>
        <w:t>Grade 5 Grade-Level Expectations</w:t>
      </w:r>
    </w:p>
    <w:p w14:paraId="2D9667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7DFD3F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A.1.b.</w:t>
      </w:r>
      <w:r w:rsidRPr="006E50FF">
        <w:rPr>
          <w:kern w:val="2"/>
        </w:rPr>
        <w:tab/>
        <w:t>…</w:t>
      </w:r>
    </w:p>
    <w:p w14:paraId="777579A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1-E-1.3—identify the relationship between a healthy prenatal environment and the in utero development of vital organs.</w:t>
      </w:r>
    </w:p>
    <w:p w14:paraId="70C7E6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H.2.b.</w:t>
      </w:r>
      <w:r w:rsidRPr="006E50FF">
        <w:rPr>
          <w:kern w:val="2"/>
        </w:rPr>
        <w:tab/>
        <w:t>…</w:t>
      </w:r>
    </w:p>
    <w:p w14:paraId="3FD0CB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8140F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37:2108 (July 2011), amended LR 52:</w:t>
      </w:r>
    </w:p>
    <w:p w14:paraId="449CF8D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§515.</w:t>
      </w:r>
      <w:r w:rsidRPr="006E50FF">
        <w:rPr>
          <w:b/>
          <w:kern w:val="2"/>
        </w:rPr>
        <w:tab/>
        <w:t>Grade 6 Grade-Level Expectations</w:t>
      </w:r>
    </w:p>
    <w:p w14:paraId="5503E6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11B2F4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A.1.b.</w:t>
      </w:r>
      <w:r w:rsidRPr="006E50FF">
        <w:rPr>
          <w:kern w:val="2"/>
        </w:rPr>
        <w:tab/>
        <w:t>…</w:t>
      </w:r>
    </w:p>
    <w:p w14:paraId="196BAE9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1-M-1.3—identify behaviors that can positively or negatively affect the in utero development of vital organs.</w:t>
      </w:r>
    </w:p>
    <w:p w14:paraId="5314FB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H.2.a.</w:t>
      </w:r>
      <w:r w:rsidRPr="006E50FF">
        <w:rPr>
          <w:kern w:val="2"/>
        </w:rPr>
        <w:tab/>
        <w:t>…</w:t>
      </w:r>
    </w:p>
    <w:p w14:paraId="671046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66998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37:2109 (July 2011), amended LR 52:</w:t>
      </w:r>
    </w:p>
    <w:p w14:paraId="4C0AC5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§517.</w:t>
      </w:r>
      <w:r w:rsidRPr="006E50FF">
        <w:rPr>
          <w:b/>
          <w:kern w:val="2"/>
        </w:rPr>
        <w:tab/>
        <w:t>Grade 7 Grade-Level Expectations</w:t>
      </w:r>
    </w:p>
    <w:p w14:paraId="545328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154D7C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A.5.b.</w:t>
      </w:r>
      <w:r w:rsidRPr="006E50FF">
        <w:rPr>
          <w:kern w:val="2"/>
        </w:rPr>
        <w:tab/>
        <w:t>…</w:t>
      </w:r>
    </w:p>
    <w:p w14:paraId="58AB1ED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1-M-5.3—discuss how the basic functions of the reproductive system lead to the creation of a new human being at conception and subsequent prenatal development and early cell growth.</w:t>
      </w:r>
    </w:p>
    <w:p w14:paraId="37C9FA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H.2.a.</w:t>
      </w:r>
      <w:r w:rsidRPr="006E50FF">
        <w:rPr>
          <w:kern w:val="2"/>
        </w:rPr>
        <w:tab/>
        <w:t>…</w:t>
      </w:r>
    </w:p>
    <w:p w14:paraId="5AA5E5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96537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37:2111 (July 2011), amended LR 52:</w:t>
      </w:r>
    </w:p>
    <w:p w14:paraId="2B08862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§519.</w:t>
      </w:r>
      <w:r w:rsidRPr="006E50FF">
        <w:rPr>
          <w:b/>
          <w:kern w:val="2"/>
        </w:rPr>
        <w:tab/>
        <w:t>Grade 8 Grade-Level Expectations</w:t>
      </w:r>
    </w:p>
    <w:p w14:paraId="011065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6D101B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A.5.c.</w:t>
      </w:r>
      <w:r w:rsidRPr="006E50FF">
        <w:rPr>
          <w:kern w:val="2"/>
        </w:rPr>
        <w:tab/>
        <w:t>…</w:t>
      </w:r>
    </w:p>
    <w:p w14:paraId="1DEF94F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1-M-5.4—analyze how the reproductive system supports human cell growth and prenatal development.</w:t>
      </w:r>
    </w:p>
    <w:p w14:paraId="0B32CA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H.2.a.</w:t>
      </w:r>
      <w:r w:rsidRPr="006E50FF">
        <w:rPr>
          <w:kern w:val="2"/>
        </w:rPr>
        <w:tab/>
        <w:t>…</w:t>
      </w:r>
    </w:p>
    <w:p w14:paraId="369468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17:24.4 et seq.</w:t>
      </w:r>
    </w:p>
    <w:p w14:paraId="7686DE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37:2112 (July 2011), amended LR 52:</w:t>
      </w:r>
    </w:p>
    <w:p w14:paraId="2F1622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§521.</w:t>
      </w:r>
      <w:r w:rsidRPr="006E50FF">
        <w:rPr>
          <w:b/>
          <w:kern w:val="2"/>
        </w:rPr>
        <w:tab/>
        <w:t>Grades 9-12 Grade-Level Expectations</w:t>
      </w:r>
    </w:p>
    <w:p w14:paraId="7F38FB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4805F9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A.2.d.</w:t>
      </w:r>
      <w:r w:rsidRPr="006E50FF">
        <w:rPr>
          <w:kern w:val="2"/>
        </w:rPr>
        <w:tab/>
        <w:t>…</w:t>
      </w:r>
    </w:p>
    <w:p w14:paraId="2850C44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1-H-2.5—evaluate ultrasound video, computer-generated animations, and/or images or video to observe how genetics influences human fetal development. </w:t>
      </w:r>
    </w:p>
    <w:p w14:paraId="3D8765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A.3.f.</w:t>
      </w:r>
      <w:r w:rsidRPr="006E50FF">
        <w:rPr>
          <w:kern w:val="2"/>
        </w:rPr>
        <w:tab/>
        <w:t>…</w:t>
      </w:r>
    </w:p>
    <w:p w14:paraId="0E604E3D"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1-H-3.7—describe how the earliest physical stages of the human life span can be impacted by a mother’s health by analyzing ultrasound videos, computer-generated animations, and/or images or videos of prenatal growth.</w:t>
      </w:r>
    </w:p>
    <w:p w14:paraId="1FA63D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A.4. - H.2.c.</w:t>
      </w:r>
      <w:r w:rsidRPr="006E50FF">
        <w:rPr>
          <w:kern w:val="2"/>
        </w:rPr>
        <w:tab/>
        <w:t>…</w:t>
      </w:r>
    </w:p>
    <w:p w14:paraId="47A15B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44C7B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37:2114 (July 2011), amended LR 52:</w:t>
      </w:r>
    </w:p>
    <w:p w14:paraId="551C73C8" w14:textId="77777777" w:rsidR="006E50FF" w:rsidRPr="006E50FF" w:rsidRDefault="006E50FF" w:rsidP="006E50FF">
      <w:pPr>
        <w:keepNext/>
        <w:jc w:val="center"/>
        <w:rPr>
          <w:b/>
          <w:noProof/>
        </w:rPr>
      </w:pPr>
      <w:r w:rsidRPr="006E50FF">
        <w:rPr>
          <w:b/>
          <w:noProof/>
        </w:rPr>
        <w:t>Part LXXIX.  Bulletin 741 (Nonpublic)―Louisiana Handbook for Nonpublic School Administrators</w:t>
      </w:r>
    </w:p>
    <w:p w14:paraId="3F92B4D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§1309.</w:t>
      </w:r>
      <w:r w:rsidRPr="006E50FF">
        <w:rPr>
          <w:b/>
          <w:kern w:val="2"/>
        </w:rPr>
        <w:tab/>
        <w:t>Suicide Prevention</w:t>
      </w:r>
    </w:p>
    <w:p w14:paraId="7A309F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Suicide Prevention Awareness. </w:t>
      </w:r>
    </w:p>
    <w:p w14:paraId="3667CE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approved nonpublic middle and high school shall post on its website and may include in its student handbook the following: </w:t>
      </w:r>
    </w:p>
    <w:p w14:paraId="4770CD3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w:t>
      </w:r>
    </w:p>
    <w:p w14:paraId="4D7E89C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0A798C3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link to Louisiana988.org, a suicide prevention initiative of the Louisiana Department of Health.</w:t>
      </w:r>
    </w:p>
    <w:p w14:paraId="7404CE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governing authority of each approved nonpublic middle and high school that issues student identification cards shall have printed on the cards: </w:t>
      </w:r>
    </w:p>
    <w:p w14:paraId="7770317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 and</w:t>
      </w:r>
    </w:p>
    <w:p w14:paraId="26279F6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591A99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14:paraId="6C7E57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(11), and (15), 17:7(6), 17:10, 17:22(6), 17:391.1-391.10, 17:411, and 17:437.1.</w:t>
      </w:r>
    </w:p>
    <w:p w14:paraId="45FA36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45:38 (January 2019), amended LR 45:1055 (August 2019), amended LR 45:1747 (December 2019), LR 50:174 (February 2024), LR 51:51 (January 2025), LR 52:</w:t>
      </w:r>
    </w:p>
    <w:p w14:paraId="2AFE1254" w14:textId="77777777" w:rsidR="006E50FF" w:rsidRPr="006E50FF" w:rsidRDefault="006E50FF" w:rsidP="006E50FF">
      <w:pPr>
        <w:keepNext/>
        <w:jc w:val="center"/>
        <w:rPr>
          <w:b/>
          <w:noProof/>
        </w:rPr>
      </w:pPr>
      <w:r w:rsidRPr="006E50FF">
        <w:rPr>
          <w:b/>
          <w:noProof/>
        </w:rPr>
        <w:t>Part CXIII.  Bulletin 119—Louisiana School Transportation Specifications and Procedures</w:t>
      </w:r>
    </w:p>
    <w:p w14:paraId="7011E52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Selection and Employment of School Bus Drivers and Attendants (Aides)</w:t>
      </w:r>
    </w:p>
    <w:p w14:paraId="7990CB5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Tenure and Termination of Bus Drivers</w:t>
      </w:r>
    </w:p>
    <w:p w14:paraId="42D53E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9C56D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17:158, 17:160-161, 17:164-166, 17:492, and 17:493.</w:t>
      </w:r>
    </w:p>
    <w:p w14:paraId="761784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25:630 (April 1999), amended LR 36:1468 (July 2010), LR 39:80 (January 2013), LR 45:35 (January 2019), repealed LR 52:</w:t>
      </w:r>
    </w:p>
    <w:p w14:paraId="7F3C52D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19.</w:t>
      </w:r>
      <w:r w:rsidRPr="006E50FF">
        <w:rPr>
          <w:b/>
          <w:kern w:val="2"/>
        </w:rPr>
        <w:tab/>
        <w:t>Transporting Students</w:t>
      </w:r>
    </w:p>
    <w:p w14:paraId="484227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§1901.</w:t>
      </w:r>
      <w:r w:rsidRPr="006E50FF">
        <w:rPr>
          <w:b/>
          <w:kern w:val="2"/>
        </w:rPr>
        <w:tab/>
        <w:t>Transporting Eligible Students</w:t>
      </w:r>
    </w:p>
    <w:p w14:paraId="2CE19C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Louisiana Revised Statute 17:158, each LEA shall provide free transportation for any student who attends a school of suitable grade approved by BESE if the student resides more than one mile from such school, and the school is within the jurisdictional boundaries of the LEA. This requirement shall not apply to any student attending a nonpublic school pursuant to the scholarship program in accordance with R.S. 17:4037.1-4037.12.</w:t>
      </w:r>
    </w:p>
    <w:p w14:paraId="664B43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C.</w:t>
      </w:r>
      <w:r w:rsidRPr="006E50FF">
        <w:rPr>
          <w:kern w:val="2"/>
        </w:rPr>
        <w:tab/>
        <w:t>…</w:t>
      </w:r>
    </w:p>
    <w:p w14:paraId="7070B7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17:158, R.S. 17:160-161, and R.S. 17:164-166.</w:t>
      </w:r>
    </w:p>
    <w:p w14:paraId="2F45B0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25:634 (April 1999), amended LR 36:1476 (July 2010), LR 38:749 (March 2012), LR 52:</w:t>
      </w:r>
    </w:p>
    <w:p w14:paraId="1F993B6B" w14:textId="77777777" w:rsidR="006E50FF" w:rsidRPr="006E50FF" w:rsidRDefault="006E50FF" w:rsidP="006E50FF">
      <w:pPr>
        <w:keepNext/>
        <w:jc w:val="center"/>
        <w:rPr>
          <w:b/>
          <w:noProof/>
        </w:rPr>
      </w:pPr>
      <w:r w:rsidRPr="006E50FF">
        <w:rPr>
          <w:b/>
          <w:noProof/>
        </w:rPr>
        <w:t>Part CXV.  Bulletin 741―Louisiana Handbook for School Administrators</w:t>
      </w:r>
    </w:p>
    <w:p w14:paraId="548930A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Operation and Administration</w:t>
      </w:r>
    </w:p>
    <w:p w14:paraId="2E1CDD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§332.</w:t>
      </w:r>
      <w:r w:rsidRPr="006E50FF">
        <w:rPr>
          <w:b/>
          <w:kern w:val="2"/>
        </w:rPr>
        <w:tab/>
        <w:t>Installation and Operation of Cameras in Certain Special Education Settings</w:t>
      </w:r>
    </w:p>
    <w:p w14:paraId="2476A8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C.5.b.</w:t>
      </w:r>
      <w:r w:rsidRPr="006E50FF">
        <w:rPr>
          <w:kern w:val="2"/>
        </w:rPr>
        <w:tab/>
        <w:t>…</w:t>
      </w:r>
    </w:p>
    <w:p w14:paraId="773DDAB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procedures for initial viewing of a recording following a request, which shall require that both the superintendent and a designee of the superintendent, or two designees of the superintendent, be present during the initial viewing of the recording after a request has been made.</w:t>
      </w:r>
    </w:p>
    <w:p w14:paraId="1AFD3C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C.6. - E.3.</w:t>
      </w:r>
      <w:r w:rsidRPr="006E50FF">
        <w:rPr>
          <w:kern w:val="2"/>
        </w:rPr>
        <w:tab/>
        <w:t>…</w:t>
      </w:r>
    </w:p>
    <w:p w14:paraId="000900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17:416.21 and R.S. 17:1948.</w:t>
      </w:r>
    </w:p>
    <w:p w14:paraId="74749E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49:34 (January 2023), amended LR 51:63 (January 2025), LR 51:2070 (December 2025), LR 52:</w:t>
      </w:r>
    </w:p>
    <w:p w14:paraId="38F6FC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§337.</w:t>
      </w:r>
      <w:r w:rsidRPr="006E50FF">
        <w:rPr>
          <w:b/>
          <w:kern w:val="2"/>
        </w:rPr>
        <w:tab/>
        <w:t>Written Policies and Procedures</w:t>
      </w:r>
    </w:p>
    <w:p w14:paraId="762F89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B.36.</w:t>
      </w:r>
      <w:r w:rsidRPr="006E50FF">
        <w:rPr>
          <w:kern w:val="2"/>
        </w:rPr>
        <w:tab/>
        <w:t>…</w:t>
      </w:r>
    </w:p>
    <w:p w14:paraId="18ADC3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37.</w:t>
      </w:r>
      <w:r w:rsidRPr="006E50FF">
        <w:rPr>
          <w:kern w:val="2"/>
        </w:rPr>
        <w:tab/>
        <w:t>allowing students enrolled in approved home study programs or virtual schools to try out or apply for extracurricular activities or interscholastic athletics in accordance with R.S. 17:176.2.</w:t>
      </w:r>
    </w:p>
    <w:p w14:paraId="5D4374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B.38.</w:t>
      </w:r>
      <w:r w:rsidRPr="006E50FF">
        <w:rPr>
          <w:kern w:val="2"/>
        </w:rPr>
        <w:tab/>
        <w:t>…</w:t>
      </w:r>
    </w:p>
    <w:p w14:paraId="7FE204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39.</w:t>
      </w:r>
      <w:r w:rsidRPr="006E50FF">
        <w:rPr>
          <w:kern w:val="2"/>
        </w:rPr>
        <w:tab/>
        <w:t>Parental leave, R.S. 17:1214.</w:t>
      </w:r>
    </w:p>
    <w:p w14:paraId="1CE2B2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t>
      </w:r>
    </w:p>
    <w:p w14:paraId="3FECE5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17:7(29), R.S. 17:81, R.S. 17:240, R.S. 17:100.8, 17:184, and R.S.17:437.2.</w:t>
      </w:r>
    </w:p>
    <w:p w14:paraId="7E3791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Board of Elementary and Secondary Education, LR 31:1261 (June 2005), amended LR 33:429 (March 2007), LR 35:1101 (June 2009), LR 36:1224 (June 2010), LR 37:1141 (April 2011), LR 37:1380, 1380 (May 2011), LR 37:2134 (July 2011), LR 38:40, 41 (January 2012), LR 39:2197 (August 2013), LR 40:2530 (December 2014), LR 48:1273 (May 2022), LR 49:33 (January 2023), LR 49:250 (February 2023), repromulgated LR 49:855 (May 2023), amended LR 50:175 (February 2024), LR 51:49 (January 2025), LR 52:1330 (August 2026), LR 52:</w:t>
      </w:r>
    </w:p>
    <w:p w14:paraId="34D115C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§339.</w:t>
      </w:r>
      <w:r w:rsidRPr="006E50FF">
        <w:rPr>
          <w:b/>
          <w:kern w:val="2"/>
        </w:rPr>
        <w:tab/>
        <w:t>Emergency Planning and Procedures</w:t>
      </w:r>
    </w:p>
    <w:p w14:paraId="543D172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w:t>
      </w:r>
      <w:r w:rsidRPr="006E50FF">
        <w:rPr>
          <w:rFonts w:eastAsia="Calibri"/>
          <w:kern w:val="2"/>
        </w:rPr>
        <w:tab/>
        <w:t>Each public school principal or school leader shall have an emergency operations plan developed jointly with local law enforcement, fire, public safety, and emergency preparedness officials, that addresses the immediate response to emergency situations that may develop in schools. The plan shall seek to utilize resources and information available through the Louisiana Commission on School and Nonprofit Security. The principal or school leader shall:</w:t>
      </w:r>
    </w:p>
    <w:p w14:paraId="46AF4023"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 xml:space="preserve">complete an annual school safety questionnaire; </w:t>
      </w:r>
    </w:p>
    <w:p w14:paraId="4C3C654B"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a.</w:t>
      </w:r>
      <w:r w:rsidRPr="006E50FF">
        <w:rPr>
          <w:rFonts w:eastAsia="Calibri"/>
          <w:kern w:val="2"/>
        </w:rPr>
        <w:tab/>
        <w:t xml:space="preserve">The questionnaire shall request information related to the school’s compliance with plan requirements, completion of required drills, and identified needs related to emergency response and preparedness. </w:t>
      </w:r>
    </w:p>
    <w:p w14:paraId="4406BB46"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b.</w:t>
      </w:r>
      <w:r w:rsidRPr="006E50FF">
        <w:rPr>
          <w:rFonts w:eastAsia="Calibri"/>
          <w:kern w:val="2"/>
        </w:rPr>
        <w:tab/>
        <w:t xml:space="preserve">Upon completion of the school-level questionnaire by each school, the local governing authority shall complete a district-level questionnaire. </w:t>
      </w:r>
    </w:p>
    <w:p w14:paraId="514B3BC7"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c.</w:t>
      </w:r>
      <w:r w:rsidRPr="006E50FF">
        <w:rPr>
          <w:rFonts w:eastAsia="Calibri"/>
          <w:kern w:val="2"/>
        </w:rPr>
        <w:tab/>
        <w:t>Both the school-level and district-level questionnaires shall be submitted to the LDOE and the Louisiana Center for Safe Schools.</w:t>
      </w:r>
    </w:p>
    <w:p w14:paraId="4E4128D8"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annually review the emergency operations plan, revising as necessary;</w:t>
      </w:r>
    </w:p>
    <w:p w14:paraId="34C8C15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When preparing or revising the plan, consult with the district safety and emergency team. The principal and the threat assessment team shall determine whether to consider input from students enrolled in the school and their parents, faculty and staff, and community leaders. The principal of a high school shall seek and consider input from the students enrolled in the school who shall be represented by either the president of the senior class or the president of the student council and at least one other responsible student selected by the principal.</w:t>
      </w:r>
    </w:p>
    <w:p w14:paraId="14AEA69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district safety emergency team shall include, at a minimum, the local school superintendent, a representative from school facilities, transportation, school nutrition, curriculum, student services , athletics, logistics, mental health, medical services, technology, and special education. The team shall also include the emergency response coordinator, the public information officer, and an elementary, middle, and high school principal. The emergency response coordinator shall be selected by the superintendent to oversee the development of the emergency operations plan and any associated training. .</w:t>
      </w:r>
    </w:p>
    <w:p w14:paraId="0B38A86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plan shall provide for an all-hazards approach for emergency events, including any event with a hostage, an active assailant , or a building lock-down.</w:t>
      </w:r>
    </w:p>
    <w:p w14:paraId="17A017FC"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3.</w:t>
      </w:r>
      <w:r w:rsidRPr="006E50FF">
        <w:rPr>
          <w:rFonts w:eastAsia="Calibri"/>
          <w:kern w:val="2"/>
        </w:rPr>
        <w:tab/>
        <w:t>within the first 30 instructional days of each school year, conduct a safety drill to rehearse the plan, including an active assailant scenario, and conduct at least one additional drill during high traffic or transition points in the school day;</w:t>
      </w:r>
    </w:p>
    <w:p w14:paraId="73C4DF5B"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4.</w:t>
      </w:r>
      <w:r w:rsidRPr="006E50FF">
        <w:rPr>
          <w:rFonts w:eastAsia="Calibri"/>
          <w:kern w:val="2"/>
        </w:rPr>
        <w:tab/>
        <w:t xml:space="preserve">not later than seven days after each drill, submit a written report summarizing the details of the drill to the local superintendent or emergency response coordinator, who shall </w:t>
      </w:r>
      <w:r w:rsidRPr="006E50FF">
        <w:rPr>
          <w:rFonts w:eastAsia="Calibri"/>
          <w:kern w:val="2"/>
        </w:rPr>
        <w:t>provide feedback on the drill to the principal, and the principal shall consider the feedback when revising the plan;</w:t>
      </w:r>
    </w:p>
    <w:p w14:paraId="62B9AAD4"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5.</w:t>
      </w:r>
      <w:r w:rsidRPr="006E50FF">
        <w:rPr>
          <w:rFonts w:eastAsia="Calibri"/>
          <w:kern w:val="2"/>
        </w:rPr>
        <w:tab/>
        <w:t>be responsible for providing in-service training pertaining to the plan for all teachers and school employees each school year. Such training may be incorporated into a meeting or training session held for another purpose and shall involve local law enforcement, fire, public safety, and emergency preparedness officials in the preparation and presentation of the training. The training shall include an active assailant exercise and shall be reported to the local school superintendent and the LDOE;</w:t>
      </w:r>
    </w:p>
    <w:p w14:paraId="07DB8220"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6. - 7.</w:t>
      </w:r>
      <w:r w:rsidRPr="006E50FF">
        <w:rPr>
          <w:rFonts w:eastAsia="Calibri"/>
          <w:kern w:val="2"/>
        </w:rPr>
        <w:tab/>
        <w:t>…</w:t>
      </w:r>
    </w:p>
    <w:p w14:paraId="0B1BC9D0"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8.</w:t>
      </w:r>
      <w:r w:rsidRPr="006E50FF">
        <w:rPr>
          <w:rFonts w:eastAsia="Calibri"/>
          <w:kern w:val="2"/>
        </w:rPr>
        <w:tab/>
        <w:t>The door of each classroom and other instructional space shall be locked and secured to prevent entry into the room when it is occupied by students, except between class periods when students are moving between classrooms and other activities. A door is considered locked and secured when no devices or obstacles are present which would prevent the door locking mechanism from being fully engaged as originally designed or intended.</w:t>
      </w:r>
    </w:p>
    <w:p w14:paraId="4419EF47"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a.</w:t>
      </w:r>
      <w:r w:rsidRPr="006E50FF">
        <w:rPr>
          <w:rFonts w:eastAsia="Calibri"/>
          <w:kern w:val="2"/>
        </w:rPr>
        <w:tab/>
        <w:t>If a classroom or other instructional space is left unlocked or open for any other reason, the door shall be actively staffed by an authorized person standing or seated at the door.</w:t>
      </w:r>
    </w:p>
    <w:p w14:paraId="31FD51E8"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b.</w:t>
      </w:r>
      <w:r w:rsidRPr="006E50FF">
        <w:rPr>
          <w:rFonts w:eastAsia="Calibri"/>
          <w:kern w:val="2"/>
        </w:rPr>
        <w:tab/>
        <w:t>Classroom doors with locks shall be in compliance with legislatively enacted code requirements and all fire safety standards of the office of the state fire marshal.</w:t>
      </w:r>
    </w:p>
    <w:p w14:paraId="5E3C0653"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c.</w:t>
      </w:r>
      <w:r w:rsidRPr="006E50FF">
        <w:rPr>
          <w:rFonts w:eastAsia="Calibri"/>
          <w:kern w:val="2"/>
        </w:rPr>
        <w:tab/>
        <w:t>Each plan shall provide that a locked door shall not obstruct egress.</w:t>
      </w:r>
    </w:p>
    <w:p w14:paraId="3FCB7E36"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9.</w:t>
      </w:r>
      <w:r w:rsidRPr="006E50FF">
        <w:rPr>
          <w:rFonts w:eastAsia="Calibri"/>
          <w:kern w:val="2"/>
        </w:rPr>
        <w:tab/>
        <w:t xml:space="preserve">Emergency preparedness exercises shall be classified as either discussion-based exercises such as orientation, seminars, workshops, or tabletop exercises; or classified as operations-based exercises such as drills, functional exercises, and full-scale exercises. </w:t>
      </w:r>
    </w:p>
    <w:p w14:paraId="7CB5B235"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10.</w:t>
      </w:r>
      <w:r w:rsidRPr="006E50FF">
        <w:rPr>
          <w:rFonts w:eastAsia="Calibri"/>
          <w:kern w:val="2"/>
        </w:rPr>
        <w:tab/>
        <w:t xml:space="preserve">The emergency operations plan shall account for </w:t>
      </w:r>
      <w:r w:rsidRPr="006E50FF">
        <w:rPr>
          <w:kern w:val="2"/>
        </w:rPr>
        <w:t>the method by which law enforcement officers and other first responders can obtain access to locked facilities, including all external and internal locks, or the location of the exterior master key box.</w:t>
      </w:r>
    </w:p>
    <w:p w14:paraId="61829E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B. - J.3.</w:t>
      </w:r>
      <w:r w:rsidRPr="006E50FF">
        <w:rPr>
          <w:rFonts w:eastAsia="Calibri"/>
          <w:kern w:val="2"/>
        </w:rPr>
        <w:tab/>
        <w:t>…</w:t>
      </w:r>
    </w:p>
    <w:p w14:paraId="6AFD04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Preventative Programs. Each LEA shall develop, as a component of the Emergency Operations Plan, one hour of training in each of the following areas. The school selecting and providing the initial training must provide the educator with a certificate containing the educator’s name, date of completion, length of training, and topic covered. The educator and school shall maintain documentation of the training, once completed, which is sufficient to satisfy this requirement upon transfer to another LEA.</w:t>
      </w:r>
    </w:p>
    <w:p w14:paraId="079E4A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K.1. - N.3.</w:t>
      </w:r>
      <w:r w:rsidRPr="006E50FF">
        <w:rPr>
          <w:kern w:val="2"/>
        </w:rPr>
        <w:tab/>
        <w:t>…</w:t>
      </w:r>
    </w:p>
    <w:p w14:paraId="5EA444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Each school shall designate and train appropriate school personnel in the prevention of human trafficking and the identification of victims of human trafficking. The designated school employee shall be a school counselor, mental health professional, or a school administrator. The school shall retain a record of designated employees and the completion of the course.</w:t>
      </w:r>
    </w:p>
    <w:p w14:paraId="5EE62C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AUTHORITY NOTE:</w:t>
      </w:r>
      <w:r w:rsidRPr="006E50FF">
        <w:rPr>
          <w:kern w:val="2"/>
          <w:sz w:val="18"/>
        </w:rPr>
        <w:tab/>
        <w:t>Promulgated in accordance with R.S. 17:6, 17:154.1, R.S. 29:726.5, et seq., R.S. 40:1137.3, and 17:416.16.</w:t>
      </w:r>
    </w:p>
    <w:p w14:paraId="3F4A4B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31:1262 (June 2005), amended LR 39:3258 (December 2013), LR 41:372 (February 2015), LR 45:36 </w:t>
      </w:r>
      <w:r w:rsidRPr="006E50FF">
        <w:rPr>
          <w:kern w:val="2"/>
          <w:sz w:val="18"/>
        </w:rPr>
        <w:lastRenderedPageBreak/>
        <w:t>(January 2019), LR 45:1746 (December 2019), LR 50:175 (February 2024), LR 51:55 (January 2025), LR 51:2057 (December 2025), LR 52:</w:t>
      </w:r>
    </w:p>
    <w:p w14:paraId="2044AC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§353.</w:t>
      </w:r>
      <w:r w:rsidRPr="006E50FF">
        <w:rPr>
          <w:b/>
          <w:kern w:val="2"/>
        </w:rPr>
        <w:tab/>
        <w:t>Instruction and Training</w:t>
      </w:r>
    </w:p>
    <w:p w14:paraId="05A5B5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413FFD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principal of each public school shall disseminate age and grade appropriate information each school year during the first five days of school to each student in sixth grade and above regarding the crime and consequences of unlawful dissemination, possession, or sale of images of another created by artificial intelligence, and the crime and consequences of terrorizing or menacing a school property, a school sponsored function, or a firearm-free zone.</w:t>
      </w:r>
    </w:p>
    <w:p w14:paraId="4EE6C2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information may be incorporated into an existing orientation program.</w:t>
      </w:r>
    </w:p>
    <w:p w14:paraId="05C853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information shall also be provided to the parent or legal guardian of each student, who shall sign acknowledgement of receipt and understanding of the information. The signed document must be returned to the school.</w:t>
      </w:r>
    </w:p>
    <w:p w14:paraId="714776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Each public school with students in seventh through twelfth grade shall display flyers on the inside of the door to each bathroom stall in the school building regarding the Safe Haven Law. If a bathroom is used in the normal course of a school day by students in sixth grade or below, the school shall not be required to display the flyer in the bathroom and may use alternate communication sources to provide the information.</w:t>
      </w:r>
    </w:p>
    <w:p w14:paraId="5D9D8F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17:7(29), R.S. 17:19.9, R.S. 14:73.14 and 14.1, R.S. 17:81, R.S. 17:240, R.S. 17:100.8, 17:184, and R.S.17:437.2.</w:t>
      </w:r>
    </w:p>
    <w:p w14:paraId="0095B7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51:55 (January 2025), amended LR 52:</w:t>
      </w:r>
    </w:p>
    <w:p w14:paraId="0ABEB87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Personnel</w:t>
      </w:r>
    </w:p>
    <w:p w14:paraId="51B6DF1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§502.</w:t>
      </w:r>
      <w:r w:rsidRPr="006E50FF">
        <w:rPr>
          <w:b/>
          <w:kern w:val="2"/>
        </w:rPr>
        <w:tab/>
        <w:t>Staff Misconduct</w:t>
      </w:r>
    </w:p>
    <w:p w14:paraId="6F98FC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E.6.a.</w:t>
      </w:r>
      <w:r w:rsidRPr="006E50FF">
        <w:rPr>
          <w:kern w:val="2"/>
        </w:rPr>
        <w:tab/>
        <w:t>…</w:t>
      </w:r>
    </w:p>
    <w:p w14:paraId="5B21C1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No faculty member, member of the administrative staff, or other employee at an elementary or secondary school shall use material considered to be deepfake against a student enrolled in kindergarten through twelfth grade, with the intent to coerce, harass, intimidate, or maliciously disseminate or sell the material.</w:t>
      </w:r>
    </w:p>
    <w:p w14:paraId="38FF96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17:15; R.S. 17:81.9; R.S. 17:587.1; R.S. 17:416.14.1, and R.S. 17:7.</w:t>
      </w:r>
    </w:p>
    <w:p w14:paraId="40484B0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31:1265 (June 2005), amended LR 33:431 (March 2007), LR 34:607 (April 2008), repromulgated LR 35:444 (March 2009), amended LR 35:1099 (June 2009), LR 37:1138 (April 2011), LR 38:41 (January 2012), amended LR 48:31 (January 2022), LR 51:2057 (December 2025), LR 52:</w:t>
      </w:r>
    </w:p>
    <w:p w14:paraId="3073134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§525.</w:t>
      </w:r>
      <w:r w:rsidRPr="006E50FF">
        <w:rPr>
          <w:b/>
          <w:kern w:val="2"/>
        </w:rPr>
        <w:tab/>
        <w:t>Associate Teacher Program</w:t>
      </w:r>
    </w:p>
    <w:p w14:paraId="49B651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26427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at least 21 years old;</w:t>
      </w:r>
    </w:p>
    <w:p w14:paraId="0743B5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N.</w:t>
      </w:r>
      <w:r w:rsidRPr="006E50FF">
        <w:rPr>
          <w:kern w:val="2"/>
        </w:rPr>
        <w:tab/>
        <w:t>…</w:t>
      </w:r>
    </w:p>
    <w:p w14:paraId="4B94AA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17:8, and 17:3902.</w:t>
      </w:r>
    </w:p>
    <w:p w14:paraId="216009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50:19 (January 2024), amended LR 52:</w:t>
      </w:r>
    </w:p>
    <w:p w14:paraId="7C4A7D3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Records and Reports</w:t>
      </w:r>
    </w:p>
    <w:p w14:paraId="50B2A5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§721.</w:t>
      </w:r>
      <w:r w:rsidRPr="006E50FF">
        <w:rPr>
          <w:b/>
          <w:kern w:val="2"/>
        </w:rPr>
        <w:tab/>
        <w:t>School and School System Financial Records</w:t>
      </w:r>
    </w:p>
    <w:p w14:paraId="70826A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564500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Districts may request reimbursement for paid parental leave according to procedures set by the LDOE upon appropriation of funds by the legislature.</w:t>
      </w:r>
    </w:p>
    <w:p w14:paraId="302903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AUTHORITY NOTE:</w:t>
      </w:r>
      <w:r w:rsidRPr="006E50FF">
        <w:rPr>
          <w:kern w:val="2"/>
          <w:sz w:val="18"/>
        </w:rPr>
        <w:tab/>
        <w:t>Promulgated in accordance with R.S. 17:88; R.S. 17:181; R.S. 17:414.3, and R.S. 17:1214.</w:t>
      </w:r>
    </w:p>
    <w:p w14:paraId="30651B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HISTORICAL NOTE:</w:t>
      </w:r>
      <w:r w:rsidRPr="006E50FF">
        <w:rPr>
          <w:kern w:val="2"/>
          <w:sz w:val="18"/>
        </w:rPr>
        <w:tab/>
        <w:t>Promulgated by the Board of Elementary and Secondary Education, LR 31:1271 (June 2005), amended LR 52:</w:t>
      </w:r>
    </w:p>
    <w:p w14:paraId="31D6107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w:t>
      </w:r>
      <w:r w:rsidRPr="006E50FF">
        <w:rPr>
          <w:b/>
          <w:kern w:val="2"/>
        </w:rPr>
        <w:tab/>
        <w:t>Scheduling</w:t>
      </w:r>
    </w:p>
    <w:p w14:paraId="7C41E8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§901.</w:t>
      </w:r>
      <w:r w:rsidRPr="006E50FF">
        <w:rPr>
          <w:b/>
          <w:kern w:val="2"/>
        </w:rPr>
        <w:tab/>
        <w:t>Scheduling</w:t>
      </w:r>
    </w:p>
    <w:p w14:paraId="07888A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1C4071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By the end of the eighth grade, each student shall begin to develop, with the input of his parent(s) or other legal custodians and school counselor or career coach, an individual graduation plan. Such a plan shall guide the next academic year’s course work. For a student with an exceptionality, except a student identified as gifted or talented and who has no other exceptionality, the student’s IEP team, if applicable, shall assist in developing the individual graduation plan.</w:t>
      </w:r>
    </w:p>
    <w:p w14:paraId="6F4FDF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- 5.b.</w:t>
      </w:r>
      <w:r w:rsidRPr="006E50FF">
        <w:rPr>
          <w:kern w:val="2"/>
        </w:rPr>
        <w:tab/>
        <w:t>…</w:t>
      </w:r>
    </w:p>
    <w:p w14:paraId="664C3E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Each student, with the assistance of his parent or other legal custodian and school counselor or career coach shall choose the high school curriculum framework and related graduation requirements that best meet his postsecondary goals. Prior to revising a student's individual graduation plan, the school counselor shall meet with the student's parent or legal custodian, either in person or virtually, to explain the possible impacts the revisions to the plan might have on the student's graduation requirements and postsecondary education goals. Any revisions to a student's plan shall be approved in writing by the student's parent or legal custodian.</w:t>
      </w:r>
    </w:p>
    <w:p w14:paraId="160E97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individual graduation plan or the IEP, if applicable, shall be reviewed annually and updated as necessary to identify the courses to be taken each year until all required courses are completed. Each student, his parent or legal custodian, and his school counselor or career coach shall annually sign the student's individual graduation plan.</w:t>
      </w:r>
    </w:p>
    <w:p w14:paraId="48DF52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w:t>
      </w:r>
    </w:p>
    <w:p w14:paraId="3A632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parent or legal guardian of a student entering the eleventh grade may request that the student’s individual graduation plan or the student’s IEP, if applicable, be updated.</w:t>
      </w:r>
    </w:p>
    <w:p w14:paraId="08695A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Each student, with the assistance of his parent or legal guardian and school counselor, shall be offered available vocational training opportunities.</w:t>
      </w:r>
    </w:p>
    <w:p w14:paraId="4CCF86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E.3.</w:t>
      </w:r>
      <w:r w:rsidRPr="006E50FF">
        <w:rPr>
          <w:kern w:val="2"/>
        </w:rPr>
        <w:tab/>
        <w:t>…</w:t>
      </w:r>
    </w:p>
    <w:p w14:paraId="506BDC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AUTHORITY NOTE:</w:t>
      </w:r>
      <w:r w:rsidRPr="006E50FF">
        <w:rPr>
          <w:kern w:val="2"/>
          <w:sz w:val="18"/>
        </w:rPr>
        <w:tab/>
        <w:t>Promulgated in accordance with R.S. 17:17, R.S. 17:183.2, and R.S. 17:2926.</w:t>
      </w:r>
    </w:p>
    <w:p w14:paraId="54FAAF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31:1271 (June 2005), amended LR 36:1498 (July 2010), LR 39:2204 (August 2013), LR 40:2522 (December 2014), LR 42:557 (April 2016), LR 43:2483 (December 2017),</w:t>
      </w:r>
      <w:r w:rsidRPr="006E50FF">
        <w:t xml:space="preserve"> </w:t>
      </w:r>
      <w:r w:rsidRPr="006E50FF">
        <w:rPr>
          <w:kern w:val="2"/>
          <w:sz w:val="18"/>
        </w:rPr>
        <w:t>LR 46:1083 (August 2020), amended LR 48:31 (January 2022), LR 49:250 (February 2023), repromulgated LR 49:856 (May 2023), amended LR 50:972 (July 2024), LR 52:</w:t>
      </w:r>
    </w:p>
    <w:p w14:paraId="30380E1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Student Services</w:t>
      </w:r>
    </w:p>
    <w:p w14:paraId="71824DE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§1127.</w:t>
      </w:r>
      <w:r w:rsidRPr="006E50FF">
        <w:rPr>
          <w:b/>
          <w:kern w:val="2"/>
        </w:rPr>
        <w:tab/>
        <w:t>Preventive Programs</w:t>
      </w:r>
    </w:p>
    <w:p w14:paraId="2EF412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6488DC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Suicide Prevention Awareness. </w:t>
      </w:r>
    </w:p>
    <w:p w14:paraId="7172D4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public middle and high school shall post on its website and may include in its student handbook the following: </w:t>
      </w:r>
    </w:p>
    <w:p w14:paraId="5D4E4661"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the National Suicide Prevention Lifeline hotline number, “988”, with an explanation that this number may be called or texted;</w:t>
      </w:r>
    </w:p>
    <w:p w14:paraId="1EEECD0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4A3C84E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link to Louisiana988.org, a suicide prevention initiative of the Louisiana Department of Health.</w:t>
      </w:r>
    </w:p>
    <w:p w14:paraId="0EC423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governing authority of each public middle and high school that issues student identification cards shall have printed on the cards: </w:t>
      </w:r>
    </w:p>
    <w:p w14:paraId="1592060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 and</w:t>
      </w:r>
    </w:p>
    <w:p w14:paraId="1DFE9E1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4C0417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14:paraId="54092A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E.5.c.</w:t>
      </w:r>
      <w:r w:rsidRPr="006E50FF">
        <w:rPr>
          <w:kern w:val="2"/>
        </w:rPr>
        <w:tab/>
        <w:t>…</w:t>
      </w:r>
    </w:p>
    <w:p w14:paraId="7EBE06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17:13.1, R.S. 17:283, R.S. 17:282.4, and R.S. 17:403.</w:t>
      </w:r>
    </w:p>
    <w:p w14:paraId="5B00A8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rPr>
        <w:t>HISTORICAL NOTE:</w:t>
      </w:r>
      <w:r w:rsidRPr="006E50FF">
        <w:rPr>
          <w:kern w:val="2"/>
          <w:sz w:val="18"/>
        </w:rPr>
        <w:tab/>
        <w:t xml:space="preserve">Promulgated by the Board of Elementary and Secondary Education, LR 31:1278 (June 2005), amended LR 39:2208 (August 2013), LR 45:1746 (December 2019), LR 50:177 (February 2024), </w:t>
      </w:r>
      <w:r w:rsidRPr="006E50FF">
        <w:rPr>
          <w:rFonts w:eastAsia="Calibri"/>
          <w:kern w:val="2"/>
          <w:sz w:val="18"/>
        </w:rPr>
        <w:t>LR 51:56 (January 2025), LR 52:</w:t>
      </w:r>
    </w:p>
    <w:p w14:paraId="435D29D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§1135.</w:t>
      </w:r>
      <w:r w:rsidRPr="006E50FF">
        <w:rPr>
          <w:b/>
          <w:kern w:val="2"/>
        </w:rPr>
        <w:tab/>
        <w:t>Child Abuse</w:t>
      </w:r>
    </w:p>
    <w:p w14:paraId="681B21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73E409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All instances of alleged child abuse that occur in a school setting shall immediately be reported by the school to the child’s parent and to local or state law enforcement, regardless of the alleged perpetrator.</w:t>
      </w:r>
    </w:p>
    <w:p w14:paraId="0E6076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G.</w:t>
      </w:r>
      <w:r w:rsidRPr="006E50FF">
        <w:rPr>
          <w:kern w:val="2"/>
        </w:rPr>
        <w:tab/>
        <w:t>…</w:t>
      </w:r>
    </w:p>
    <w:p w14:paraId="25B561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14:403.3., R.S. 17:6, R.S. 17:7, and R.S. 17:407.41. </w:t>
      </w:r>
    </w:p>
    <w:p w14:paraId="3A77B8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6E50FF">
        <w:rPr>
          <w:kern w:val="2"/>
          <w:sz w:val="18"/>
        </w:rPr>
        <w:t>HISTORICAL NOTE:</w:t>
      </w:r>
      <w:r w:rsidRPr="006E50FF">
        <w:rPr>
          <w:kern w:val="2"/>
          <w:sz w:val="18"/>
        </w:rPr>
        <w:tab/>
        <w:t>Promulgated by the Board of Elementary and Secondary Education, LR 31:1282 (June 2005), amended LR 51:49 (January 2025), LR 51:2059 (December 2025), LR 52:</w:t>
      </w:r>
    </w:p>
    <w:p w14:paraId="1DFFD49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13.</w:t>
      </w:r>
      <w:r w:rsidRPr="006E50FF">
        <w:rPr>
          <w:b/>
          <w:kern w:val="2"/>
        </w:rPr>
        <w:tab/>
        <w:t>Discipline</w:t>
      </w:r>
    </w:p>
    <w:p w14:paraId="7A8B7E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§1301.</w:t>
      </w:r>
      <w:r w:rsidRPr="006E50FF">
        <w:rPr>
          <w:b/>
          <w:kern w:val="2"/>
        </w:rPr>
        <w:tab/>
        <w:t>Disciplinary Regulations</w:t>
      </w:r>
    </w:p>
    <w:p w14:paraId="54742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r w:rsidRPr="006E50FF">
        <w:rPr>
          <w:kern w:val="2"/>
        </w:rPr>
        <w:tab/>
      </w:r>
    </w:p>
    <w:p w14:paraId="06C58B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principal or administrator shall not retaliate or take adverse employment action against a teacher or other school employee for taking, recommending, or initiating disciplinary action, provided the disciplinary action is taken in accordance with the disciplinary policy adopted by the LEA.</w:t>
      </w:r>
    </w:p>
    <w:p w14:paraId="638473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t>
      </w:r>
    </w:p>
    <w:p w14:paraId="6B50E2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Each school shall annually provide written notice, at the beginning of each school year, to each teacher and school employee, including bus operators, of their right to take or request disciplinary action against a student in accordance </w:t>
      </w:r>
      <w:r w:rsidRPr="006E50FF">
        <w:rPr>
          <w:kern w:val="2"/>
        </w:rPr>
        <w:t>with this Section. The notice shall also include eligibility for sick and personal leave in the event that a school employee is injured by a student who committed an assault or battery against a school employee.</w:t>
      </w:r>
    </w:p>
    <w:p w14:paraId="190773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I.</w:t>
      </w:r>
      <w:r w:rsidRPr="006E50FF">
        <w:rPr>
          <w:kern w:val="2"/>
        </w:rPr>
        <w:tab/>
        <w:t>…</w:t>
      </w:r>
    </w:p>
    <w:p w14:paraId="4DEC9D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Calibri"/>
          <w:kern w:val="2"/>
          <w:sz w:val="18"/>
        </w:rPr>
        <w:t>AUTHORITY NOTE: Promulgated in accordance with R.S. 17:223-224, R.S. 17:416, R.S. 14:34.3, R.S. 14:38.2, and R.S. 17:416.13.</w:t>
      </w:r>
    </w:p>
    <w:p w14:paraId="097308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rPr>
        <w:t>HISTORICAL NOTE:</w:t>
      </w:r>
      <w:r w:rsidRPr="006E50FF">
        <w:rPr>
          <w:kern w:val="2"/>
          <w:sz w:val="18"/>
        </w:rPr>
        <w:tab/>
        <w:t xml:space="preserve">Promulgated by the Board of Elementary and Secondary Education, LR 31:1282 (June 2005), amended LR 36:1225 (June 2010), LR 37:1132, 1133 (April 2011), LR 39:476 (March 2013), LR 39:2210 (August 2013), </w:t>
      </w:r>
      <w:r w:rsidRPr="006E50FF">
        <w:rPr>
          <w:rFonts w:eastAsia="Calibri"/>
          <w:kern w:val="2"/>
          <w:sz w:val="18"/>
        </w:rPr>
        <w:t>LR 39:</w:t>
      </w:r>
      <w:r w:rsidRPr="006E50FF">
        <w:rPr>
          <w:kern w:val="2"/>
          <w:sz w:val="18"/>
        </w:rPr>
        <w:t xml:space="preserve">3069 (November 2013), LR 48:1011 (April 2022), </w:t>
      </w:r>
      <w:r w:rsidRPr="006E50FF">
        <w:rPr>
          <w:rFonts w:eastAsia="Calibri"/>
          <w:kern w:val="2"/>
          <w:sz w:val="18"/>
        </w:rPr>
        <w:t>LR 51:57 (January 2025), LR 52:215 (February 2026), LR 52:</w:t>
      </w:r>
    </w:p>
    <w:p w14:paraId="1D1819F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§1302.</w:t>
      </w:r>
      <w:r w:rsidRPr="006E50FF">
        <w:rPr>
          <w:b/>
          <w:kern w:val="2"/>
        </w:rPr>
        <w:tab/>
        <w:t>Student Code of Conduct</w:t>
      </w:r>
    </w:p>
    <w:p w14:paraId="40A7F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A.6.</w:t>
      </w:r>
      <w:r w:rsidRPr="006E50FF">
        <w:rPr>
          <w:kern w:val="2"/>
        </w:rPr>
        <w:tab/>
        <w:t>…</w:t>
      </w:r>
      <w:r w:rsidRPr="006E50FF">
        <w:rPr>
          <w:kern w:val="2"/>
        </w:rPr>
        <w:tab/>
      </w:r>
    </w:p>
    <w:p w14:paraId="06C2AE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Deepfake Material Prohibition. The student code of conduct shall prohibit the use of deepfake material. </w:t>
      </w:r>
    </w:p>
    <w:p w14:paraId="75B10C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
          <w:kern w:val="2"/>
        </w:rPr>
        <w:t>Deepfake Material—</w:t>
      </w:r>
      <w:r w:rsidRPr="006E50FF">
        <w:rPr>
          <w:kern w:val="2"/>
        </w:rPr>
        <w:t>any audio or visual media in an electronic format, including any motion picture film or video recording, that is created, altered, or digitally manipulated in a manner that would falsely appear to a reasonable observer to be an authentic record of the actual speech or conduct of the individual or that replaces an individual’s likeness with another individual as depicted in the recording.</w:t>
      </w:r>
    </w:p>
    <w:p w14:paraId="2432F0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Deepfake does not include material that constitutes a work of political, public interest, or newsworthy value, including commentary, criticism, satire, or parody, or that includes content, context, or a clear disclosure visible throughout the duration of the recording that would cause a reasonable person to understand that the audio or visual media is not a record of a real event. </w:t>
      </w:r>
    </w:p>
    <w:p w14:paraId="513492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No student at an elementary or secondary school shall use material considered to be deepfake against a student enrolled in kindergarten through twelfth grade, with the intent to coerce, harass, intimidate, or maliciously disseminate or sell the material.</w:t>
      </w:r>
    </w:p>
    <w:p w14:paraId="68F7C6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17:81, R.S. 17:223-224, R.S. 17:416, and R.S. 17:416.13.</w:t>
      </w:r>
    </w:p>
    <w:p w14:paraId="04977C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39:477 (March 2013), amended LR 40:2530 (December 2014), LR 48:1012 (April 2022), </w:t>
      </w:r>
      <w:r w:rsidRPr="006E50FF">
        <w:rPr>
          <w:rFonts w:eastAsia="Calibri"/>
          <w:kern w:val="2"/>
          <w:sz w:val="18"/>
        </w:rPr>
        <w:t>LR 51:57 (January 2025), LR 52:</w:t>
      </w:r>
    </w:p>
    <w:p w14:paraId="428434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§1305.</w:t>
      </w:r>
      <w:r w:rsidRPr="006E50FF">
        <w:rPr>
          <w:b/>
          <w:kern w:val="2"/>
        </w:rPr>
        <w:tab/>
        <w:t>Reasons for Suspension</w:t>
      </w:r>
      <w:r w:rsidRPr="006E50FF">
        <w:rPr>
          <w:b/>
          <w:kern w:val="2"/>
        </w:rPr>
        <w:br/>
        <w:t>[Formerly §1303]</w:t>
      </w:r>
    </w:p>
    <w:p w14:paraId="64E1BD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18"/>
        </w:rPr>
      </w:pPr>
      <w:r w:rsidRPr="006E50FF">
        <w:rPr>
          <w:kern w:val="2"/>
        </w:rPr>
        <w:t>A. - B.15.</w:t>
      </w:r>
      <w:r w:rsidRPr="006E50FF">
        <w:rPr>
          <w:kern w:val="2"/>
        </w:rPr>
        <w:tab/>
        <w:t>…</w:t>
      </w:r>
    </w:p>
    <w:p w14:paraId="433EF9DF"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16.</w:t>
      </w:r>
      <w:r w:rsidRPr="006E50FF">
        <w:rPr>
          <w:kern w:val="2"/>
        </w:rPr>
        <w:tab/>
        <w:t xml:space="preserve">habitual tardiness or absenteeism; </w:t>
      </w:r>
    </w:p>
    <w:p w14:paraId="6204A7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committing any other serious offense; and</w:t>
      </w:r>
    </w:p>
    <w:p w14:paraId="6791D1F0"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18.</w:t>
      </w:r>
      <w:r w:rsidRPr="006E50FF">
        <w:rPr>
          <w:kern w:val="2"/>
        </w:rPr>
        <w:tab/>
        <w:t xml:space="preserve">committing a battery on any school employee, either on or off school property, in accordance with the Teacher’s Shield Act. </w:t>
      </w:r>
    </w:p>
    <w:p w14:paraId="602FD6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17:416.</w:t>
      </w:r>
    </w:p>
    <w:p w14:paraId="26377A9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6"/>
        </w:rPr>
      </w:pPr>
      <w:r w:rsidRPr="006E50FF">
        <w:rPr>
          <w:kern w:val="2"/>
          <w:sz w:val="18"/>
        </w:rPr>
        <w:t>HISTORICAL NOTE:</w:t>
      </w:r>
      <w:r w:rsidRPr="006E50FF">
        <w:rPr>
          <w:kern w:val="2"/>
          <w:sz w:val="18"/>
        </w:rPr>
        <w:tab/>
        <w:t>Promulgated by the Board of Elementary and Secondary Education, LR 31:1283 (June 2005), repromulgated LR 39:479 (March 2013), amended LR 39:2210 (August 2013), LR 48:1013 (April 2022), LR 52:</w:t>
      </w:r>
    </w:p>
    <w:p w14:paraId="39661C2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§1311.</w:t>
      </w:r>
      <w:r w:rsidRPr="006E50FF">
        <w:rPr>
          <w:b/>
          <w:kern w:val="2"/>
        </w:rPr>
        <w:tab/>
        <w:t>Due Process for Expulsions</w:t>
      </w:r>
    </w:p>
    <w:p w14:paraId="1D534B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w:t>
      </w:r>
      <w:r w:rsidRPr="006E50FF">
        <w:rPr>
          <w:kern w:val="2"/>
        </w:rPr>
        <w:tab/>
        <w:t>…</w:t>
      </w:r>
    </w:p>
    <w:p w14:paraId="1F7228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Assault or Battery on a School Employee. As used in this Subsection, school employee includes any person employed by the school in a full-time, part-time, permanent, or substitute position, as well as bus operators and school volunteers.</w:t>
      </w:r>
    </w:p>
    <w:p w14:paraId="797E2D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A student formally accused of committing an assault or battery, R.S. 14:34.3 or R.S.14:38.2, on a school employee shall be immediately suspended and removed from the school premises. The student shall be prohibited from returning to the school premises without the benefit of out-of-school suspension procedures, and necessary notifications and procedures shall be implemented as soon as is practicable.</w:t>
      </w:r>
    </w:p>
    <w:p w14:paraId="789EF8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student found guilty by a court of competent jurisdiction or found guilty at a school system suspension hearing of committing a battery or assault on a school employee, shall immediately be recommended for expulsion by the principal or designee in accordance with the provisions of this Section. Any such expulsion shall be for not less than two complete school semesters in an alternative school or alternative educational placement, and the student shall participate in an anger management program.</w:t>
      </w:r>
    </w:p>
    <w:p w14:paraId="05B66E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student shall not be placed at or allowed to attend the same school at which the battered or assaulted school employee is assigned, except when the school system has no other school of suitable grade level for the student to attend.</w:t>
      </w:r>
    </w:p>
    <w:p w14:paraId="42B219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requirements of this Subsection are applicable when an incident occurs off school property as a continuation of a documented altercation that began at school.</w:t>
      </w:r>
    </w:p>
    <w:p w14:paraId="458FC0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All documentation related to the incident shall be included and maintained in the student’s records.</w:t>
      </w:r>
    </w:p>
    <w:p w14:paraId="36E98E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R.S.17:416.</w:t>
      </w:r>
    </w:p>
    <w:p w14:paraId="39174F1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HISTORICAL NOTE:</w:t>
      </w:r>
      <w:r w:rsidRPr="006E50FF">
        <w:rPr>
          <w:kern w:val="2"/>
          <w:sz w:val="18"/>
        </w:rPr>
        <w:tab/>
        <w:t>Promulgated by the Board of Elementary and Secondary Education, LR 31:1284 (June 2005), amended LR 48:1014 (April 2022), LR 52:</w:t>
      </w:r>
    </w:p>
    <w:p w14:paraId="4E422DA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Curriculum and Instruction</w:t>
      </w:r>
    </w:p>
    <w:p w14:paraId="5BDE22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bCs/>
          <w:kern w:val="2"/>
        </w:rPr>
        <w:t>Subchapter</w:t>
      </w:r>
      <w:r w:rsidRPr="006E50FF">
        <w:rPr>
          <w:b/>
          <w:kern w:val="2"/>
        </w:rPr>
        <w:t xml:space="preserve"> A.</w:t>
      </w:r>
      <w:r w:rsidRPr="006E50FF">
        <w:rPr>
          <w:b/>
          <w:kern w:val="2"/>
        </w:rPr>
        <w:tab/>
        <w:t>Standards and Curricula</w:t>
      </w:r>
    </w:p>
    <w:p w14:paraId="73E4495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§2305.</w:t>
      </w:r>
      <w:r w:rsidRPr="006E50FF">
        <w:rPr>
          <w:b/>
          <w:kern w:val="2"/>
        </w:rPr>
        <w:tab/>
        <w:t>Ancillary Areas of Instruction</w:t>
      </w:r>
    </w:p>
    <w:p w14:paraId="17DE85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I.</w:t>
      </w:r>
      <w:r w:rsidRPr="006E50FF">
        <w:rPr>
          <w:kern w:val="2"/>
        </w:rPr>
        <w:tab/>
        <w:t xml:space="preserve">… </w:t>
      </w:r>
    </w:p>
    <w:p w14:paraId="4EAC5D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Career Development Program. Beginning with the 2026-2027 school year, each public elementary school with any of the grades kindergarten through fifth grade shall provide students with at least one career awareness experience or activity during each school year. Activities may include field trips, guest speakers, community service, or other experiences to introduce students to occupations in demand in Louisiana.</w:t>
      </w:r>
    </w:p>
    <w:p w14:paraId="4583F8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17:81, 17:154, 17:183.2, 17:261 et seq., 17:263, 17:270, 17:280, 17:281 et seq., 17:404, and 17:405 et seq., and 36 USC 106.</w:t>
      </w:r>
    </w:p>
    <w:p w14:paraId="72D8F3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31:1288 (June 2005), amended LR 33:2353 (November 2007), LR 39:2214 (August 2013), LR 39:3259 (December 2013), LR 40:2531 (December 2014), LR 44:1443 (August 2018), LR 44:1868 (October 2018), LR 45:36 (January 2019), LR 45:1746 (December 2019), amended LR 48:33 (January 2022), LR 49:251 (February 2023), repromulgated LR 49:857 (May 2023), amended LR 50:177 (February 2024), </w:t>
      </w:r>
      <w:r w:rsidRPr="006E50FF">
        <w:rPr>
          <w:rFonts w:eastAsia="Calibri"/>
          <w:kern w:val="2"/>
          <w:sz w:val="18"/>
        </w:rPr>
        <w:t xml:space="preserve">LR 51:59 (January 2025), </w:t>
      </w:r>
      <w:r w:rsidRPr="006E50FF">
        <w:rPr>
          <w:kern w:val="2"/>
          <w:sz w:val="18"/>
        </w:rPr>
        <w:t>LR 51:2060 (December 2025), LR 52:</w:t>
      </w:r>
    </w:p>
    <w:p w14:paraId="081156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§2317.</w:t>
      </w:r>
      <w:r w:rsidRPr="006E50FF">
        <w:rPr>
          <w:b/>
          <w:kern w:val="2"/>
        </w:rPr>
        <w:tab/>
        <w:t>High Schools</w:t>
      </w:r>
    </w:p>
    <w:p w14:paraId="1C3CFD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N.</w:t>
      </w:r>
      <w:r w:rsidRPr="006E50FF">
        <w:rPr>
          <w:kern w:val="2"/>
        </w:rPr>
        <w:tab/>
        <w:t xml:space="preserve">… </w:t>
      </w:r>
    </w:p>
    <w:p w14:paraId="6AD6D6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Fine Arts Diploma Endorsement</w:t>
      </w:r>
    </w:p>
    <w:p w14:paraId="4EFCFC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Beginning with the 2026-2027 school year, high school students completing four credits in the same arts discipline, such as music, dance, visual arts, theater, media arts, or culinary arts, with a minimum GPA of 3.0 for the arts credits completed, and completion of an arts-related capstone </w:t>
      </w:r>
      <w:r w:rsidRPr="006E50FF">
        <w:rPr>
          <w:kern w:val="2"/>
        </w:rPr>
        <w:t>performance or portfolio shall be eligible for the fine arts diploma endorsement.</w:t>
      </w:r>
    </w:p>
    <w:p w14:paraId="5A623C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capstone project demonstrates a student’s mastery, creative growth, and sustained achievement within in a specific fine arts concentration through the following:</w:t>
      </w:r>
    </w:p>
    <w:p w14:paraId="05B2673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artistic mastery;</w:t>
      </w:r>
    </w:p>
    <w:p w14:paraId="282F9CD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artistic process;</w:t>
      </w:r>
    </w:p>
    <w:p w14:paraId="45A11D2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community engagement and artistic leadership; and</w:t>
      </w:r>
    </w:p>
    <w:p w14:paraId="50E93A3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written reflection.</w:t>
      </w:r>
    </w:p>
    <w:p w14:paraId="1E6B14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LEA must maintain appropriate records in order to identify students who have earned the seal and affix the applicable diploma seal to the high school diploma.</w:t>
      </w:r>
    </w:p>
    <w:p w14:paraId="0D0E33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17:7, 17:154, 17:264, 17:1944, 17:1945, R.S. 17:273.5, and 17:4073.</w:t>
      </w:r>
    </w:p>
    <w:p w14:paraId="74C905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31:1291 (June 2005), amended LR 36:1485 (July 2010), LR 37:1137 (April 2011), LR 38:754 (March 2012), LR 39:1038 (April 2013), LR 39:2216 (August 2013), LR 40:1328 (July 2014), repromulgated LR 40:1528 (August 2014), amended LR 40:2530 (December 2014), LR 45:37 (January 2019), LR 45:227 (February 2019), LR 46:1671 (December 2020), amended LR 48:33 (January 2022), LR 50:178 (February 2024), LR 51:1128 (August 2025), LR 51:2061 (December 2025), LR 52:</w:t>
      </w:r>
    </w:p>
    <w:p w14:paraId="5EDBB42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C.</w:t>
      </w:r>
      <w:r w:rsidRPr="006E50FF">
        <w:rPr>
          <w:b/>
          <w:kern w:val="2"/>
        </w:rPr>
        <w:tab/>
        <w:t>Career and Technical Education</w:t>
      </w:r>
    </w:p>
    <w:p w14:paraId="2D9A39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§2397.</w:t>
      </w:r>
      <w:r w:rsidRPr="006E50FF">
        <w:rPr>
          <w:b/>
          <w:kern w:val="2"/>
        </w:rPr>
        <w:tab/>
        <w:t>Career Options</w:t>
      </w:r>
    </w:p>
    <w:p w14:paraId="1093D9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Preparation for Choosing an Area of Concentration</w:t>
      </w:r>
    </w:p>
    <w:p w14:paraId="1307BC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To provide a foundation for the development of the IGP, schools shall provide career awareness and exploration activities to all students in sixth through eighth grade that create linkages between what a student does in school and wants to achieve in life. Such activities shall include career interest inventories in sixth grade and updated career interest inventories in seventh and eighth grade. The information shall be used to assist students in the career decision making process and may include job shadowing, job mentoring, and job internships. </w:t>
      </w:r>
    </w:p>
    <w:p w14:paraId="2AD944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- 5.</w:t>
      </w:r>
      <w:r w:rsidRPr="006E50FF">
        <w:rPr>
          <w:kern w:val="2"/>
        </w:rPr>
        <w:tab/>
        <w:t>…</w:t>
      </w:r>
    </w:p>
    <w:p w14:paraId="6C1DA7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At least one activity to expose students to career and technical and academic fields of study shall be documented for each school year in each student’s IGP, including at least one middle school career-related activity.</w:t>
      </w:r>
    </w:p>
    <w:p w14:paraId="48A6DA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B.2.</w:t>
      </w:r>
      <w:r w:rsidRPr="006E50FF">
        <w:rPr>
          <w:kern w:val="2"/>
        </w:rPr>
        <w:tab/>
        <w:t>…</w:t>
      </w:r>
    </w:p>
    <w:p w14:paraId="441887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Career-Related Activities. To prepare students for choosing a career option at the high school level, at least six activities which expose students to career and technical and academic fields of study shall be conducted at each grade level in grades six through eight during each school year. Such activities shall include career interest inventories in sixth grade, updated in seventh and eighth grade, and information to assist students in the career decision-making process. The activities may also include job shadowing, job mentoring, job internships, field trips, guest speakers, community service activities, and other activities designed to introduce students to occupations in demand in Louisiana. </w:t>
      </w:r>
    </w:p>
    <w:p w14:paraId="7C0FA2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LEA shall select activities that align, to the greatest extent feasible, with the listing of high-demand sectors by region and state provided annually by Louisiana Works.</w:t>
      </w:r>
    </w:p>
    <w:p w14:paraId="7ECAD3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school year, at least three of the six activities for each grade level shall meet one of the following criteria:</w:t>
      </w:r>
    </w:p>
    <w:p w14:paraId="4618332B"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an activity that provides direct interaction with an employer;</w:t>
      </w:r>
    </w:p>
    <w:p w14:paraId="296FD38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 activity that involves career pathway instruction linked to high school course options;</w:t>
      </w:r>
    </w:p>
    <w:p w14:paraId="421208B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an activity that provides a work-based learning exposure; or </w:t>
      </w:r>
    </w:p>
    <w:p w14:paraId="48E5B3F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career interest inventory.</w:t>
      </w:r>
    </w:p>
    <w:p w14:paraId="2F36EA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Each LEA shall certify annual compliance for the schools under its jurisdiction to the LDOE and shall maintain auditable records of activities by grade level.</w:t>
      </w:r>
    </w:p>
    <w:p w14:paraId="68D862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Elementary school counselors may consult with teachers to implement a career development program which includes self-awareness, job awareness, and prevocational orientation, and in providing students in kindergarten through fifth grade participate in at least one career awareness experience or activity during each school year.</w:t>
      </w:r>
    </w:p>
    <w:p w14:paraId="503C1C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17:2925 and R.S. 17:183.1 et seq.</w:t>
      </w:r>
    </w:p>
    <w:p w14:paraId="2D2EF7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31:1303 (June 2005), amended LR 36:1996 (September 2010), LR 40:2524 (December 2014), amended LR 48:33 (January 2022), LR 52:</w:t>
      </w:r>
    </w:p>
    <w:p w14:paraId="7DEA500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31.</w:t>
      </w:r>
      <w:r w:rsidRPr="006E50FF">
        <w:rPr>
          <w:b/>
          <w:kern w:val="2"/>
        </w:rPr>
        <w:tab/>
        <w:t>Career and Technical Education (CTE)</w:t>
      </w:r>
    </w:p>
    <w:p w14:paraId="210C41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§3113.</w:t>
      </w:r>
      <w:r w:rsidRPr="006E50FF">
        <w:rPr>
          <w:b/>
          <w:kern w:val="2"/>
        </w:rPr>
        <w:tab/>
        <w:t>Work-Based Learning</w:t>
      </w:r>
    </w:p>
    <w:p w14:paraId="6E4557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zCs w:val="18"/>
        </w:rPr>
        <w:t>A.</w:t>
      </w:r>
      <w:r w:rsidRPr="006E50FF">
        <w:rPr>
          <w:kern w:val="2"/>
          <w:szCs w:val="18"/>
        </w:rPr>
        <w:tab/>
      </w:r>
      <w:r w:rsidRPr="006E50FF">
        <w:rPr>
          <w:kern w:val="2"/>
        </w:rPr>
        <w:t>Work-based learning programs provide opportunities for students to receive on-the-job training and related classroom instruction in all program areas, including activities in which the school system employs students. Where the employing party is the school or school system, the work-based activities must not occur at their own school and the agreement shall be subject to the approval of LDOE. The following are types of work-based learning:</w:t>
      </w:r>
    </w:p>
    <w:p w14:paraId="75285D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B.</w:t>
      </w:r>
      <w:r w:rsidRPr="006E50FF">
        <w:rPr>
          <w:kern w:val="2"/>
        </w:rPr>
        <w:tab/>
        <w:t>…</w:t>
      </w:r>
    </w:p>
    <w:p w14:paraId="288BFC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work-based learning teacher of record shall hold:</w:t>
      </w:r>
    </w:p>
    <w:p w14:paraId="1D6BB3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D.1.</w:t>
      </w:r>
      <w:r w:rsidRPr="006E50FF">
        <w:rPr>
          <w:kern w:val="2"/>
        </w:rPr>
        <w:tab/>
        <w:t>…</w:t>
      </w:r>
    </w:p>
    <w:p w14:paraId="47D9E0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Internships shall incorporate classroom instruction and on-the-job training. The classroom instruction and on-the-job training phase shall be a minimum of 7,965 minutes for one Carnegie unit. A student must complete a minimum of 106.2 hours of OJT and 26.55 hours of classroom instruction. The classroom instruction shall count as no more than 20 percent of the instructional minutes of the total Carnegie unit. Teacher-coordinators shall be scheduled for classroom instruction and on-the-job supervision.</w:t>
      </w:r>
    </w:p>
    <w:p w14:paraId="0C8470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D.3. - E.3.</w:t>
      </w:r>
      <w:r w:rsidRPr="006E50FF">
        <w:rPr>
          <w:kern w:val="2"/>
        </w:rPr>
        <w:tab/>
        <w:t>…</w:t>
      </w:r>
    </w:p>
    <w:p w14:paraId="4FD7C9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Each teacher-coordinator for work-based programs must maintain a training memorandum, skill competencies attained by each student, and employer evaluation. These documents must be readily available for monitoring.</w:t>
      </w:r>
    </w:p>
    <w:p w14:paraId="244B97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E.5. - F.4</w:t>
      </w:r>
      <w:r w:rsidRPr="006E50FF">
        <w:rPr>
          <w:kern w:val="2"/>
        </w:rPr>
        <w:tab/>
        <w:t>…</w:t>
      </w:r>
    </w:p>
    <w:p w14:paraId="0303097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w:t>
      </w:r>
    </w:p>
    <w:p w14:paraId="269002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31:1310 (June 2005), amended LR 33:280 (February 2007), LR 39:2228 (August 2013), LR 43:2134 (November 2017), LR 50:1148 (August 2024), LR 51:2063 (December 2025), LR 52:</w:t>
      </w:r>
    </w:p>
    <w:p w14:paraId="7DCA94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§3119.</w:t>
      </w:r>
      <w:r w:rsidRPr="006E50FF">
        <w:rPr>
          <w:b/>
          <w:kern w:val="2"/>
        </w:rPr>
        <w:tab/>
        <w:t>Career Practicum</w:t>
      </w:r>
    </w:p>
    <w:p w14:paraId="5FBC70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As used in this Section, the following definitions apply:</w:t>
      </w:r>
    </w:p>
    <w:p w14:paraId="5B42C53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Business Partner</w:t>
      </w:r>
      <w:r w:rsidRPr="006E50FF">
        <w:rPr>
          <w:kern w:val="2"/>
        </w:rPr>
        <w:t>—a private business entity, financial institution, or nonprofit organization that enters into a cooperative endeavor agreement with a city, parish, or other local school board to operate a career practicum.</w:t>
      </w:r>
    </w:p>
    <w:p w14:paraId="2B93F31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Career Practicum</w:t>
      </w:r>
      <w:r w:rsidRPr="006E50FF">
        <w:rPr>
          <w:kern w:val="2"/>
        </w:rPr>
        <w:t>—a limited scope educational franchise operation conducted on a public high school campus pursuant to a cooperative endeavor agreement, whose primary purpose is to deliver compensated, credit-bearing work-based learning, aligned to BESE-approved career pathways, and related instruction.</w:t>
      </w:r>
    </w:p>
    <w:p w14:paraId="65E2AB9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Fair Market Value</w:t>
      </w:r>
      <w:r w:rsidRPr="006E50FF">
        <w:rPr>
          <w:kern w:val="2"/>
        </w:rPr>
        <w:t>—the value of public assets, services, or resources made available to a business partner, including space, utilities, equipment, or other measurable benefits, calculated using commercially reasonable valuation principles and BESE-approved methodology.</w:t>
      </w:r>
    </w:p>
    <w:p w14:paraId="43DD12E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Hazardous Occupation—</w:t>
      </w:r>
      <w:r w:rsidRPr="006E50FF">
        <w:rPr>
          <w:kern w:val="2"/>
        </w:rPr>
        <w:t>any occupation or activity prohibited for minors under the provisions of the Louisiana Works rules governing the employment of minors.</w:t>
      </w:r>
    </w:p>
    <w:p w14:paraId="132ADBF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Instructional Scope</w:t>
      </w:r>
      <w:r w:rsidRPr="006E50FF">
        <w:rPr>
          <w:kern w:val="2"/>
        </w:rPr>
        <w:t>—the defined operational boundaries of a career practicum that are directly tied to instructional objectives, including pathway aligned activities, financial literacy instruction, employability skill development, and compensated work-based learning.</w:t>
      </w:r>
    </w:p>
    <w:p w14:paraId="6E46825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Student Participant</w:t>
      </w:r>
      <w:r w:rsidRPr="006E50FF">
        <w:rPr>
          <w:kern w:val="2"/>
        </w:rPr>
        <w:t>—a student enrolled in a BESE-approved, work-based learning course who participates in a career practicum and is compensated as an employee of the business partner.</w:t>
      </w:r>
    </w:p>
    <w:p w14:paraId="2202AF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 city, parish, or other local public school board may establish and host one or more career practicums on a public high school campus. </w:t>
      </w:r>
    </w:p>
    <w:p w14:paraId="5C0BEE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career practicum shall operate exclusively within the instructional scope defined in the cooperative endeavor agreement and shall not engage in general commercial activity unrelated to instructional purposes.</w:t>
      </w:r>
    </w:p>
    <w:p w14:paraId="50C0A9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cooperative endeavor agreement shall be between the city, parish, or other local school board and the business partner.</w:t>
      </w:r>
    </w:p>
    <w:p w14:paraId="0A45BE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agreement shall include but not be limited to the following:</w:t>
      </w:r>
    </w:p>
    <w:p w14:paraId="30AFD6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declaration of the essential educational and public purpose served;</w:t>
      </w:r>
    </w:p>
    <w:p w14:paraId="64C6967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enforceable, nongratuitous obligations of the business partner;</w:t>
      </w:r>
    </w:p>
    <w:p w14:paraId="3186683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 inventory and valuation of public assets utilized, including a fair market value schedule;</w:t>
      </w:r>
    </w:p>
    <w:p w14:paraId="0C5990F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annual fair market value recertification;</w:t>
      </w:r>
    </w:p>
    <w:p w14:paraId="631A9B3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clear statement of instructional scope and operating parameters;</w:t>
      </w:r>
    </w:p>
    <w:p w14:paraId="0EC2284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liability insurance naming the city, parish, or other local school board and the state as additional insureds;</w:t>
      </w:r>
    </w:p>
    <w:p w14:paraId="49904A0B"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indemnifications of the city, parish, or other local school board and the state;</w:t>
      </w:r>
    </w:p>
    <w:p w14:paraId="3F755373"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safety, supervision, and training requirements; and</w:t>
      </w:r>
    </w:p>
    <w:p w14:paraId="130F393F"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compliance with applicable federal and state laws governing student data privacy, child labor, workplace safety, and accessibility.</w:t>
      </w:r>
    </w:p>
    <w:p w14:paraId="4A13F0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cooperative endeavor agreement shall be public record and posted on the website of the city, parish, or other local school board.</w:t>
      </w:r>
    </w:p>
    <w:p w14:paraId="7A0D2D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Career practicums shall align with BESE-approved career pathways and integrate financial literacy and employability skill development, and shall be structured so that student participants are the primary beneficiaries of the educational experience.</w:t>
      </w:r>
    </w:p>
    <w:p w14:paraId="66A4C1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59A282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A student participating in a career practicum who performs credit-bearing internship experience aligned to a BESE-approved career pathway shall satisfy the requirements for an internship for school and district accountability.</w:t>
      </w:r>
    </w:p>
    <w:p w14:paraId="4A6838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business partner shall provide reciprocity under the cooperative endeavor agreement that meets or exceeds the fair market value of public assets utilized and shall fulfill all educational obligations established in the agreement.</w:t>
      </w:r>
    </w:p>
    <w:p w14:paraId="1B46F6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Career practicums may provide customer facing services only to the extent such services fall within the instructional scope established in the cooperative endeavor agreement.</w:t>
      </w:r>
    </w:p>
    <w:p w14:paraId="0C6FD3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Career practicums operating solely within the instructional scope of a compliant cooperative endeavor agreement shall be deemed instructional functions of the city, parish, or other local school board and shall not be classified as commercial tenants.</w:t>
      </w:r>
    </w:p>
    <w:p w14:paraId="38FFA6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Any employee, agent, or representative of a business partner who has direct and unsupervised interaction with students participating in a career practicum shall be subject to the same criminal background check and eligibility requirements applicable to school employees and instructors in accordance with §501 of this Part.</w:t>
      </w:r>
    </w:p>
    <w:p w14:paraId="429A0F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 xml:space="preserve">When a career practicum includes limited customer-facing services within the instructional scope, the city, parish, or other local school board shall have the authority to regulate campus access consistent with existing safety, supervision, and visitor access policies. </w:t>
      </w:r>
    </w:p>
    <w:p w14:paraId="2B4B3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Student Labor, Safety, and Supervision. Student participants shall:</w:t>
      </w:r>
    </w:p>
    <w:p w14:paraId="005D91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earn academic credit in accordance with this Part;</w:t>
      </w:r>
    </w:p>
    <w:p w14:paraId="20B078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receive wages at or above the applicable minimum wage;</w:t>
      </w:r>
    </w:p>
    <w:p w14:paraId="2D0095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 employees of the business partner for wage and workers’ compensation purposes;</w:t>
      </w:r>
    </w:p>
    <w:p w14:paraId="0A7AB8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receive required safety training prior to participation; and</w:t>
      </w:r>
    </w:p>
    <w:p w14:paraId="21042E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be prohibited from engaging in hazardous occupations barred for minors.</w:t>
      </w:r>
    </w:p>
    <w:p w14:paraId="3868CE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 R.S. 17:81, and R.S. 17:4201 through 4212.</w:t>
      </w:r>
    </w:p>
    <w:p w14:paraId="27D7E2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01142EC" w14:textId="77777777" w:rsidR="006E50FF" w:rsidRPr="006E50FF" w:rsidRDefault="006E50FF" w:rsidP="006E50FF">
      <w:pPr>
        <w:keepNext/>
        <w:jc w:val="center"/>
        <w:rPr>
          <w:b/>
          <w:noProof/>
        </w:rPr>
      </w:pPr>
      <w:r w:rsidRPr="006E50FF">
        <w:rPr>
          <w:b/>
          <w:noProof/>
        </w:rPr>
        <w:t>Part CXXXIX.  Bulletin 126</w:t>
      </w:r>
      <w:r w:rsidRPr="006E50FF">
        <w:rPr>
          <w:rFonts w:eastAsia="Symbol"/>
          <w:b/>
          <w:noProof/>
        </w:rPr>
        <w:sym w:font="Symbol" w:char="F0BE"/>
      </w:r>
      <w:r w:rsidRPr="006E50FF">
        <w:rPr>
          <w:b/>
          <w:noProof/>
        </w:rPr>
        <w:t>Charter Schools</w:t>
      </w:r>
    </w:p>
    <w:p w14:paraId="51410BE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Charter School Authorizers</w:t>
      </w:r>
    </w:p>
    <w:p w14:paraId="4771C72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§307.</w:t>
      </w:r>
      <w:r w:rsidRPr="006E50FF">
        <w:rPr>
          <w:b/>
          <w:kern w:val="2"/>
        </w:rPr>
        <w:tab/>
        <w:t>Local School Board Duties</w:t>
      </w:r>
    </w:p>
    <w:p w14:paraId="72F0F1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A.4.</w:t>
      </w:r>
      <w:r w:rsidRPr="006E50FF">
        <w:rPr>
          <w:kern w:val="2"/>
        </w:rPr>
        <w:tab/>
        <w:t>…</w:t>
      </w:r>
    </w:p>
    <w:p w14:paraId="2065757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local school board is not required to make available a facility that is exempt from availability pursuant to R.S. 17:10.7.1(J), relative to the overcapacity of schools within certain school districts.</w:t>
      </w:r>
    </w:p>
    <w:p w14:paraId="6F58C2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- 5.a.</w:t>
      </w:r>
      <w:r w:rsidRPr="006E50FF">
        <w:rPr>
          <w:kern w:val="2"/>
        </w:rPr>
        <w:tab/>
        <w:t>…</w:t>
      </w:r>
    </w:p>
    <w:p w14:paraId="3B1E380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17:3981, R.S. 17:3982, and R.S. 17:3983.</w:t>
      </w:r>
    </w:p>
    <w:p w14:paraId="11582B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34:1359 (July 2008), amended LR 37:868 (March 2011), LR 38:3117 (December 2012), LR 39:3064 (November 2013), LR 43:307 (February 2017), LR 52:</w:t>
      </w:r>
    </w:p>
    <w:p w14:paraId="7E95275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Application and Approval Process for BESE-Authorized Charter Schools</w:t>
      </w:r>
    </w:p>
    <w:p w14:paraId="3B134C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Eligibility to Apply for a Type 2 Charter School</w:t>
      </w:r>
    </w:p>
    <w:p w14:paraId="6E7B51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w:t>
      </w:r>
      <w:r w:rsidRPr="006E50FF">
        <w:rPr>
          <w:kern w:val="2"/>
        </w:rPr>
        <w:tab/>
        <w:t>…</w:t>
      </w:r>
    </w:p>
    <w:p w14:paraId="0BEAE7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In accordance with R.S. 17:3991.2, an initial proposal for a vocational and technical education charter school may be made directly to BESE as a proposal for a Type 2 charter school, without first being submitted to or denied by the local school board.</w:t>
      </w:r>
    </w:p>
    <w:p w14:paraId="4DAF46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application shall be accompanied by a resolution of support from the State Board of Commerce and Industry.</w:t>
      </w:r>
    </w:p>
    <w:p w14:paraId="583CE9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application shall demonstrate compliance with board composition requirements and enrollment preference provisions of this Part.</w:t>
      </w:r>
    </w:p>
    <w:p w14:paraId="33DEDB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17:3973, R.S. 17:3981, R.S. 17:3982, R.S. 17:3983, R.S. 51:934, R.S. 17:3991.2, and R.S. 17:3991.</w:t>
      </w:r>
    </w:p>
    <w:p w14:paraId="07A655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34:1360 (July 2008), amended LR 37:868 (March 2011), LR 38:3117 (December 2012), LR 39:1431 (June 2013), LR 39:3064 (November 2013), LR 44:232 (February 2018), LR 47:571 (May 2021), LR 51:37 (January 2025), LR 51:2064 (December 2025), LR 52:1328 (August 2026), LR 52:</w:t>
      </w:r>
    </w:p>
    <w:p w14:paraId="131BA4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21.</w:t>
      </w:r>
      <w:r w:rsidRPr="006E50FF">
        <w:rPr>
          <w:b/>
          <w:kern w:val="2"/>
        </w:rPr>
        <w:tab/>
        <w:t>Charter School Governance</w:t>
      </w:r>
    </w:p>
    <w:p w14:paraId="268D5A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§2101.</w:t>
      </w:r>
      <w:r w:rsidRPr="006E50FF">
        <w:rPr>
          <w:b/>
          <w:kern w:val="2"/>
        </w:rPr>
        <w:tab/>
        <w:t>Board of Director Composition</w:t>
      </w:r>
    </w:p>
    <w:p w14:paraId="17D31C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F.5.</w:t>
      </w:r>
    </w:p>
    <w:p w14:paraId="18FE31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For a vocational and technical education charter school established in accordance with §503 of this Part, the charter agreement may provide, initially or by amendment, for one or more seats on the board of directors or management board to be held by industry representatives who are employed by or retired from a business located within the designated economic sector, or who have served as an officer or director of the board of such a business. An industry representative shall not be an officer, board member, or employee of any corporation or legal entity in the gaming industry as identified in R.S. 18:1505.2(L)(3), and the charter application shall include a statement that the school and its vocational and technical education classes or programs are not aligned with any entity identified in R.S. 18:1505.2(L)(3).</w:t>
      </w:r>
    </w:p>
    <w:p w14:paraId="6AB203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17:3981, R.S. 17:3991.2, and 17:3981.</w:t>
      </w:r>
    </w:p>
    <w:p w14:paraId="4A3AA2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34:1370 (July 2008), amended LR 37:873 (March 2011), LR 37:1377 (May 2011), LR 44:240 (February 2018), LR 44:2130 (December 2018), LR 52:1329 (August 2026), LR 52:</w:t>
      </w:r>
    </w:p>
    <w:p w14:paraId="468B08A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Charter School Funding</w:t>
      </w:r>
    </w:p>
    <w:p w14:paraId="5ED761C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§2303.</w:t>
      </w:r>
      <w:r w:rsidRPr="006E50FF">
        <w:rPr>
          <w:b/>
          <w:kern w:val="2"/>
        </w:rPr>
        <w:tab/>
        <w:t>Local Education Agency (LEA) Status and Federal Funding</w:t>
      </w:r>
    </w:p>
    <w:p w14:paraId="07CF06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highlight w:val="yellow"/>
        </w:rPr>
      </w:pPr>
      <w:r w:rsidRPr="006E50FF">
        <w:rPr>
          <w:kern w:val="2"/>
        </w:rPr>
        <w:t>A. - B.1.</w:t>
      </w:r>
      <w:r w:rsidRPr="006E50FF">
        <w:rPr>
          <w:kern w:val="2"/>
        </w:rPr>
        <w:tab/>
        <w:t>…</w:t>
      </w:r>
    </w:p>
    <w:p w14:paraId="2C2DDC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Pursuant to R.S. 17:10.7.1, a type 1, 3, 3B or 4 charter school may be considered its own LEA for funding purposes and statutory definitions, and as an LEA, shall receive allocations for all available funding.</w:t>
      </w:r>
    </w:p>
    <w:p w14:paraId="767E30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B.2.a.</w:t>
      </w:r>
      <w:r w:rsidRPr="006E50FF">
        <w:rPr>
          <w:kern w:val="2"/>
        </w:rPr>
        <w:tab/>
        <w:t>…</w:t>
      </w:r>
    </w:p>
    <w:p w14:paraId="6209E7F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Repealed.</w:t>
      </w:r>
    </w:p>
    <w:p w14:paraId="3113BCA1"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ii. - iii.</w:t>
      </w:r>
      <w:r w:rsidRPr="006E50FF">
        <w:rPr>
          <w:kern w:val="2"/>
        </w:rPr>
        <w:tab/>
        <w:t>…</w:t>
      </w:r>
    </w:p>
    <w:p w14:paraId="5D38292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Repealed.</w:t>
      </w:r>
    </w:p>
    <w:p w14:paraId="4E90A87F" w14:textId="77777777" w:rsidR="006E50FF" w:rsidRPr="006E50FF" w:rsidRDefault="006E50FF" w:rsidP="006E50FF">
      <w:pPr>
        <w:tabs>
          <w:tab w:val="decimal" w:pos="806"/>
          <w:tab w:val="left" w:pos="1080"/>
          <w:tab w:val="left" w:pos="1440"/>
          <w:tab w:val="left" w:pos="4680"/>
          <w:tab w:val="left" w:pos="4860"/>
          <w:tab w:val="left" w:pos="5040"/>
          <w:tab w:val="left" w:pos="7200"/>
        </w:tabs>
        <w:jc w:val="both"/>
        <w:outlineLvl w:val="5"/>
        <w:rPr>
          <w:kern w:val="2"/>
        </w:rPr>
      </w:pPr>
      <w:r w:rsidRPr="006E50FF">
        <w:rPr>
          <w:kern w:val="2"/>
        </w:rPr>
        <w:tab/>
        <w:t>v. - vii.</w:t>
      </w:r>
      <w:r w:rsidRPr="006E50FF">
        <w:rPr>
          <w:kern w:val="2"/>
        </w:rPr>
        <w:tab/>
        <w:t>…</w:t>
      </w:r>
    </w:p>
    <w:p w14:paraId="1E9CE15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For charter schools in Orleans Parish, continue participation and follow all rules of the parish-wide enrollment system or, if not currently participating, begin participation upon renewal of the charter school’s charter contract, and when enrolling or registering students at the school, do so without regard to English language learner (ELL) or disability status, type or severity of disability, or level of services required; and</w:t>
      </w:r>
    </w:p>
    <w:p w14:paraId="037E5C5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ix.</w:t>
      </w:r>
      <w:r w:rsidRPr="006E50FF">
        <w:rPr>
          <w:kern w:val="2"/>
        </w:rPr>
        <w:tab/>
        <w:t>For charter schools in Orleans Parish, continue participation and follow all rules of the parish-wide student expulsion process, and when making a change of placement or an expulsion request for a student with a disability, do so according to such process and in compliance with the provisions of IDEA and other applicable federal and state special education laws and regulations for LEAs.</w:t>
      </w:r>
    </w:p>
    <w:p w14:paraId="21AA42B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 The local superintendent shall implement a process to identify those schools requesting to be considered their own LEAs. LEA status shall commence on July 1 following receipt by the state superintendent of written notification from the local superintendent no later than the preceding April 1. Such written notification shall include:</w:t>
      </w:r>
    </w:p>
    <w:p w14:paraId="1BCF162B"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 - iii.</w:t>
      </w:r>
      <w:r w:rsidRPr="006E50FF">
        <w:rPr>
          <w:kern w:val="2"/>
        </w:rPr>
        <w:tab/>
        <w:t>…</w:t>
      </w:r>
    </w:p>
    <w:p w14:paraId="72922A5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type 4 charter school may be considered its own LEA upon request by the local school board and approval by BESE. The local school board may request LEA status for a type 4 charter school no later than the April 1 preceding the year in which LEA status would commence through any one of the following procedures:</w:t>
      </w:r>
    </w:p>
    <w:p w14:paraId="6C701B35"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 - iii.</w:t>
      </w:r>
      <w:r w:rsidRPr="006E50FF">
        <w:rPr>
          <w:kern w:val="2"/>
        </w:rPr>
        <w:tab/>
        <w:t>…</w:t>
      </w:r>
    </w:p>
    <w:p w14:paraId="23D0AFF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Each type 1, 3, 3B, and 4 charter school that is considered its own LEA shall be held solely responsible for the requirements of this section and any other applicable federal, state, or local laws or regulations related to the charter school’s LEA status, including, but not limited to data reporting, testing regulations, IDEA compliance, title I regulations, and requirements of other grants made available and secured by the charter school in its capacity as an LEA. However, the local superintendent shall have the duty, obligation and authority to monitor and enforce corrective actions and interventions related to the requirements of this Section and any other applicable federal, state, or local laws or regulations for such charter school. Based on evidence of noncompliance with any such requirements, laws, or regulations, or that the continuation of LEA status for the charter school may result in a threat to the health, safety, or welfare of students or staff at the charter school, the local superintendent may submit a written request to the state superintendent for rescission of the charter school’s LEA status.</w:t>
      </w:r>
    </w:p>
    <w:p w14:paraId="17FBB6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B.2.e. - C.</w:t>
      </w:r>
      <w:r w:rsidRPr="006E50FF">
        <w:rPr>
          <w:kern w:val="2"/>
        </w:rPr>
        <w:tab/>
        <w:t>…</w:t>
      </w:r>
    </w:p>
    <w:p w14:paraId="2E9CE9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17:3981, and R.S. 17:3995.</w:t>
      </w:r>
    </w:p>
    <w:p w14:paraId="54BCE3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34:1372 (July 2008), amended LR 39:3251 (December 2013), LR 40:1324 (July 2014), LR 43:309 (February 2017), LR 43:636 (April 2017), LR 43:2478 (December 2017), LR 43:2478 (December 2017), LR 44:241 (February 2018), LR 52:</w:t>
      </w:r>
    </w:p>
    <w:p w14:paraId="6D63BC3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27.</w:t>
      </w:r>
      <w:r w:rsidRPr="006E50FF">
        <w:rPr>
          <w:b/>
          <w:kern w:val="2"/>
        </w:rPr>
        <w:tab/>
        <w:t>Charter School Recruitment and Enrollment</w:t>
      </w:r>
    </w:p>
    <w:p w14:paraId="263965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§2711.</w:t>
      </w:r>
      <w:r w:rsidRPr="006E50FF">
        <w:rPr>
          <w:b/>
          <w:kern w:val="2"/>
        </w:rPr>
        <w:tab/>
        <w:t>Enrollment Preferences for BESE-Authorized Charter Schools</w:t>
      </w:r>
    </w:p>
    <w:p w14:paraId="02EF04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269316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charter school, except for any school in a school district where the majority of schools were transferred from the local district to the Recovery School District, may provide an enrollment preference for the following:</w:t>
      </w:r>
    </w:p>
    <w:p w14:paraId="73E421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student entering kindergarten who attended a licensed early learning center operated by the charter school, or who attended for at least 75 days a licensed early learning </w:t>
      </w:r>
      <w:r w:rsidRPr="006E50FF">
        <w:rPr>
          <w:kern w:val="2"/>
        </w:rPr>
        <w:t>center not operated by the charter school but with which the charter school has an articulation agreement;</w:t>
      </w:r>
    </w:p>
    <w:p w14:paraId="11DE5A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child of an active duty member of the armed forces;</w:t>
      </w:r>
    </w:p>
    <w:p w14:paraId="1A37E8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child in the custody of the Department of Children and Family Services (DCFS); or</w:t>
      </w:r>
    </w:p>
    <w:p w14:paraId="6DE699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child subject to a court-ordered custody plan.</w:t>
      </w:r>
    </w:p>
    <w:p w14:paraId="42A277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Vocational and Technical Education Charter Schools. A charter agreement for a vocational and technical education charter school may provide, initially or by amendment, an enrollment preference for students whose parent or legal guardian is employed or resides within the economic sector designated in the State Board of Commerce and Industry resolution for this preference. The charter agreement shall specify both the school’s maximum enrollment, and the maximum proportion set aside for implementation of this enrollment preference, which shall not exceed fifty percent. The preference shall not be implemented in a way that displaces students enrolled at the school at the time the charter agreement or amendment providing for the preference is authorized.</w:t>
      </w:r>
    </w:p>
    <w:p w14:paraId="6DD750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17:3981, and 17:3991.</w:t>
      </w:r>
    </w:p>
    <w:p w14:paraId="78310D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34:1375 (July 2008), amended LR 37:875 (March 2011), LR 39:1022 (April 2013), LR 44:243 (February 2018), LR 44:2131 (December 2018), LR 52:</w:t>
      </w:r>
    </w:p>
    <w:p w14:paraId="0CCE1BC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40.</w:t>
      </w:r>
      <w:r w:rsidRPr="006E50FF">
        <w:rPr>
          <w:b/>
          <w:kern w:val="2"/>
        </w:rPr>
        <w:tab/>
        <w:t>Charter School Autonomy</w:t>
      </w:r>
    </w:p>
    <w:p w14:paraId="5A0BEDA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§4003.</w:t>
      </w:r>
      <w:r w:rsidRPr="006E50FF">
        <w:rPr>
          <w:b/>
          <w:kern w:val="2"/>
        </w:rPr>
        <w:tab/>
        <w:t>Applicability of State Laws</w:t>
      </w:r>
    </w:p>
    <w:p w14:paraId="16A98D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A.27.</w:t>
      </w:r>
      <w:r w:rsidRPr="006E50FF">
        <w:rPr>
          <w:kern w:val="2"/>
        </w:rPr>
        <w:tab/>
        <w:t>…</w:t>
      </w:r>
    </w:p>
    <w:p w14:paraId="019A63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28.</w:t>
      </w:r>
      <w:r w:rsidRPr="006E50FF">
        <w:rPr>
          <w:kern w:val="2"/>
        </w:rPr>
        <w:tab/>
        <w:t>school emergency operations plans, R.S. 17:416.16 and LAC 28:CXV.339 (</w:t>
      </w:r>
      <w:r w:rsidRPr="006E50FF">
        <w:rPr>
          <w:i/>
          <w:kern w:val="2"/>
        </w:rPr>
        <w:t>Bulletin 741</w:t>
      </w:r>
      <w:r w:rsidRPr="006E50FF">
        <w:rPr>
          <w:kern w:val="2"/>
        </w:rPr>
        <w:t>);</w:t>
      </w:r>
    </w:p>
    <w:p w14:paraId="1AD4B4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29. - 51.</w:t>
      </w:r>
      <w:r w:rsidRPr="006E50FF">
        <w:rPr>
          <w:kern w:val="2"/>
        </w:rPr>
        <w:tab/>
        <w:t>…</w:t>
      </w:r>
    </w:p>
    <w:p w14:paraId="6D1B2A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52.</w:t>
      </w:r>
      <w:r w:rsidRPr="006E50FF">
        <w:rPr>
          <w:kern w:val="2"/>
        </w:rPr>
        <w:tab/>
        <w:t>Food insecurity questions on residency questionnaire, R.S. 17:2113.</w:t>
      </w:r>
    </w:p>
    <w:p w14:paraId="464587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53.</w:t>
      </w:r>
      <w:r w:rsidRPr="006E50FF">
        <w:rPr>
          <w:kern w:val="2"/>
        </w:rPr>
        <w:tab/>
        <w:t>Safe Haven Law flyers, R.S. 17:17.9.</w:t>
      </w:r>
    </w:p>
    <w:p w14:paraId="7470C7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54.</w:t>
      </w:r>
      <w:r w:rsidRPr="006E50FF">
        <w:rPr>
          <w:kern w:val="2"/>
        </w:rPr>
        <w:tab/>
        <w:t>Career related activities, R.S. 17:183.2(A), R.S. 17:2925(B)(1), R.S. 17:2926(A)(5), and R.S. 17:3005(C)(8).</w:t>
      </w:r>
    </w:p>
    <w:p w14:paraId="259464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55.</w:t>
      </w:r>
      <w:r w:rsidRPr="006E50FF">
        <w:rPr>
          <w:kern w:val="2"/>
        </w:rPr>
        <w:tab/>
        <w:t>Adolescent literacy, including exemptions as provided in R.S. 17:24.14.</w:t>
      </w:r>
    </w:p>
    <w:p w14:paraId="48E16E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56.</w:t>
      </w:r>
      <w:r w:rsidRPr="006E50FF">
        <w:rPr>
          <w:kern w:val="2"/>
        </w:rPr>
        <w:tab/>
        <w:t>Individual graduation plans, R.S. 17:2925.</w:t>
      </w:r>
    </w:p>
    <w:p w14:paraId="0B5BED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57.</w:t>
      </w:r>
      <w:r w:rsidRPr="006E50FF">
        <w:rPr>
          <w:kern w:val="2"/>
        </w:rPr>
        <w:tab/>
        <w:t>Human trafficking prevention training, R.S. 17:419.5.</w:t>
      </w:r>
    </w:p>
    <w:p w14:paraId="60C430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58.</w:t>
      </w:r>
      <w:r w:rsidRPr="006E50FF">
        <w:rPr>
          <w:kern w:val="2"/>
        </w:rPr>
        <w:tab/>
        <w:t>Released time, R.S. 17:288.1 et seq.</w:t>
      </w:r>
    </w:p>
    <w:p w14:paraId="6172A7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59.</w:t>
      </w:r>
      <w:r w:rsidRPr="006E50FF">
        <w:rPr>
          <w:kern w:val="2"/>
        </w:rPr>
        <w:tab/>
        <w:t>School-based health center services for students, R.S. 17:171.1.</w:t>
      </w:r>
    </w:p>
    <w:p w14:paraId="068DC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60.</w:t>
      </w:r>
      <w:r w:rsidRPr="006E50FF">
        <w:rPr>
          <w:kern w:val="2"/>
        </w:rPr>
        <w:tab/>
        <w:t>Information relative to unlawful dissemination or sale of images of another created by artificial intelligence as provided in R.S. 14:73.14 and unlawful possession of images of another created by artificial intelligence as provided in R.S. 14:73.14.1, R.S. 17:416.20.1.</w:t>
      </w:r>
    </w:p>
    <w:p w14:paraId="0907E3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61.</w:t>
      </w:r>
      <w:r w:rsidRPr="006E50FF">
        <w:rPr>
          <w:kern w:val="2"/>
        </w:rPr>
        <w:tab/>
        <w:t>Paid parental leave, R.S. 17:1214.</w:t>
      </w:r>
    </w:p>
    <w:p w14:paraId="0EA0F2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62.</w:t>
      </w:r>
      <w:r w:rsidRPr="006E50FF">
        <w:rPr>
          <w:kern w:val="2"/>
        </w:rPr>
        <w:tab/>
        <w:t>Mandatory reporter requirements, R.S. 17:421.</w:t>
      </w:r>
    </w:p>
    <w:p w14:paraId="4F72DC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63.</w:t>
      </w:r>
      <w:r w:rsidRPr="006E50FF">
        <w:rPr>
          <w:kern w:val="2"/>
        </w:rPr>
        <w:tab/>
        <w:t>Information relative to terrorizing or menacing a school property, a school-sponsored function, or a firearm-free zone, R.S. 17:416.20.1.</w:t>
      </w:r>
    </w:p>
    <w:p w14:paraId="0472A3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64.</w:t>
      </w:r>
      <w:r w:rsidRPr="006E50FF">
        <w:rPr>
          <w:kern w:val="2"/>
        </w:rPr>
        <w:tab/>
        <w:t>Student information sharing, R.S. 17:3138.12.</w:t>
      </w:r>
    </w:p>
    <w:p w14:paraId="3CEB6F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65.</w:t>
      </w:r>
      <w:r w:rsidRPr="006E50FF">
        <w:rPr>
          <w:kern w:val="2"/>
        </w:rPr>
        <w:tab/>
        <w:t>School guardians, R.S. 17:416.19.1.</w:t>
      </w:r>
    </w:p>
    <w:p w14:paraId="2F1442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66.</w:t>
      </w:r>
      <w:r w:rsidRPr="006E50FF">
        <w:rPr>
          <w:kern w:val="2"/>
        </w:rPr>
        <w:tab/>
        <w:t>Career practicums, R.S. 17:4201 et seq.</w:t>
      </w:r>
    </w:p>
    <w:p w14:paraId="3734C6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67.</w:t>
      </w:r>
      <w:r w:rsidRPr="006E50FF">
        <w:rPr>
          <w:kern w:val="2"/>
        </w:rPr>
        <w:tab/>
        <w:t>Discipline of students, R.S. 17:416 and 416.2.</w:t>
      </w:r>
    </w:p>
    <w:p w14:paraId="7EA1A87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and R.S. 17:3996.</w:t>
      </w:r>
    </w:p>
    <w:p w14:paraId="1AC7E9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025D01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Board of Elementary and Secondary Education in LR 44:246 (February 2018), amended LR 48:1269 (May 2022), LR 50:178 (February 2024), LR 50:657 (May 2024), repromulgated LR 50:783 (June 2024), amended LR 51:42 (January 2025), LR 51:2065 (December 2025), LR 52:1330 (August 2026), LR 52:</w:t>
      </w:r>
    </w:p>
    <w:p w14:paraId="451C8D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§4005.</w:t>
      </w:r>
      <w:r w:rsidRPr="006E50FF">
        <w:rPr>
          <w:b/>
          <w:kern w:val="2"/>
        </w:rPr>
        <w:tab/>
        <w:t>Other Statutory Requirements</w:t>
      </w:r>
    </w:p>
    <w:p w14:paraId="736AF6F3" w14:textId="77777777" w:rsidR="006E50FF" w:rsidRPr="006E50FF" w:rsidRDefault="006E50FF" w:rsidP="006E50FF">
      <w:pPr>
        <w:tabs>
          <w:tab w:val="left" w:pos="144"/>
          <w:tab w:val="left" w:pos="187"/>
          <w:tab w:val="left" w:pos="540"/>
          <w:tab w:val="left" w:pos="907"/>
          <w:tab w:val="left" w:pos="1080"/>
        </w:tabs>
        <w:ind w:firstLine="187"/>
        <w:jc w:val="both"/>
        <w:outlineLvl w:val="3"/>
        <w:rPr>
          <w:i/>
          <w:kern w:val="2"/>
        </w:rPr>
      </w:pPr>
      <w:r w:rsidRPr="006E50FF">
        <w:rPr>
          <w:kern w:val="2"/>
        </w:rPr>
        <w:t>A. - B.</w:t>
      </w:r>
      <w:r w:rsidRPr="006E50FF">
        <w:rPr>
          <w:kern w:val="2"/>
        </w:rPr>
        <w:tab/>
        <w:t>…</w:t>
      </w:r>
    </w:p>
    <w:p w14:paraId="6990C3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Suicide Prevention Awareness. </w:t>
      </w:r>
    </w:p>
    <w:p w14:paraId="71A471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charter middle and high school shall post on its website and may include in its student handbook the following: </w:t>
      </w:r>
    </w:p>
    <w:p w14:paraId="4C9883C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w:t>
      </w:r>
    </w:p>
    <w:p w14:paraId="12035A4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25AA52F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link to Louisiana988.org, a suicide prevention initiative of the Louisiana Department of Health.</w:t>
      </w:r>
    </w:p>
    <w:p w14:paraId="123DC8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governing authority of each charter middle and high school that issues student identification cards shall have printed on the cards: </w:t>
      </w:r>
    </w:p>
    <w:p w14:paraId="673D651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 and</w:t>
      </w:r>
    </w:p>
    <w:p w14:paraId="395B149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7632CA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charter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14:paraId="158656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and R.S. 17:3996.</w:t>
      </w:r>
    </w:p>
    <w:p w14:paraId="5DB1C8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44:247 (February 2018), amended LR 51:42 (January 2025), LR 52:</w:t>
      </w:r>
    </w:p>
    <w:p w14:paraId="085CA90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43.</w:t>
      </w:r>
      <w:r w:rsidRPr="006E50FF">
        <w:rPr>
          <w:b/>
          <w:kern w:val="2"/>
        </w:rPr>
        <w:tab/>
        <w:t>Discipline</w:t>
      </w:r>
    </w:p>
    <w:p w14:paraId="65CD40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§4301.</w:t>
      </w:r>
      <w:r w:rsidRPr="006E50FF">
        <w:rPr>
          <w:b/>
          <w:kern w:val="2"/>
        </w:rPr>
        <w:tab/>
        <w:t>Disciplinary Regulations</w:t>
      </w:r>
    </w:p>
    <w:p w14:paraId="0E33D2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52E86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plan shall not prohibit a teacher or school employee from removing a pupil from the classroom for disciplinary reasons. A student whose behavior prevents the orderly instruction of other students or poses an immediate threat to the safety or physical well-being of any student or teacher shall be immediately removed from the classroom and placed in the custody of the principal or designee.</w:t>
      </w:r>
    </w:p>
    <w:p w14:paraId="14ED27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t>
      </w:r>
    </w:p>
    <w:p w14:paraId="690A22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plan shall not prohibit or discourage a teacher or school employee from taking disciplinary action, recommending disciplinary action, or completing a form to initiate disciplinary action against a student who violates </w:t>
      </w:r>
      <w:r w:rsidRPr="006E50FF">
        <w:rPr>
          <w:kern w:val="2"/>
        </w:rPr>
        <w:t>school policy or who interferes with an orderly education process.</w:t>
      </w:r>
    </w:p>
    <w:p w14:paraId="44DD14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principal or administrator shall not retaliate or take adverse employment action against a teacher or school employee for taking, recommending, or initiating disciplinary action, provided the disciplinary action is taken in accordance with the disciplinary policy adopted by the LEA.</w:t>
      </w:r>
    </w:p>
    <w:p w14:paraId="705CEE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t>
      </w:r>
    </w:p>
    <w:p w14:paraId="383955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Each school shall annually provide written notice, at the beginning of each school year, to each teacher and school employee, including bus operators, of their right to take or request disciplinary action against a student in accordance with this Section. The notice shall also include eligibility for sick and personal leave in the event that a school employee is injured by a student who committed an assault or battery against a school employee.</w:t>
      </w:r>
    </w:p>
    <w:p w14:paraId="0A929A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35314F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Any principal who fails to act on a report of student violations of disciplinary regulations shall explain his/her reasons for such an action to the superintendent of the charter school , or to the superintendent designee.</w:t>
      </w:r>
    </w:p>
    <w:p w14:paraId="3FB32B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D.1. - I.</w:t>
      </w:r>
      <w:r w:rsidRPr="006E50FF">
        <w:rPr>
          <w:kern w:val="2"/>
        </w:rPr>
        <w:tab/>
        <w:t>…</w:t>
      </w:r>
    </w:p>
    <w:p w14:paraId="578B20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Calibri"/>
          <w:kern w:val="2"/>
          <w:sz w:val="18"/>
        </w:rPr>
        <w:t>AUTHORITY NOTE:</w:t>
      </w:r>
      <w:r w:rsidRPr="006E50FF">
        <w:rPr>
          <w:rFonts w:eastAsia="Calibri"/>
          <w:kern w:val="2"/>
          <w:sz w:val="18"/>
        </w:rPr>
        <w:tab/>
        <w:t>Promulgated in accordance with R.S. 17:223-224, R.S. 17:416, and R.S. 17:416.13.</w:t>
      </w:r>
    </w:p>
    <w:p w14:paraId="0F773E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48:999 (April 2022), amended LR 51:42 (January 2025), LR 52:</w:t>
      </w:r>
    </w:p>
    <w:p w14:paraId="6CA7A9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§4309.</w:t>
      </w:r>
      <w:r w:rsidRPr="006E50FF">
        <w:rPr>
          <w:b/>
          <w:kern w:val="2"/>
        </w:rPr>
        <w:tab/>
        <w:t>Reasons for Suspension</w:t>
      </w:r>
    </w:p>
    <w:p w14:paraId="7727EE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18"/>
        </w:rPr>
      </w:pPr>
      <w:r w:rsidRPr="006E50FF">
        <w:rPr>
          <w:kern w:val="2"/>
        </w:rPr>
        <w:t>A. - B.15.</w:t>
      </w:r>
      <w:r w:rsidRPr="006E50FF">
        <w:rPr>
          <w:kern w:val="2"/>
        </w:rPr>
        <w:tab/>
        <w:t>…</w:t>
      </w:r>
    </w:p>
    <w:p w14:paraId="51EC4D24"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16.</w:t>
      </w:r>
      <w:r w:rsidRPr="006E50FF">
        <w:rPr>
          <w:kern w:val="2"/>
        </w:rPr>
        <w:tab/>
        <w:t xml:space="preserve">habitual tardiness or absenteeism; </w:t>
      </w:r>
    </w:p>
    <w:p w14:paraId="71583E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committing any other serious offense; and</w:t>
      </w:r>
    </w:p>
    <w:p w14:paraId="617437E2"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18.</w:t>
      </w:r>
      <w:r w:rsidRPr="006E50FF">
        <w:rPr>
          <w:kern w:val="2"/>
        </w:rPr>
        <w:tab/>
        <w:t xml:space="preserve">committing a battery on any school employee, either on or off school property, in accordance with the Teacher’s Shield Act R.S. 17:416. </w:t>
      </w:r>
    </w:p>
    <w:p w14:paraId="4290D5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t>
      </w:r>
    </w:p>
    <w:p w14:paraId="494C5E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17:416.</w:t>
      </w:r>
    </w:p>
    <w:p w14:paraId="11C897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48:1002 (April 2022), amended LR 52:</w:t>
      </w:r>
    </w:p>
    <w:p w14:paraId="575EDE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§4317.</w:t>
      </w:r>
      <w:r w:rsidRPr="006E50FF">
        <w:rPr>
          <w:b/>
          <w:kern w:val="2"/>
        </w:rPr>
        <w:tab/>
        <w:t>Due Process for Expulsions</w:t>
      </w:r>
    </w:p>
    <w:p w14:paraId="6D94FC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w:t>
      </w:r>
      <w:r w:rsidRPr="006E50FF">
        <w:rPr>
          <w:kern w:val="2"/>
        </w:rPr>
        <w:tab/>
        <w:t>…</w:t>
      </w:r>
    </w:p>
    <w:p w14:paraId="07AFC7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Assault or Battery on a School Employee. As used in this Subsection, school employee includes any person employed by the school in a full-time, part-time, permanent, or substitute position, including bus operators and school volunteers.</w:t>
      </w:r>
    </w:p>
    <w:p w14:paraId="7D839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student formally accused of committing an assault or battery, R.S. 14:34.3 or R.S. 14:38.2, on a school employee shall be immediately suspended and removed from the school premises. The student shall be prohibited from returning to the school premises without the benefit of out-of-school suspension procedures, and necessary notifications and procedures shall be implemented as soon as is practicable.</w:t>
      </w:r>
    </w:p>
    <w:p w14:paraId="3C78FE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student found guilty by a court of competent jurisdiction or found guilty at a school system suspension hearing of committing a battery or assault on a school employee, shall immediately be recommended for expulsion by the principal or designee in accordance with the provisions of this Section. Any such expulsion shall be for not less than two complete school semesters in an alternative school or alternative educational placement, and the student shall participate in an anger management program.</w:t>
      </w:r>
    </w:p>
    <w:p w14:paraId="08D5CD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student shall not be placed at or allowed to attend the same school at which the battered or assaulted school employee is assigned, except when the school system has no other school of suitable grade level for the student to attend.</w:t>
      </w:r>
    </w:p>
    <w:p w14:paraId="0D4265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requirements of this Subsection are applicable when an incident occurs off school property as a continuation of a documented altercation that began at school.</w:t>
      </w:r>
    </w:p>
    <w:p w14:paraId="473480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All documentation related to the incident shall be included and maintained in the student’s records.</w:t>
      </w:r>
    </w:p>
    <w:p w14:paraId="441F82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R.S.17:416.</w:t>
      </w:r>
    </w:p>
    <w:p w14:paraId="07CDF9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48:1004 (April 2022), amended LR 52:</w:t>
      </w:r>
    </w:p>
    <w:p w14:paraId="03E2F0F9" w14:textId="77777777" w:rsidR="006E50FF" w:rsidRPr="006E50FF" w:rsidRDefault="006E50FF" w:rsidP="006E50FF">
      <w:pPr>
        <w:keepNext/>
        <w:jc w:val="center"/>
        <w:rPr>
          <w:b/>
          <w:noProof/>
        </w:rPr>
      </w:pPr>
      <w:r w:rsidRPr="006E50FF">
        <w:rPr>
          <w:b/>
          <w:noProof/>
        </w:rPr>
        <w:t>Part CLIII.  Bulletin 133—Scholarship Programs</w:t>
      </w:r>
    </w:p>
    <w:p w14:paraId="344331B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§1517.</w:t>
      </w:r>
      <w:r w:rsidRPr="006E50FF">
        <w:rPr>
          <w:b/>
          <w:kern w:val="2"/>
        </w:rPr>
        <w:tab/>
        <w:t>Service Providers Eligibility and Application</w:t>
      </w:r>
    </w:p>
    <w:p w14:paraId="10D5ED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7A005D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Service providers may also be required to attest in writing to additional provisions as applicable, including:</w:t>
      </w:r>
    </w:p>
    <w:p w14:paraId="7B1B91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6B9DA0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administer student assessments in accordance with §1525 of this Chapter; and</w:t>
      </w:r>
    </w:p>
    <w:p w14:paraId="193275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prohibition against knowingly contracting or subcontracting with a vendor of educational products or services who is a foreign adversary, an agent of a foreign adversary, a foreign terrorist organization, or an agent of a foreign terrorist organization in accordance with R.S. 17:410.17 through 410.23.</w:t>
      </w:r>
    </w:p>
    <w:p w14:paraId="3FE179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H.</w:t>
      </w:r>
      <w:r w:rsidRPr="006E50FF">
        <w:rPr>
          <w:kern w:val="2"/>
        </w:rPr>
        <w:tab/>
        <w:t>…</w:t>
      </w:r>
    </w:p>
    <w:p w14:paraId="4805D7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17:4037.2; R.S. 17:4037.3; R.S. 17:4037.5; R.S. 17:410.17 through 410.23, and R.S. 17:4037.7.</w:t>
      </w:r>
    </w:p>
    <w:p w14:paraId="232890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50:1817 (December 2024), amended LR 52:</w:t>
      </w:r>
    </w:p>
    <w:p w14:paraId="66414F7F" w14:textId="77777777" w:rsidR="006E50FF" w:rsidRPr="006E50FF" w:rsidRDefault="006E50FF" w:rsidP="006E50FF">
      <w:pPr>
        <w:keepNext/>
        <w:jc w:val="center"/>
        <w:rPr>
          <w:b/>
          <w:kern w:val="28"/>
        </w:rPr>
      </w:pPr>
      <w:r w:rsidRPr="006E50FF">
        <w:rPr>
          <w:b/>
          <w:kern w:val="28"/>
        </w:rPr>
        <w:t>Family Impact Statement</w:t>
      </w:r>
    </w:p>
    <w:p w14:paraId="7293A1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249E77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6E52ED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7E6995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339851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7571B5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264630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6DBAE38F" w14:textId="77777777" w:rsidR="006E50FF" w:rsidRPr="006E50FF" w:rsidRDefault="006E50FF" w:rsidP="006E50FF">
      <w:pPr>
        <w:keepNext/>
        <w:jc w:val="center"/>
        <w:rPr>
          <w:b/>
          <w:kern w:val="28"/>
        </w:rPr>
      </w:pPr>
      <w:r w:rsidRPr="006E50FF">
        <w:rPr>
          <w:b/>
          <w:kern w:val="28"/>
        </w:rPr>
        <w:t>Poverty Impact Statement</w:t>
      </w:r>
    </w:p>
    <w:p w14:paraId="35B8DB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w:t>
      </w:r>
      <w:r w:rsidRPr="006E50FF">
        <w:rPr>
          <w:kern w:val="2"/>
        </w:rPr>
        <w:t>or repealed a rule in accordance with the applicable provisions of the law relating to public records. For the purposes of this Section, the word “poverty” means living at or below one hundred percent of the federal poverty line.</w:t>
      </w:r>
    </w:p>
    <w:p w14:paraId="0FC90B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2ED1A7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3C0D96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70662E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1B0CB5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51ABCB04" w14:textId="77777777" w:rsidR="006E50FF" w:rsidRPr="006E50FF" w:rsidRDefault="006E50FF" w:rsidP="006E50FF">
      <w:pPr>
        <w:keepNext/>
        <w:jc w:val="center"/>
        <w:rPr>
          <w:b/>
          <w:kern w:val="28"/>
        </w:rPr>
      </w:pPr>
      <w:r w:rsidRPr="006E50FF">
        <w:rPr>
          <w:b/>
          <w:kern w:val="28"/>
        </w:rPr>
        <w:t>Small Business Analysis</w:t>
      </w:r>
    </w:p>
    <w:p w14:paraId="46983F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59D0C1C4" w14:textId="77777777" w:rsidR="006E50FF" w:rsidRPr="006E50FF" w:rsidRDefault="006E50FF" w:rsidP="006E50FF">
      <w:pPr>
        <w:keepNext/>
        <w:jc w:val="center"/>
        <w:rPr>
          <w:b/>
          <w:kern w:val="28"/>
        </w:rPr>
      </w:pPr>
      <w:r w:rsidRPr="006E50FF">
        <w:rPr>
          <w:b/>
          <w:kern w:val="28"/>
        </w:rPr>
        <w:t>Provider Impact Statement</w:t>
      </w:r>
    </w:p>
    <w:p w14:paraId="38A673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649DE3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82821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56AC60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2E063D38" w14:textId="77777777" w:rsidR="006E50FF" w:rsidRPr="006E50FF" w:rsidRDefault="006E50FF" w:rsidP="006E50FF">
      <w:pPr>
        <w:keepNext/>
        <w:jc w:val="center"/>
        <w:rPr>
          <w:b/>
          <w:kern w:val="28"/>
        </w:rPr>
      </w:pPr>
      <w:r w:rsidRPr="006E50FF">
        <w:rPr>
          <w:b/>
          <w:kern w:val="28"/>
        </w:rPr>
        <w:t>Public Comments</w:t>
      </w:r>
    </w:p>
    <w:p w14:paraId="40675B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58395B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B746466" w14:textId="77777777" w:rsidR="006E50FF" w:rsidRPr="006E50FF" w:rsidRDefault="006E50FF" w:rsidP="006E50FF">
      <w:pPr>
        <w:keepNext/>
        <w:ind w:left="2160"/>
        <w:jc w:val="both"/>
      </w:pPr>
      <w:r w:rsidRPr="006E50FF">
        <w:t>Tavares A. Walker</w:t>
      </w:r>
    </w:p>
    <w:p w14:paraId="2B3C58B3" w14:textId="77777777" w:rsidR="006E50FF" w:rsidRPr="006E50FF" w:rsidRDefault="006E50FF" w:rsidP="006E50FF">
      <w:pPr>
        <w:keepNext/>
        <w:ind w:left="2160"/>
        <w:jc w:val="both"/>
      </w:pPr>
      <w:r w:rsidRPr="006E50FF">
        <w:t>Executive Director</w:t>
      </w:r>
    </w:p>
    <w:p w14:paraId="452394FB" w14:textId="77777777" w:rsidR="006E50FF" w:rsidRPr="006E50FF" w:rsidRDefault="006E50FF" w:rsidP="006E50FF">
      <w:pPr>
        <w:keepNext/>
        <w:jc w:val="center"/>
        <w:rPr>
          <w:b/>
        </w:rPr>
      </w:pPr>
    </w:p>
    <w:p w14:paraId="011745BE" w14:textId="77777777" w:rsidR="006E50FF" w:rsidRPr="006E50FF" w:rsidRDefault="006E50FF" w:rsidP="006E50FF">
      <w:pPr>
        <w:keepNext/>
        <w:jc w:val="center"/>
        <w:rPr>
          <w:b/>
        </w:rPr>
      </w:pPr>
      <w:r w:rsidRPr="006E50FF">
        <w:rPr>
          <w:b/>
        </w:rPr>
        <w:t>FISCAL AND ECONOMIC IMPACT STATEMENT FOR ADMINISTRATIVE RULES</w:t>
      </w:r>
    </w:p>
    <w:p w14:paraId="74DB345B" w14:textId="77777777" w:rsidR="006E50FF" w:rsidRPr="006E50FF" w:rsidRDefault="006E50FF" w:rsidP="006E50FF">
      <w:pPr>
        <w:keepNext/>
        <w:jc w:val="center"/>
        <w:rPr>
          <w:b/>
          <w:noProof/>
        </w:rPr>
      </w:pPr>
      <w:r w:rsidRPr="006E50FF">
        <w:rPr>
          <w:b/>
          <w:noProof/>
        </w:rPr>
        <w:t>RULE TITLE:  School Administration</w:t>
      </w:r>
    </w:p>
    <w:p w14:paraId="187478F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750EB40"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65DE273" w14:textId="77777777" w:rsidR="006E50FF" w:rsidRPr="006E50FF" w:rsidRDefault="006E50FF" w:rsidP="006E50FF">
      <w:pPr>
        <w:ind w:left="288" w:firstLine="288"/>
        <w:jc w:val="both"/>
        <w:rPr>
          <w:noProof/>
          <w:sz w:val="18"/>
        </w:rPr>
      </w:pPr>
      <w:r w:rsidRPr="006E50FF">
        <w:rPr>
          <w:noProof/>
          <w:sz w:val="18"/>
        </w:rPr>
        <w:t xml:space="preserve">There are no anticipated implementation costs or savings to state or local governmental units as a result of the proposed rule change. The proposed rule change conforms Board of </w:t>
      </w:r>
      <w:r w:rsidRPr="006E50FF">
        <w:rPr>
          <w:noProof/>
          <w:sz w:val="18"/>
        </w:rPr>
        <w:lastRenderedPageBreak/>
        <w:t xml:space="preserve">Elementary and Secondary Education (BESE) policy to 32 Acts and one (1) Concurrent Resolution of the 2026 Regular Session. Each provision restates a requirement the legislature has already imposed on schools and school systems, and the Louisiana Department of Education (LDOE) will administer the revisions with existing staff and existing appropriations. </w:t>
      </w:r>
    </w:p>
    <w:p w14:paraId="5AC51457" w14:textId="77777777" w:rsidR="006E50FF" w:rsidRPr="006E50FF" w:rsidRDefault="006E50FF" w:rsidP="006E50FF">
      <w:pPr>
        <w:ind w:left="288" w:firstLine="288"/>
        <w:jc w:val="both"/>
        <w:rPr>
          <w:noProof/>
          <w:sz w:val="18"/>
        </w:rPr>
      </w:pPr>
      <w:r w:rsidRPr="006E50FF">
        <w:rPr>
          <w:noProof/>
          <w:sz w:val="18"/>
        </w:rPr>
        <w:tab/>
        <w:t>Note: Act 744 only requires the provision of paid parental leave upon funding being made available in the Paid Parental Leave for Educators Fund. To the extent LEAs elect to provide paid parental leave prior to an appropriation to the fund, they may incur an increase in expenditures.</w:t>
      </w:r>
    </w:p>
    <w:p w14:paraId="55AA412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F9205B9"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1FF28FE2"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7868660" w14:textId="77777777" w:rsidR="006E50FF" w:rsidRPr="006E50FF" w:rsidRDefault="006E50FF" w:rsidP="006E50FF">
      <w:pPr>
        <w:ind w:left="288" w:firstLine="288"/>
        <w:jc w:val="both"/>
        <w:rPr>
          <w:noProof/>
          <w:sz w:val="18"/>
        </w:rPr>
      </w:pPr>
      <w:r w:rsidRPr="006E50FF">
        <w:rPr>
          <w:noProof/>
          <w:sz w:val="18"/>
        </w:rPr>
        <w:t xml:space="preserve">Students, parents, teachers and other school employees, and participating business and nonprofit entities may realize economic benefits to the extent the programs established or expanded by the underlying Acts are funded and implemented. </w:t>
      </w:r>
    </w:p>
    <w:p w14:paraId="3EDDF056" w14:textId="77777777" w:rsidR="006E50FF" w:rsidRPr="006E50FF" w:rsidRDefault="006E50FF" w:rsidP="006E50FF">
      <w:pPr>
        <w:ind w:left="288" w:firstLine="288"/>
        <w:jc w:val="both"/>
        <w:rPr>
          <w:sz w:val="18"/>
        </w:rPr>
      </w:pPr>
      <w:r w:rsidRPr="006E50FF">
        <w:rPr>
          <w:sz w:val="18"/>
        </w:rPr>
        <w:t>Teachers and other eligible school employees may benefit from paid parental leave, while business partners that choose to operate a career practicum may realize economic benefits associated with participation under a cooperative endeavor agreement. A nonprofit corporation operating a vocational and technical education charter school may also receive funding associated with operating the school. The magnitude of any economic benefit is indeterminable and will depend on the level of funding and participation.</w:t>
      </w:r>
    </w:p>
    <w:p w14:paraId="6359D673"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884F75C" w14:textId="77777777" w:rsidR="006E50FF" w:rsidRPr="006E50FF" w:rsidRDefault="006E50FF" w:rsidP="006E50FF">
      <w:pPr>
        <w:ind w:left="288" w:firstLine="288"/>
        <w:jc w:val="both"/>
        <w:rPr>
          <w:sz w:val="18"/>
        </w:rPr>
      </w:pPr>
      <w:r w:rsidRPr="006E50FF">
        <w:rPr>
          <w:sz w:val="18"/>
        </w:rPr>
        <w:t>Career practicums and the fine arts diploma endorsement may over time support workforce preparation in the sectors and disciplines involved, and paid parental leave may affect educator recruitment and retention, but any such effect is indeterminable.</w:t>
      </w:r>
    </w:p>
    <w:p w14:paraId="70124861" w14:textId="77777777" w:rsidR="006E50FF" w:rsidRPr="006E50FF" w:rsidRDefault="006E50FF" w:rsidP="006E50FF">
      <w:pPr>
        <w:ind w:left="288" w:firstLine="288"/>
        <w:jc w:val="both"/>
        <w:rPr>
          <w:sz w:val="18"/>
        </w:rPr>
      </w:pPr>
    </w:p>
    <w:p w14:paraId="086FA7C7"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3E843E8E"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7260AF71" w14:textId="77777777" w:rsidR="006E50FF" w:rsidRPr="006E50FF" w:rsidRDefault="006E50FF" w:rsidP="006E50FF">
      <w:pPr>
        <w:tabs>
          <w:tab w:val="left" w:pos="2880"/>
          <w:tab w:val="decimal" w:pos="2988"/>
        </w:tabs>
        <w:outlineLvl w:val="8"/>
        <w:rPr>
          <w:kern w:val="2"/>
          <w:sz w:val="18"/>
        </w:rPr>
      </w:pPr>
      <w:r w:rsidRPr="006E50FF">
        <w:rPr>
          <w:noProof/>
          <w:sz w:val="16"/>
        </w:rPr>
        <w:t>2609#072</w:t>
      </w:r>
      <w:r w:rsidRPr="006E50FF">
        <w:rPr>
          <w:kern w:val="2"/>
        </w:rPr>
        <w:tab/>
      </w:r>
      <w:r w:rsidRPr="006E50FF">
        <w:rPr>
          <w:kern w:val="2"/>
          <w:sz w:val="18"/>
        </w:rPr>
        <w:t>Legislative Fiscal Office</w:t>
      </w:r>
    </w:p>
    <w:p w14:paraId="02376470" w14:textId="77777777" w:rsidR="006E50FF" w:rsidRPr="006E50FF" w:rsidRDefault="006E50FF" w:rsidP="006E50FF"/>
    <w:p w14:paraId="2214BCD5"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09D0E4D" w14:textId="77777777" w:rsidR="006E50FF" w:rsidRPr="006E50FF" w:rsidRDefault="006E50FF" w:rsidP="006E50FF">
      <w:pPr>
        <w:keepNext/>
        <w:jc w:val="center"/>
        <w:rPr>
          <w:b/>
          <w:noProof/>
        </w:rPr>
      </w:pPr>
      <w:r w:rsidRPr="006E50FF">
        <w:rPr>
          <w:b/>
          <w:noProof/>
        </w:rPr>
        <w:t>Board of Elementary and Secondary Education</w:t>
      </w:r>
    </w:p>
    <w:p w14:paraId="743A5F0F" w14:textId="77777777" w:rsidR="006E50FF" w:rsidRPr="006E50FF" w:rsidRDefault="006E50FF" w:rsidP="006E50FF">
      <w:pPr>
        <w:keepNext/>
        <w:spacing w:before="240" w:after="240"/>
        <w:jc w:val="center"/>
        <w:rPr>
          <w:noProof/>
        </w:rPr>
      </w:pPr>
      <w:r w:rsidRPr="006E50FF">
        <w:rPr>
          <w:noProof/>
        </w:rPr>
        <w:t>Special Education</w:t>
      </w:r>
      <w:r w:rsidRPr="006E50FF">
        <w:rPr>
          <w:noProof/>
        </w:rPr>
        <w:br/>
        <w:t xml:space="preserve">(LAC 28:XLIII.511; and </w:t>
      </w:r>
      <w:r w:rsidRPr="006E50FF">
        <w:rPr>
          <w:noProof/>
        </w:rPr>
        <w:br/>
        <w:t>LAC 28:CLVII.701, 703, 705, and 707)</w:t>
      </w:r>
    </w:p>
    <w:p w14:paraId="7E5DC0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w:t>
      </w:r>
      <w:r w:rsidRPr="006E50FF">
        <w:rPr>
          <w:iCs/>
          <w:kern w:val="2"/>
        </w:rPr>
        <w:t>et seq.,</w:t>
      </w:r>
      <w:r w:rsidRPr="006E50FF">
        <w:rPr>
          <w:kern w:val="2"/>
        </w:rPr>
        <w:t xml:space="preserve"> the Board of Elementary and Secondary Education (BESE) proposes to amend LAC 28:XLIII in </w:t>
      </w:r>
      <w:r w:rsidRPr="006E50FF">
        <w:rPr>
          <w:i/>
          <w:kern w:val="2"/>
        </w:rPr>
        <w:t>Bulletin 1706―Regulations for Implementation of the Children with Exceptionalities Act</w:t>
      </w:r>
      <w:r w:rsidRPr="006E50FF">
        <w:rPr>
          <w:kern w:val="2"/>
        </w:rPr>
        <w:t xml:space="preserve"> and LAC 28:CLVII in </w:t>
      </w:r>
      <w:r w:rsidRPr="006E50FF">
        <w:rPr>
          <w:i/>
          <w:kern w:val="2"/>
        </w:rPr>
        <w:t>Bulletin 135—Health and Safety</w:t>
      </w:r>
      <w:r w:rsidRPr="006E50FF">
        <w:rPr>
          <w:kern w:val="2"/>
        </w:rPr>
        <w:t xml:space="preserve">. The proposed revisions implement two Acts of the 2026 Regular Legislative Session. Act 943 enacted R.S. 17:1946(B)(3) and places the burden of proof in a special education due process hearing on the local education agency, including the burden of persuasion and production, as to the appropriateness of a student’s program or placement or of the program or placement the agency proposes, to be met by a preponderance of the evidence. Act 944 amended and reenacted R.S. 17:173(A)(2)(introductory paragraph), (c), (e), and (h) and (D) and enacted R.S. 17:173(A)(2)(l) and (B)(9), </w:t>
      </w:r>
      <w:r w:rsidRPr="006E50FF">
        <w:rPr>
          <w:kern w:val="2"/>
        </w:rPr>
        <w:t>relative to behavioral health services for public school students. The revisions require that medically necessary behavioral health services be provided in or outside of a physical classroom, require each public school governing authority to post its implementing policy on its website and include it in the student handbook, establish a school-based service delivery review meeting and the timeline for holding it, provide that an applicable student plan controls where it conflicts with a provider’s treatment plan, and set expectations for provider conduct on campus.</w:t>
      </w:r>
    </w:p>
    <w:p w14:paraId="6DAB164B" w14:textId="77777777" w:rsidR="006E50FF" w:rsidRPr="006E50FF" w:rsidRDefault="006E50FF" w:rsidP="006E50FF">
      <w:pPr>
        <w:keepNext/>
        <w:jc w:val="center"/>
        <w:rPr>
          <w:b/>
          <w:kern w:val="28"/>
        </w:rPr>
      </w:pPr>
      <w:r w:rsidRPr="006E50FF">
        <w:rPr>
          <w:b/>
          <w:kern w:val="28"/>
        </w:rPr>
        <w:t>Title 28</w:t>
      </w:r>
    </w:p>
    <w:p w14:paraId="57832438" w14:textId="77777777" w:rsidR="006E50FF" w:rsidRPr="006E50FF" w:rsidRDefault="006E50FF" w:rsidP="006E50FF">
      <w:pPr>
        <w:keepNext/>
        <w:jc w:val="center"/>
        <w:rPr>
          <w:b/>
          <w:kern w:val="28"/>
        </w:rPr>
      </w:pPr>
      <w:r w:rsidRPr="006E50FF">
        <w:rPr>
          <w:b/>
          <w:kern w:val="28"/>
        </w:rPr>
        <w:t>EDUCATION</w:t>
      </w:r>
    </w:p>
    <w:p w14:paraId="5D11649D" w14:textId="77777777" w:rsidR="006E50FF" w:rsidRPr="006E50FF" w:rsidRDefault="006E50FF" w:rsidP="006E50FF">
      <w:pPr>
        <w:keepNext/>
        <w:jc w:val="center"/>
        <w:rPr>
          <w:b/>
          <w:noProof/>
        </w:rPr>
      </w:pPr>
      <w:r w:rsidRPr="006E50FF">
        <w:rPr>
          <w:b/>
          <w:noProof/>
        </w:rPr>
        <w:t>Part XLIII.  Bulletin 1706―Regulations for Implementation of the Children with Exceptionalities Act</w:t>
      </w:r>
    </w:p>
    <w:p w14:paraId="7F4DC6EE" w14:textId="77777777" w:rsidR="006E50FF" w:rsidRPr="006E50FF" w:rsidRDefault="006E50FF" w:rsidP="006E50FF">
      <w:pPr>
        <w:keepNext/>
        <w:jc w:val="center"/>
        <w:rPr>
          <w:b/>
          <w:noProof/>
        </w:rPr>
      </w:pPr>
      <w:bookmarkStart w:id="417" w:name="bookmark=id.7opvb3ptpkk0"/>
      <w:bookmarkStart w:id="418" w:name="_heading=h.hp1ruajory8l"/>
      <w:bookmarkEnd w:id="417"/>
      <w:bookmarkEnd w:id="418"/>
      <w:r w:rsidRPr="006E50FF">
        <w:rPr>
          <w:b/>
          <w:noProof/>
        </w:rPr>
        <w:t>Subpart 1.  Students with Disabilities</w:t>
      </w:r>
    </w:p>
    <w:p w14:paraId="65D587E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9" w:name="bookmark=id.tvesf8w6w7ct"/>
      <w:bookmarkStart w:id="420" w:name="_heading=h.l0g7pfbmdotb"/>
      <w:bookmarkEnd w:id="419"/>
      <w:bookmarkEnd w:id="420"/>
      <w:r w:rsidRPr="006E50FF">
        <w:rPr>
          <w:b/>
          <w:kern w:val="2"/>
        </w:rPr>
        <w:t>Chapter 5.</w:t>
      </w:r>
      <w:r w:rsidRPr="006E50FF">
        <w:rPr>
          <w:b/>
          <w:kern w:val="2"/>
        </w:rPr>
        <w:tab/>
        <w:t>Procedural Safeguards</w:t>
      </w:r>
    </w:p>
    <w:p w14:paraId="4BCAA07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21" w:name="bookmark=id.92lafbaii3r8"/>
      <w:bookmarkStart w:id="422" w:name="_heading=h.wuh06rgcez2f"/>
      <w:bookmarkEnd w:id="421"/>
      <w:bookmarkEnd w:id="422"/>
      <w:r w:rsidRPr="006E50FF">
        <w:rPr>
          <w:b/>
          <w:kern w:val="2"/>
        </w:rPr>
        <w:t>Subchapter A.</w:t>
      </w:r>
      <w:r w:rsidRPr="006E50FF">
        <w:rPr>
          <w:b/>
          <w:kern w:val="2"/>
        </w:rPr>
        <w:tab/>
      </w:r>
      <w:bookmarkStart w:id="423" w:name="bookmark=id.kohdbp1zpj5w"/>
      <w:bookmarkEnd w:id="423"/>
      <w:r w:rsidRPr="006E50FF">
        <w:rPr>
          <w:b/>
          <w:kern w:val="2"/>
        </w:rPr>
        <w:t>Due Process Procedures for Parents and Students</w:t>
      </w:r>
    </w:p>
    <w:p w14:paraId="377B24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4" w:name="_heading=h.9joefl7atf9m"/>
      <w:bookmarkEnd w:id="424"/>
      <w:r w:rsidRPr="006E50FF">
        <w:rPr>
          <w:b/>
          <w:kern w:val="2"/>
        </w:rPr>
        <w:t>§511.</w:t>
      </w:r>
      <w:r w:rsidRPr="006E50FF">
        <w:rPr>
          <w:b/>
          <w:kern w:val="2"/>
        </w:rPr>
        <w:tab/>
        <w:t xml:space="preserve">Impartial Due Process Hearing and Hearing Officer Appointments </w:t>
      </w:r>
    </w:p>
    <w:p w14:paraId="0A3C43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I.5.</w:t>
      </w:r>
      <w:r w:rsidRPr="006E50FF">
        <w:rPr>
          <w:kern w:val="2"/>
        </w:rPr>
        <w:tab/>
        <w:t>…</w:t>
      </w:r>
    </w:p>
    <w:p w14:paraId="44F235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425" w:name="_heading=h.2lige9qkazig"/>
      <w:bookmarkEnd w:id="425"/>
      <w:r w:rsidRPr="006E50FF">
        <w:rPr>
          <w:kern w:val="2"/>
        </w:rPr>
        <w:t>J.</w:t>
      </w:r>
      <w:r w:rsidRPr="006E50FF">
        <w:rPr>
          <w:kern w:val="2"/>
        </w:rPr>
        <w:tab/>
        <w:t xml:space="preserve">Burden of Proof. In any special education due process hearing, the local education agency shall have the burden of proof, including the burden of persuasion and production, relative to the appropriateness of a student's program or placement or the appropriateness of the program or placement proposed by the agency. This burden shall be met by a preponderance of the evidence. </w:t>
      </w:r>
    </w:p>
    <w:p w14:paraId="1AE96E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17:1941 et seq.</w:t>
      </w:r>
    </w:p>
    <w:p w14:paraId="084931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34:2072 (October 2008), amended LR 38:2367 (September 2012), LR 51:60 (January 2025), LR 52:</w:t>
      </w:r>
    </w:p>
    <w:p w14:paraId="7AEF9ABA" w14:textId="77777777" w:rsidR="006E50FF" w:rsidRPr="006E50FF" w:rsidRDefault="006E50FF" w:rsidP="006E50FF">
      <w:pPr>
        <w:keepNext/>
        <w:jc w:val="center"/>
        <w:rPr>
          <w:b/>
          <w:bCs/>
          <w:noProof/>
        </w:rPr>
      </w:pPr>
      <w:bookmarkStart w:id="426" w:name="_heading=h.36hx7nudbsqg"/>
      <w:bookmarkEnd w:id="426"/>
      <w:r w:rsidRPr="006E50FF">
        <w:rPr>
          <w:b/>
          <w:noProof/>
        </w:rPr>
        <w:t>Part CLVII.  Bulletin 135—Health and Safety</w:t>
      </w:r>
    </w:p>
    <w:p w14:paraId="550FD18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Behavioral Health Services</w:t>
      </w:r>
    </w:p>
    <w:p w14:paraId="5AE6CAF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7" w:name="_heading=h.g5rmn1544958"/>
      <w:bookmarkEnd w:id="427"/>
      <w:r w:rsidRPr="006E50FF">
        <w:rPr>
          <w:b/>
          <w:kern w:val="2"/>
        </w:rPr>
        <w:t>§701.</w:t>
      </w:r>
      <w:r w:rsidRPr="006E50FF">
        <w:rPr>
          <w:b/>
          <w:kern w:val="2"/>
        </w:rPr>
        <w:tab/>
        <w:t>Definitions</w:t>
      </w:r>
    </w:p>
    <w:p w14:paraId="630631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FAC13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Medically Necessary Services</w:t>
      </w:r>
      <w:r w:rsidRPr="006E50FF">
        <w:rPr>
          <w:kern w:val="2"/>
        </w:rPr>
        <w:t>—any services provided for diagnosis, treatment, cure, or relief of a health condition, illness, injury, or disease except for clinical trials that are described within the policy, not for experimental, investigational, or cosmetic purposes, and are within the generally accepted standards of medical care in the community, not solely for the convenience of the insured, the insured’s family, or the provider.</w:t>
      </w:r>
    </w:p>
    <w:p w14:paraId="0782B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School-Based Service Delivery Review Meeting</w:t>
      </w:r>
      <w:r w:rsidRPr="006E50FF">
        <w:rPr>
          <w:kern w:val="2"/>
        </w:rPr>
        <w:t xml:space="preserve">—a meeting held, either in person or virtually, for the purpose of reviewing the delivery of behavioral health services in the school setting, including the behavioral health provider’s role, applicable student plans, classroom expectations, communication, scheduling, and other procedures necessary to support uninterrupted instruction and appropriate coordination between school personnel and the behavioral health provider. </w:t>
      </w:r>
    </w:p>
    <w:p w14:paraId="3C6FC8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17:1944 and R.S. 17:173.</w:t>
      </w:r>
    </w:p>
    <w:p w14:paraId="276F241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51:46 (January 2025), amended LR 52:</w:t>
      </w:r>
    </w:p>
    <w:p w14:paraId="6DC975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§703.</w:t>
      </w:r>
      <w:r w:rsidRPr="006E50FF">
        <w:rPr>
          <w:b/>
          <w:kern w:val="2"/>
        </w:rPr>
        <w:tab/>
        <w:t>Behavioral Health Services for Students</w:t>
      </w:r>
    </w:p>
    <w:p w14:paraId="64BC10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DD3EC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Each public school governing authority shall adopt a policy to implement the provisions of this Section. The policy shall not create onerous requirements for behavioral health providers resulting in a delay or barrier to the provision of medically necessary services. The policy shall be made available to the public by, at a minimum, posting it on the public school governing authority’s website, and shall be included in the student handbook. The policy, at a minimum, shall include:</w:t>
      </w:r>
    </w:p>
    <w:p w14:paraId="66353C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- 4.</w:t>
      </w:r>
      <w:r w:rsidRPr="006E50FF">
        <w:rPr>
          <w:kern w:val="2"/>
        </w:rPr>
        <w:tab/>
        <w:t>…</w:t>
      </w:r>
    </w:p>
    <w:p w14:paraId="234CC3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public school governing authority shall not prohibit a behavioral health evaluation, assessment, or authorized treatment plan from being performed on school property in order to establish medical necessity or deliver medically necessary services. Behavioral health services shall be provided in or outside of a physical classroom, to the extent that it is medically necessary, during any part of the school day, including any and all instructional time in courses including but not limited to English, reading, mathematics, and science. The school administrator and service provider shall work collaboratively to create a consistent schedule that meets the medical needs of the student and complies with the provider’s ethical code of conduct. In developing the student’s plan, consideration shall include impacts on the school’s operations and a student’s testing schedule. If the parties cannot agree, then the parties shall engage in a dispute resolution process set forth by LDOE in accordance with §705 of this Chapter.</w:t>
      </w:r>
    </w:p>
    <w:p w14:paraId="52E24E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- 7.</w:t>
      </w:r>
      <w:r w:rsidRPr="006E50FF">
        <w:rPr>
          <w:kern w:val="2"/>
        </w:rPr>
        <w:tab/>
        <w:t>…</w:t>
      </w:r>
    </w:p>
    <w:p w14:paraId="4EECC9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While on a school campus, a behavioral health provider shall comply with, and abide by, the terms of any Individualized Education Program (IEP), Individualized Accommodation Plan (IAP), Section 504 Plan, Behavior Management Plan, or Individualized Healthcare Plan (IHP) applicable to a student who is a patient of the provider. The services furnished by a provider shall be incorporated into a written treatment plan applicable to the student.</w:t>
      </w:r>
    </w:p>
    <w:p w14:paraId="6CFCD4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 - 11.</w:t>
      </w:r>
      <w:r w:rsidRPr="006E50FF">
        <w:rPr>
          <w:kern w:val="2"/>
        </w:rPr>
        <w:tab/>
        <w:t>…</w:t>
      </w:r>
    </w:p>
    <w:p w14:paraId="3A7222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If supervision of the behavioral health provider is conducted virtually, no student other than the student receiving behavioral health services shall be recorded.</w:t>
      </w:r>
    </w:p>
    <w:p w14:paraId="47A717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The contract or agreement between a public school governing authority and a behavioral health provider may specify whether a school principal may dismiss a behavioral health provider staff member from the campus and the terms under which such a dismissal is permissible.</w:t>
      </w:r>
    </w:p>
    <w:p w14:paraId="702B95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In the event of a conflict between a student’s IEP, IAP, Section 504 Plan, Behavior Intervention Plan (BIP), or IHP and a behavioral health provider’s written treatment plan, the applicable student plan shall control with respect to the educational services and supports addressed by that plan.</w:t>
      </w:r>
    </w:p>
    <w:p w14:paraId="53256C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Medically necessary behavioral health services authorized under this Chapter are not required to be included in any student plan identified in this Subsection as a condition of being delivered on school property, and the absence of such services from any such student plan shall not constitute a basis to deny such services.</w:t>
      </w:r>
    </w:p>
    <w:p w14:paraId="5DB73B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F.3.</w:t>
      </w:r>
      <w:r w:rsidRPr="006E50FF">
        <w:rPr>
          <w:kern w:val="2"/>
        </w:rPr>
        <w:tab/>
        <w:t>…</w:t>
      </w:r>
    </w:p>
    <w:p w14:paraId="5970A74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17:1944, 34 CFR 300.320, and R.S. 17:173.</w:t>
      </w:r>
    </w:p>
    <w:p w14:paraId="51CF57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51:46 (January 2025), amended LR 52:</w:t>
      </w:r>
    </w:p>
    <w:p w14:paraId="1A50D64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8" w:name="_heading=h.b9nhs3wpx850"/>
      <w:bookmarkEnd w:id="428"/>
      <w:r w:rsidRPr="006E50FF">
        <w:rPr>
          <w:b/>
          <w:kern w:val="2"/>
        </w:rPr>
        <w:t>§705.</w:t>
      </w:r>
      <w:r w:rsidRPr="006E50FF">
        <w:rPr>
          <w:b/>
          <w:kern w:val="2"/>
        </w:rPr>
        <w:tab/>
        <w:t>Behavioral Health Service Complaint Procedures</w:t>
      </w:r>
    </w:p>
    <w:p w14:paraId="2A3A50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Complaint Procedures. The LDOE shall establish written procedures for the purpose of resolving any complaint alleging that a public school governing authority has violated a requirement of R.S. 17:173 or this Chapter and that meets the requirements herein by providing for the filing of a formal written complaint with the LDOE and provide for a dispute resolution process relative to behavioral health services provided in accordance with this Chapter.</w:t>
      </w:r>
    </w:p>
    <w:p w14:paraId="1A31A9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parent or legal guardian shall be the sole person permitted to file a dispute resolution claim in relation to a student.</w:t>
      </w:r>
    </w:p>
    <w:p w14:paraId="7E41C4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claim shall be filed only after an alleged incident has occurred.</w:t>
      </w:r>
    </w:p>
    <w:p w14:paraId="3C2DE3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 the event of a conflict between a student’s IEP, IAP, Section 504 Plan, Behavior Intervention Plan (BIP), or IHP and a behavioral health provider’s written treatment plan, the applicable student plan shall control with respect to the educational services and supports addressed by that plan.</w:t>
      </w:r>
    </w:p>
    <w:p w14:paraId="47718F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I.</w:t>
      </w:r>
      <w:r w:rsidRPr="006E50FF">
        <w:rPr>
          <w:kern w:val="2"/>
        </w:rPr>
        <w:tab/>
        <w:t>…</w:t>
      </w:r>
    </w:p>
    <w:p w14:paraId="6AA518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17:1944, 34 CFR 300.320, and R.S. 17:173.</w:t>
      </w:r>
    </w:p>
    <w:p w14:paraId="5A9DB5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51:48 (January 2025), amended LR 52:</w:t>
      </w:r>
    </w:p>
    <w:p w14:paraId="6F59A3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§707.</w:t>
      </w:r>
      <w:r w:rsidRPr="006E50FF">
        <w:rPr>
          <w:b/>
          <w:kern w:val="2"/>
        </w:rPr>
        <w:tab/>
        <w:t>School-Based Service Delivery Review Meeting</w:t>
      </w:r>
    </w:p>
    <w:p w14:paraId="5CE1AA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Within twenty-one days after a parent or legal guardian submits a behavioral health treatment plan to a school administrator, and no later than fourteen school days after behavioral health services begin, the school administrator or designee shall ensure that a school-based service delivery review meeting is held in person or virtually.</w:t>
      </w:r>
    </w:p>
    <w:p w14:paraId="5846BF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 a minimum, the meeting shall include the school administrator or designee, the student’s classroom teacher or teachers, and the behavioral health provider. The meeting may also include the student’s special education teacher, case manager, or other school employee responsible for implementation of the student’s IEP, IAP, Section 504 Plan, BIP, or IHP.</w:t>
      </w:r>
    </w:p>
    <w:p w14:paraId="2D3F6C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Behavioral health services may begin prior to the meeting if reasonable efforts are made to coordinate with school personnel. A behavioral health provider may initiate and continue medically necessary services, and the school shall provide reasonable access to the student, pending completion of the review meeting. Reasonable access includes the ability to enter the school, observe the student, and deliver authorized services during the school day in coordination with instructional activities.</w:t>
      </w:r>
    </w:p>
    <w:p w14:paraId="753FC6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review meeting shall address, at a minimum, the following:</w:t>
      </w:r>
    </w:p>
    <w:p w14:paraId="2AA67E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review of the provider’s written treatment plan and any applicable student plan identified in this Section;</w:t>
      </w:r>
    </w:p>
    <w:p w14:paraId="505EB6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role and responsibilities of the behavioral health provider while on campus, including activities to be conducted in the classroom during instructional time;</w:t>
      </w:r>
    </w:p>
    <w:p w14:paraId="5C83F6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classroom routines, school policies, and behavioral expectations applicable to the student;</w:t>
      </w:r>
    </w:p>
    <w:p w14:paraId="4DA669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method and frequency of ongoing communication between the provider and school personnel and the chain of communication for questions or concerns;</w:t>
      </w:r>
    </w:p>
    <w:p w14:paraId="043891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5.</w:t>
      </w:r>
      <w:r w:rsidRPr="006E50FF">
        <w:rPr>
          <w:kern w:val="2"/>
        </w:rPr>
        <w:tab/>
        <w:t>the schedule for services during the school day, including coordination with instructional activities, assessments, and schoolwide events; and</w:t>
      </w:r>
    </w:p>
    <w:p w14:paraId="093DBC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procedures for requesting a follow-up meeting when the provider changes or there is a material change in the student’s classroom or educational placement or in the provider’s treatment plan.</w:t>
      </w:r>
    </w:p>
    <w:p w14:paraId="208612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school-based service delivery review meeting shall not take the place of any meeting required by a student’s IEP.</w:t>
      </w:r>
    </w:p>
    <w:p w14:paraId="528A98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behavioral health provider delivering services in accordance with this Chapter shall use reasonable efforts to minimize disruption to instruction and classroom management. Recommendations, concerns, or requested changes regarding classroom strategies, interventions, accommodations, modifications, supports, or safety procedures shall be communicated to the teacher and the school administrator or designee outside the presence of other students, except when immediate action is necessary to prevent imminent risk of harm to the student or another person.</w:t>
      </w:r>
    </w:p>
    <w:p w14:paraId="2A19D7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 behavioral health provider shall not direct, supervise, or evaluate the job performance of a teacher or other school employee. A provider’s role in the classroom is limited to delivery of services to the designated student, which may include collaboration with school personnel to support implementation of the student’s treatment plan. A provider shall not implement or direct the implementation of medically necessary services that knowingly interfere, impede, or conflict with services the school is legally required to provide under a student plan identified in this Section without collaboration and agreement between service providers.</w:t>
      </w:r>
    </w:p>
    <w:p w14:paraId="3C6758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6E50FF">
        <w:rPr>
          <w:kern w:val="2"/>
          <w:sz w:val="18"/>
        </w:rPr>
        <w:t>AUTHORITY NOTE:</w:t>
      </w:r>
      <w:r w:rsidRPr="006E50FF">
        <w:rPr>
          <w:kern w:val="2"/>
          <w:sz w:val="18"/>
        </w:rPr>
        <w:tab/>
        <w:t>Promulgated in accordance with R.S. 17:1944, 34 CFR 300.320, and R.S. 17:173.</w:t>
      </w:r>
    </w:p>
    <w:p w14:paraId="63CC90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6E50FF">
        <w:rPr>
          <w:kern w:val="2"/>
          <w:sz w:val="18"/>
        </w:rPr>
        <w:t>HISTORICAL NOTE:</w:t>
      </w:r>
      <w:r w:rsidRPr="006E50FF">
        <w:rPr>
          <w:kern w:val="2"/>
          <w:sz w:val="18"/>
        </w:rPr>
        <w:tab/>
        <w:t>Promulgated by the Board of Elementary and Secondary Education, LR 52:</w:t>
      </w:r>
    </w:p>
    <w:p w14:paraId="39DE2A4E" w14:textId="77777777" w:rsidR="006E50FF" w:rsidRPr="006E50FF" w:rsidRDefault="006E50FF" w:rsidP="006E50FF">
      <w:pPr>
        <w:keepNext/>
        <w:jc w:val="center"/>
        <w:rPr>
          <w:b/>
          <w:kern w:val="28"/>
        </w:rPr>
      </w:pPr>
      <w:r w:rsidRPr="006E50FF">
        <w:rPr>
          <w:b/>
          <w:kern w:val="28"/>
        </w:rPr>
        <w:t>Family Impact Statement</w:t>
      </w:r>
    </w:p>
    <w:p w14:paraId="1B09B8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5F022D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7198F3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13C33B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43E035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0B8235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1D558A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75B02D37" w14:textId="77777777" w:rsidR="006E50FF" w:rsidRPr="006E50FF" w:rsidRDefault="006E50FF" w:rsidP="006E50FF">
      <w:pPr>
        <w:keepNext/>
        <w:jc w:val="center"/>
        <w:rPr>
          <w:b/>
          <w:kern w:val="28"/>
        </w:rPr>
      </w:pPr>
      <w:r w:rsidRPr="006E50FF">
        <w:rPr>
          <w:b/>
          <w:kern w:val="28"/>
        </w:rPr>
        <w:t>Poverty Impact Statement</w:t>
      </w:r>
    </w:p>
    <w:p w14:paraId="02C37E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w:t>
      </w:r>
      <w:r w:rsidRPr="006E50FF">
        <w:rPr>
          <w:kern w:val="2"/>
        </w:rPr>
        <w:t>or repealed a rule in accordance with the applicable provisions of the law relating to public records. For the purposes of this Section, the word “poverty” means living at or below one hundred percent of the federal poverty line.</w:t>
      </w:r>
    </w:p>
    <w:p w14:paraId="20D722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785353B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2FC005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749FCD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31ACC3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4BE58DF3" w14:textId="77777777" w:rsidR="006E50FF" w:rsidRPr="006E50FF" w:rsidRDefault="006E50FF" w:rsidP="006E50FF">
      <w:pPr>
        <w:keepNext/>
        <w:jc w:val="center"/>
        <w:rPr>
          <w:b/>
          <w:kern w:val="28"/>
        </w:rPr>
      </w:pPr>
      <w:r w:rsidRPr="006E50FF">
        <w:rPr>
          <w:b/>
          <w:kern w:val="28"/>
        </w:rPr>
        <w:t>Small Business Analysis</w:t>
      </w:r>
    </w:p>
    <w:p w14:paraId="408393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12B3B36C" w14:textId="77777777" w:rsidR="006E50FF" w:rsidRPr="006E50FF" w:rsidRDefault="006E50FF" w:rsidP="006E50FF">
      <w:pPr>
        <w:keepNext/>
        <w:jc w:val="center"/>
        <w:rPr>
          <w:b/>
          <w:kern w:val="28"/>
        </w:rPr>
      </w:pPr>
      <w:r w:rsidRPr="006E50FF">
        <w:rPr>
          <w:b/>
          <w:kern w:val="28"/>
        </w:rPr>
        <w:t>Provider Impact Statement</w:t>
      </w:r>
    </w:p>
    <w:p w14:paraId="12F6F52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272889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591CB4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3D33EB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0BD20DBE" w14:textId="77777777" w:rsidR="006E50FF" w:rsidRPr="006E50FF" w:rsidRDefault="006E50FF" w:rsidP="006E50FF">
      <w:pPr>
        <w:keepNext/>
        <w:jc w:val="center"/>
        <w:rPr>
          <w:b/>
          <w:kern w:val="28"/>
        </w:rPr>
      </w:pPr>
      <w:r w:rsidRPr="006E50FF">
        <w:rPr>
          <w:b/>
          <w:kern w:val="28"/>
        </w:rPr>
        <w:t>Public Comments</w:t>
      </w:r>
    </w:p>
    <w:p w14:paraId="1465F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26C892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7AEDC91" w14:textId="77777777" w:rsidR="006E50FF" w:rsidRPr="006E50FF" w:rsidRDefault="006E50FF" w:rsidP="006E50FF">
      <w:pPr>
        <w:keepNext/>
        <w:ind w:left="2160"/>
        <w:jc w:val="both"/>
      </w:pPr>
      <w:r w:rsidRPr="006E50FF">
        <w:t>Tavares A. Walker</w:t>
      </w:r>
    </w:p>
    <w:p w14:paraId="0A50A6F5" w14:textId="77777777" w:rsidR="006E50FF" w:rsidRPr="006E50FF" w:rsidRDefault="006E50FF" w:rsidP="006E50FF">
      <w:pPr>
        <w:keepNext/>
        <w:ind w:left="2160"/>
        <w:jc w:val="both"/>
      </w:pPr>
      <w:r w:rsidRPr="006E50FF">
        <w:t>Executive Director</w:t>
      </w:r>
    </w:p>
    <w:p w14:paraId="5321B748" w14:textId="77777777" w:rsidR="006E50FF" w:rsidRPr="006E50FF" w:rsidRDefault="006E50FF" w:rsidP="006E50FF">
      <w:pPr>
        <w:keepNext/>
        <w:jc w:val="center"/>
        <w:rPr>
          <w:b/>
        </w:rPr>
      </w:pPr>
    </w:p>
    <w:p w14:paraId="4F811A6D" w14:textId="77777777" w:rsidR="006E50FF" w:rsidRPr="006E50FF" w:rsidRDefault="006E50FF" w:rsidP="006E50FF">
      <w:pPr>
        <w:keepNext/>
        <w:jc w:val="center"/>
        <w:rPr>
          <w:b/>
        </w:rPr>
      </w:pPr>
      <w:r w:rsidRPr="006E50FF">
        <w:rPr>
          <w:b/>
        </w:rPr>
        <w:t>FISCAL AND ECONOMIC IMPACT STATEMENT FOR ADMINISTRATIVE RULES</w:t>
      </w:r>
    </w:p>
    <w:p w14:paraId="26DF9633" w14:textId="77777777" w:rsidR="006E50FF" w:rsidRPr="006E50FF" w:rsidRDefault="006E50FF" w:rsidP="006E50FF">
      <w:pPr>
        <w:keepNext/>
        <w:jc w:val="center"/>
        <w:rPr>
          <w:b/>
          <w:noProof/>
        </w:rPr>
      </w:pPr>
      <w:r w:rsidRPr="006E50FF">
        <w:rPr>
          <w:b/>
          <w:noProof/>
        </w:rPr>
        <w:t>RULE TITLE:  Special Education</w:t>
      </w:r>
    </w:p>
    <w:p w14:paraId="6A91EAC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AE7F23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F43E460" w14:textId="77777777" w:rsidR="006E50FF" w:rsidRPr="006E50FF" w:rsidRDefault="006E50FF" w:rsidP="006E50FF">
      <w:pPr>
        <w:ind w:left="288" w:firstLine="288"/>
        <w:jc w:val="both"/>
        <w:rPr>
          <w:noProof/>
          <w:sz w:val="18"/>
        </w:rPr>
      </w:pPr>
      <w:r w:rsidRPr="006E50FF">
        <w:rPr>
          <w:noProof/>
          <w:sz w:val="18"/>
        </w:rPr>
        <w:t xml:space="preserve">The proposed rule change amending LAC 28:XLIII in </w:t>
      </w:r>
      <w:r w:rsidRPr="006E50FF">
        <w:rPr>
          <w:i/>
          <w:noProof/>
          <w:sz w:val="18"/>
        </w:rPr>
        <w:t>Bulletin 1706―Regulations for Implementation of the Children with Exceptionalities Act</w:t>
      </w:r>
      <w:r w:rsidRPr="006E50FF">
        <w:rPr>
          <w:noProof/>
          <w:sz w:val="18"/>
        </w:rPr>
        <w:t xml:space="preserve"> may result in an indeterminable </w:t>
      </w:r>
      <w:r w:rsidRPr="006E50FF">
        <w:rPr>
          <w:noProof/>
          <w:sz w:val="18"/>
        </w:rPr>
        <w:lastRenderedPageBreak/>
        <w:t xml:space="preserve">increase in per-case expenditures for local education agencies (LEAs) associated with special education due process hearings. Shifting the burden of proof from the petitioner to the LEA may require additional preparation, documentation, and presentation of evidence, potentially increase attorney and staff time and associated legal costs. State data indicates approximately 40 to 45 special education complaints are filed annually, with only a small number proceeding to a full hearing. </w:t>
      </w:r>
    </w:p>
    <w:p w14:paraId="5A9CF9EF" w14:textId="77777777" w:rsidR="006E50FF" w:rsidRPr="006E50FF" w:rsidRDefault="006E50FF" w:rsidP="006E50FF">
      <w:pPr>
        <w:ind w:left="288" w:firstLine="288"/>
        <w:jc w:val="both"/>
        <w:rPr>
          <w:noProof/>
          <w:sz w:val="18"/>
        </w:rPr>
      </w:pPr>
      <w:r w:rsidRPr="006E50FF">
        <w:rPr>
          <w:noProof/>
          <w:sz w:val="18"/>
        </w:rPr>
        <w:t xml:space="preserve">The proposed rule change amending LAC 28:CLVII in </w:t>
      </w:r>
      <w:r w:rsidRPr="006E50FF">
        <w:rPr>
          <w:i/>
          <w:noProof/>
          <w:sz w:val="18"/>
        </w:rPr>
        <w:t>Bulletin 135—Health and Safety</w:t>
      </w:r>
      <w:r w:rsidRPr="006E50FF">
        <w:rPr>
          <w:noProof/>
          <w:sz w:val="18"/>
        </w:rPr>
        <w:t xml:space="preserve"> requires LEAs to revise existing behavioral health services policies, post such policies on their websites, include them in student handbooks, coordinate scheduling of behavioral health services provided inside and outside of physical classrooms as medically necessary, and coordinate and conduct school based service delivery review meetings within specified timelines. While this is anticipated to increase administrative workload for LEAs, any resulting impact on expenditures is indeterminable.</w:t>
      </w:r>
    </w:p>
    <w:p w14:paraId="532D3577" w14:textId="77777777" w:rsidR="006E50FF" w:rsidRPr="006E50FF" w:rsidRDefault="006E50FF" w:rsidP="006E50FF">
      <w:pPr>
        <w:ind w:left="288" w:firstLine="288"/>
        <w:jc w:val="both"/>
        <w:rPr>
          <w:sz w:val="18"/>
        </w:rPr>
      </w:pPr>
      <w:r w:rsidRPr="006E50FF">
        <w:rPr>
          <w:sz w:val="18"/>
        </w:rPr>
        <w:t xml:space="preserve">There are no anticipated implementation costs or savings to state governmental units as a result of the proposed rule change, which amends LAC 28:XLIII in </w:t>
      </w:r>
      <w:r w:rsidRPr="006E50FF">
        <w:rPr>
          <w:i/>
          <w:sz w:val="18"/>
        </w:rPr>
        <w:t>Bulletin 1706―Regulations for Implementation of the Children with Exceptionalities Act</w:t>
      </w:r>
      <w:r w:rsidRPr="006E50FF">
        <w:rPr>
          <w:sz w:val="18"/>
        </w:rPr>
        <w:t xml:space="preserve"> and to implement Acts 943 and 944 of the 2026 Regular Legislative Session. The Louisiana Department of Education will administer the behavioral health complaint and dispute resolution procedures and process due process hearing requests using existing staff and previously appropriated funds.</w:t>
      </w:r>
    </w:p>
    <w:p w14:paraId="086908C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0834989"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07A8D4EE"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2FD5EDD" w14:textId="77777777" w:rsidR="006E50FF" w:rsidRPr="006E50FF" w:rsidRDefault="006E50FF" w:rsidP="006E50FF">
      <w:pPr>
        <w:ind w:left="288" w:firstLine="288"/>
        <w:jc w:val="both"/>
        <w:rPr>
          <w:sz w:val="18"/>
        </w:rPr>
      </w:pPr>
      <w:r w:rsidRPr="006E50FF">
        <w:rPr>
          <w:sz w:val="18"/>
        </w:rPr>
        <w:t>Parents of students with exceptionalities may benefit from the proposed rule change as the burden of proof in special education due process hearings would shift from the petitioner to the local education agency (LEA). The change may reduce the evidentiary burden on parents involved in due process proceedings.</w:t>
      </w:r>
    </w:p>
    <w:p w14:paraId="7D2D2B2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8DDACDE"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7B3DACEB" w14:textId="77777777" w:rsidR="006E50FF" w:rsidRPr="006E50FF" w:rsidRDefault="006E50FF" w:rsidP="006E50FF">
      <w:pPr>
        <w:ind w:left="288" w:firstLine="288"/>
        <w:jc w:val="both"/>
        <w:rPr>
          <w:sz w:val="18"/>
        </w:rPr>
      </w:pPr>
    </w:p>
    <w:p w14:paraId="081F9F46"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402DE31F"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3B6EF9EC" w14:textId="77777777" w:rsidR="006E50FF" w:rsidRPr="006E50FF" w:rsidRDefault="006E50FF" w:rsidP="006E50FF">
      <w:pPr>
        <w:tabs>
          <w:tab w:val="left" w:pos="2880"/>
          <w:tab w:val="decimal" w:pos="2988"/>
        </w:tabs>
        <w:outlineLvl w:val="8"/>
        <w:rPr>
          <w:kern w:val="2"/>
          <w:sz w:val="18"/>
        </w:rPr>
      </w:pPr>
      <w:r w:rsidRPr="006E50FF">
        <w:rPr>
          <w:noProof/>
          <w:sz w:val="16"/>
        </w:rPr>
        <w:t>2609#077</w:t>
      </w:r>
      <w:r w:rsidRPr="006E50FF">
        <w:rPr>
          <w:kern w:val="2"/>
        </w:rPr>
        <w:tab/>
      </w:r>
      <w:r w:rsidRPr="006E50FF">
        <w:rPr>
          <w:kern w:val="2"/>
          <w:sz w:val="18"/>
        </w:rPr>
        <w:t>Legislative Fiscal Office</w:t>
      </w:r>
    </w:p>
    <w:p w14:paraId="2B76AE86" w14:textId="77777777" w:rsidR="006E50FF" w:rsidRPr="006E50FF" w:rsidRDefault="006E50FF" w:rsidP="006E50FF"/>
    <w:p w14:paraId="031211B7" w14:textId="77777777" w:rsidR="006E50FF" w:rsidRPr="006E50FF" w:rsidRDefault="006E50FF" w:rsidP="006E50FF">
      <w:pPr>
        <w:keepNext/>
        <w:tabs>
          <w:tab w:val="left" w:pos="-1440"/>
        </w:tabs>
        <w:spacing w:after="120"/>
        <w:jc w:val="center"/>
        <w:rPr>
          <w:b/>
          <w:noProof/>
        </w:rPr>
      </w:pPr>
      <w:bookmarkStart w:id="429" w:name="_Toc57892880"/>
      <w:bookmarkStart w:id="430" w:name="_Toc180673216"/>
      <w:bookmarkStart w:id="431" w:name="_Toc187235176"/>
      <w:r w:rsidRPr="006E50FF">
        <w:rPr>
          <w:b/>
          <w:noProof/>
        </w:rPr>
        <w:t>NOTICE OF INTENT</w:t>
      </w:r>
    </w:p>
    <w:p w14:paraId="673E5472" w14:textId="77777777" w:rsidR="006E50FF" w:rsidRPr="006E50FF" w:rsidRDefault="006E50FF" w:rsidP="006E50FF">
      <w:pPr>
        <w:keepNext/>
        <w:jc w:val="center"/>
        <w:rPr>
          <w:b/>
          <w:noProof/>
        </w:rPr>
      </w:pPr>
      <w:r w:rsidRPr="006E50FF">
        <w:rPr>
          <w:b/>
          <w:noProof/>
        </w:rPr>
        <w:t>Department of Environmental Quality</w:t>
      </w:r>
    </w:p>
    <w:p w14:paraId="5D3A97BE" w14:textId="77777777" w:rsidR="006E50FF" w:rsidRPr="006E50FF" w:rsidRDefault="006E50FF" w:rsidP="006E50FF">
      <w:pPr>
        <w:keepNext/>
        <w:jc w:val="center"/>
        <w:rPr>
          <w:b/>
          <w:noProof/>
        </w:rPr>
      </w:pPr>
      <w:r w:rsidRPr="006E50FF">
        <w:rPr>
          <w:b/>
          <w:noProof/>
        </w:rPr>
        <w:t>Office of the Secretary</w:t>
      </w:r>
    </w:p>
    <w:p w14:paraId="2BDC4E4F" w14:textId="77777777" w:rsidR="006E50FF" w:rsidRPr="006E50FF" w:rsidRDefault="006E50FF" w:rsidP="006E50FF">
      <w:pPr>
        <w:keepNext/>
        <w:jc w:val="center"/>
        <w:rPr>
          <w:b/>
          <w:noProof/>
        </w:rPr>
      </w:pPr>
      <w:r w:rsidRPr="006E50FF">
        <w:rPr>
          <w:b/>
          <w:noProof/>
        </w:rPr>
        <w:t>Legal Affairs Division</w:t>
      </w:r>
    </w:p>
    <w:p w14:paraId="3DB4F0F6" w14:textId="77777777" w:rsidR="006E50FF" w:rsidRPr="006E50FF" w:rsidRDefault="006E50FF" w:rsidP="006E50FF">
      <w:pPr>
        <w:keepNext/>
        <w:spacing w:before="240" w:after="240"/>
        <w:jc w:val="center"/>
        <w:rPr>
          <w:noProof/>
        </w:rPr>
      </w:pPr>
      <w:r w:rsidRPr="006E50FF">
        <w:rPr>
          <w:noProof/>
        </w:rPr>
        <w:t>Hazardous Waste and Hazardous Materials</w:t>
      </w:r>
      <w:r w:rsidRPr="006E50FF">
        <w:rPr>
          <w:noProof/>
        </w:rPr>
        <w:br/>
        <w:t>(LAC 33:V.Chapters 1, 3, 4, 10, 15, 30, 37, 43, and 51)</w:t>
      </w:r>
    </w:p>
    <w:p w14:paraId="618CD3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Under the authority of the Louisiana Environmental Quality Act, R.S. 30:2001 et seq., and in accordance with the provisions of the Administrative Procedure Act, R.S. 49:950 et seq., the secretary gives notice that rulemaking procedures have been initiated to amend the Hazardous Waste regulations, LAC 33:V.Chapters 1, 3, 4, 10, 15, 30, 37, 43, and 51 (HW142).</w:t>
      </w:r>
    </w:p>
    <w:p w14:paraId="728970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consolidates duplicative text in LAC 33:V.Chapter 43 (Interim Status). Where a Chapter 43 Section reproduces in full a standard already codified elsewhere in LAC 33:V, the reproduced text is replaced with a cross-reference in the form “Interim status facilities must comply with LAC 33:V.____.” Existing cross-references are conformed to cite the specific Subsections and Paragraphs that apply rather than an entire Section. The proposed Rule amends 81 Sections and reduces Chapter 43 by approximately 38,400 words.</w:t>
      </w:r>
    </w:p>
    <w:p w14:paraId="1DB5F1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Chapter 43 was built Section by Section beginning in 1984 and has been amended more than twenty times since. Rather than referring interim status facilities to standards already stated elsewhere in LAC 33:V, the Chapter often reproduced those standards verbatim, so the same requirement now appears in two places. A departmental review identified 98 Chapter 43 Sections within confirmed near-duplicate clusters, the largest comprising 43 Sections of substantially identical text. Duplication of this kind creates a maintenance burden and a compliance risk. When the underlying standard is amended, the duplicated text must be separately located and amended, or the two provisions drift apart and leave the regulated community with two differently worded statements of one obligation. A cross-reference causes future amendments to carry through automatically.</w:t>
      </w:r>
    </w:p>
    <w:p w14:paraId="680DE1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Within Chapter 43, the proposed Rule replaces the text of 45 Sections with a cross-reference to the standard that already governs, repeals 11 Sections whose requirements are stated in LAC 33:V.Chapter 15 and makes conforming or clerical corrections in the remaining 15 Sections. The 11 repealed Chapter 43 Sections are §§4339, 4341, 4343, 4345, 4347, 4349, 4353, 4355, 4356, 4359, and 4361, which address contingency planning, the emergency coordinator, emergency procedures, use of the manifest system, manifest discrepancies, unmanifested waste reports, recordkeeping, and the annual report. Each requirement continues to apply to interim status facilities through LAC 33:V.Chapter 15, and Sections 4337 and 4351 are amended to state that application expressly.</w:t>
      </w:r>
    </w:p>
    <w:p w14:paraId="778115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Outside Chapter 43, the proposed Rule amends Section 105 (Program Scope) to remove obsolete references to the Department of Natural Resources and to the February 1, 1984, transfer of authority, to update the mailing address of the United States Environmental Protection Agency office that receives written agreements, and to conform the judicial review and rulemaking petition provisions to current law. It also removes an obsolete telephone number for reporting unauthorized discharges and makes clerical corrections in Sections 325 and 3705. In Chapter 51, a correction is made and obsolete and redundant fee provisions are removed.</w:t>
      </w:r>
    </w:p>
    <w:p w14:paraId="2E2A9F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The basis and rationale for the proposed Rule are to simplify and modernize the structure of Chapter 43 without altering the obligations it imposes, and to eliminate the risk that duplicated provisions diverge from the standards they restate.</w:t>
      </w:r>
      <w:r w:rsidRPr="006E50FF">
        <w:rPr>
          <w:kern w:val="2"/>
        </w:rPr>
        <w:t xml:space="preserve"> The proposed Rule meets an exception listed in R.S. 30:2019(D)(2) and R.S. 49:963.B(3); therefore, no report regarding environmental/health benefits and social/economic costs is required.</w:t>
      </w:r>
    </w:p>
    <w:p w14:paraId="342BC2F3" w14:textId="77777777" w:rsidR="006E50FF" w:rsidRPr="006E50FF" w:rsidRDefault="006E50FF" w:rsidP="006E50FF">
      <w:pPr>
        <w:keepNext/>
        <w:jc w:val="center"/>
        <w:rPr>
          <w:b/>
          <w:kern w:val="28"/>
        </w:rPr>
      </w:pPr>
      <w:r w:rsidRPr="006E50FF">
        <w:rPr>
          <w:b/>
          <w:kern w:val="28"/>
        </w:rPr>
        <w:lastRenderedPageBreak/>
        <w:t>Title 33</w:t>
      </w:r>
    </w:p>
    <w:p w14:paraId="0DE2AB50" w14:textId="77777777" w:rsidR="006E50FF" w:rsidRPr="006E50FF" w:rsidRDefault="006E50FF" w:rsidP="006E50FF">
      <w:pPr>
        <w:keepNext/>
        <w:jc w:val="center"/>
        <w:rPr>
          <w:b/>
          <w:kern w:val="28"/>
        </w:rPr>
      </w:pPr>
      <w:r w:rsidRPr="006E50FF">
        <w:rPr>
          <w:b/>
          <w:kern w:val="28"/>
        </w:rPr>
        <w:t>ENVIRONMENTAL QUALITY</w:t>
      </w:r>
    </w:p>
    <w:p w14:paraId="4BD2D708" w14:textId="77777777" w:rsidR="006E50FF" w:rsidRPr="006E50FF" w:rsidRDefault="006E50FF" w:rsidP="006E50FF">
      <w:pPr>
        <w:keepNext/>
        <w:jc w:val="center"/>
        <w:rPr>
          <w:b/>
          <w:noProof/>
        </w:rPr>
      </w:pPr>
      <w:r w:rsidRPr="006E50FF">
        <w:rPr>
          <w:b/>
          <w:noProof/>
        </w:rPr>
        <w:t>Part V.  Hazardous Waste and Hazardous Materials</w:t>
      </w:r>
      <w:bookmarkEnd w:id="429"/>
      <w:bookmarkEnd w:id="430"/>
      <w:bookmarkEnd w:id="431"/>
    </w:p>
    <w:p w14:paraId="729025DF" w14:textId="77777777" w:rsidR="006E50FF" w:rsidRPr="006E50FF" w:rsidRDefault="006E50FF" w:rsidP="006E50FF">
      <w:pPr>
        <w:keepNext/>
        <w:jc w:val="center"/>
        <w:rPr>
          <w:b/>
          <w:noProof/>
        </w:rPr>
      </w:pPr>
      <w:bookmarkStart w:id="432" w:name="TOC_SubP1"/>
      <w:bookmarkStart w:id="433" w:name="_Toc57892881"/>
      <w:bookmarkStart w:id="434" w:name="_Toc180673217"/>
      <w:bookmarkStart w:id="435" w:name="_Toc187235177"/>
      <w:r w:rsidRPr="006E50FF">
        <w:rPr>
          <w:b/>
          <w:noProof/>
        </w:rPr>
        <w:t>Subpart 1.  Department of Environmental Quality―Hazardous Waste</w:t>
      </w:r>
      <w:bookmarkEnd w:id="432"/>
      <w:bookmarkEnd w:id="433"/>
      <w:bookmarkEnd w:id="434"/>
      <w:bookmarkEnd w:id="435"/>
    </w:p>
    <w:p w14:paraId="1F09BF4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36" w:name="M__WORK_33V05_33V05005_001"/>
      <w:bookmarkStart w:id="437" w:name="M__WORK_33V05_33V05009_001"/>
      <w:bookmarkStart w:id="438" w:name="M__WORK_33V05_33V05015_001"/>
      <w:bookmarkStart w:id="439" w:name="BM40CFR266_210"/>
      <w:bookmarkStart w:id="440" w:name="TOC_Chap1011"/>
      <w:bookmarkEnd w:id="436"/>
      <w:bookmarkEnd w:id="437"/>
      <w:bookmarkEnd w:id="438"/>
      <w:bookmarkEnd w:id="439"/>
      <w:r w:rsidRPr="006E50FF">
        <w:rPr>
          <w:b/>
          <w:kern w:val="2"/>
        </w:rPr>
        <w:t>Chapter 1.</w:t>
      </w:r>
      <w:r w:rsidRPr="006E50FF">
        <w:rPr>
          <w:b/>
          <w:kern w:val="2"/>
        </w:rPr>
        <w:tab/>
        <w:t>General Provisions and Definitions</w:t>
      </w:r>
    </w:p>
    <w:p w14:paraId="53FC6D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w:t>
      </w:r>
      <w:r w:rsidRPr="006E50FF">
        <w:rPr>
          <w:b/>
          <w:kern w:val="2"/>
        </w:rPr>
        <w:tab/>
        <w:t>Program Scope</w:t>
      </w:r>
    </w:p>
    <w:p w14:paraId="160745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These rules and regulations apply to owners and operators of all facilities that generate, transport, treat, store, or dispose of hazardous waste, except as specifically provided otherwise herein. The procedures of these regulations also apply to the denial of a permit for the active life of a hazardous waste management facility or individual unit at a treatment, storage, and disposal (TSD) facility under LAC 33:V.706.</w:t>
      </w:r>
    </w:p>
    <w:p w14:paraId="2FF3FC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3E22CC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Reserved.</w:t>
      </w:r>
    </w:p>
    <w:p w14:paraId="58072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Approved Forms for Notification of Hazardous Waste Activity</w:t>
      </w:r>
    </w:p>
    <w:p w14:paraId="2665C0E8"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Notification of Hazardous Waste Activity Form (HW-1). All notifications of hazardous waste activity shall be made on the most current HW-1 form approved by the department and found on the department’s website.</w:t>
      </w:r>
    </w:p>
    <w:p w14:paraId="28A63A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A.5.b. - B.2.</w:t>
      </w:r>
      <w:r w:rsidRPr="006E50FF">
        <w:rPr>
          <w:kern w:val="2"/>
        </w:rPr>
        <w:tab/>
        <w:t>…</w:t>
      </w:r>
    </w:p>
    <w:p w14:paraId="0C28D9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Control of Wastes. Wastes generated, transported, treated, stored, and/or disposed of in Louisiana are controlled by the state of Louisiana according to the appropriate statutes of the state of Louisiana as follows, and provided that nothing contained herein shall limit the authority granted to the Department of Environmental Quality.</w:t>
      </w:r>
    </w:p>
    <w:p w14:paraId="163F19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C.3.</w:t>
      </w:r>
      <w:r w:rsidRPr="006E50FF">
        <w:rPr>
          <w:kern w:val="2"/>
        </w:rPr>
        <w:tab/>
        <w:t>…</w:t>
      </w:r>
    </w:p>
    <w:p w14:paraId="0DCE6A8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salt water injection wells including related surface installations, mud pits, and other areas associated with the exploration and production of oil and gas.</w:t>
      </w:r>
    </w:p>
    <w:p w14:paraId="42D888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C.4. - D.2.l.i.</w:t>
      </w:r>
      <w:r w:rsidRPr="006E50FF">
        <w:rPr>
          <w:kern w:val="2"/>
        </w:rPr>
        <w:tab/>
        <w:t>…</w:t>
      </w:r>
    </w:p>
    <w:p w14:paraId="08067F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copy of the written agreement has been submitted to: Waste Identification Branch (5304), U.S. Environmental Protection Agency, 1200 Pennsylvania Ave, NW, Washington, DC 20460;</w:t>
      </w:r>
    </w:p>
    <w:p w14:paraId="7C6420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D.2.m. - D.11.e.iii.</w:t>
      </w:r>
      <w:r w:rsidRPr="006E50FF">
        <w:rPr>
          <w:kern w:val="2"/>
        </w:rPr>
        <w:tab/>
        <w:t>…</w:t>
      </w:r>
    </w:p>
    <w:p w14:paraId="283AA3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Judicial Review. Judicial review is available as provided in the Louisiana Administrative Procedure Act (R.S.49:978.1) and the Louisiana Environmental Quality Act.</w:t>
      </w:r>
    </w:p>
    <w:p w14:paraId="6C956D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G.</w:t>
      </w:r>
      <w:r w:rsidRPr="006E50FF">
        <w:rPr>
          <w:kern w:val="2"/>
        </w:rPr>
        <w:tab/>
        <w:t>…</w:t>
      </w:r>
    </w:p>
    <w:p w14:paraId="3B90B1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General Procedures to Petition the Administrative Authority. The procedure to petition for rulemaking is set forth in LAC 33:I.Chapter 9.</w:t>
      </w:r>
    </w:p>
    <w:p w14:paraId="38F337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I.3.</w:t>
      </w:r>
      <w:r w:rsidRPr="006E50FF">
        <w:rPr>
          <w:kern w:val="2"/>
        </w:rPr>
        <w:tab/>
        <w:t>…</w:t>
      </w:r>
    </w:p>
    <w:p w14:paraId="65B09C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Discharge Reporting Requirements</w:t>
      </w:r>
    </w:p>
    <w:p w14:paraId="437D0C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Emergency Conditions. For any unauthorized discharge of a Hazardous Waste, in contravention of the Louisiana Hazardous Waste Control Law (R.S. 30:2171 et seq.) or of the regulations, or of the terms and conditions of a permit or license issued thereunder, which results or threatens to result in an emergency condition (a condition which could reasonably be expected to endanger the health and safety of the public, cause significant adverse impact to the land, water or air environment, or cause severe damage to property), the discharger shall immediately, but in no case later than one hour, notify in accordance with other provisions of LAC 33:I.Chapter 39.</w:t>
      </w:r>
    </w:p>
    <w:p w14:paraId="2F6730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J.2. - R.8.h.</w:t>
      </w:r>
      <w:r w:rsidRPr="006E50FF">
        <w:rPr>
          <w:kern w:val="2"/>
        </w:rPr>
        <w:tab/>
        <w:t>…</w:t>
      </w:r>
    </w:p>
    <w:p w14:paraId="24AB58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 and in particular, 2186(A)(2).</w:t>
      </w:r>
    </w:p>
    <w:p w14:paraId="5C6102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11:1139 (December 1985), LR 12:319 (May 1986), LR 13:84 (February 1987), LR 13:433 (August 1987), LR 13:651 (November 1987), LR 14:790 (November 1988), LR 15:181 (March 1989), LR 16:47 (January 1990), LR 16:217, LR 16:220 (March 1990), LR 16:398 (May 1990), LR 16:614 (July 1990), LR 17:362, 368 (April 1991), LR 17:478 (May 1991), LR 17:883 (September 1991), LR 18:723 (July 1992), LR 18:1256 (November 1992), LR 18:1375 (December 1992), amended by the Office of the Secretary, LR 19:1022 (August 1993), amended by the Office of Solid and Hazardous Waste, Hazardous Waste Division, LR 20:1000 (September 1994), LR 21:266 (March 1995), LR 21:944 (September 1995), LR 22:813, 831 (September 1996), amended by the Office of the Secretary, LR 23:298 (March 1997), amended by the Office of Solid and Hazardous Waste, Hazardous Waste Division, LR 23:564, 567 (May 1997), LR 23:721 (June 1997), amended by the Office of Waste Services, Hazardous Waste Division, LR 23:952 (August 1997), LR 23:1511 (November 1997), LR 24:298 (February 1998), LR 24:655 (April 1998), LR 24:1093 (June 1998), LR 24:1687, 1759 (September 1998), LR 25:431 (March 1999), amended by the Office of Environmental Assessment, Environmental Planning Division, LR 26:268 (February 2000), LR 26:2464 (November 2000), LR 27:291 (March 2001), LR 27:706 (May 2001), LR 29:317 (March 2003), LR 30:1680 (August 2004), amended by the Office of Environmental Assessment, LR 30:2463 (November 2004), amended by the Office of the Secretary, Legal Affairs Division, LR 31:2451 (October 2005), LR 32:605 (April 2006), LR 32:821 (May 2006), LR 33:450 (March 2007), LR 33:2097 (October 2007), LR 34:614 (April 2008), LR 34:1008 (June 2008), LR 34:1893 (September 2008), LR 34:2395 (November 2008), LR 35:1878 (September 2009), LR 36:2553 (November 2010), LR 38:791 (March 2012), amended by the Office of the Secretary, Legal Division. LR 40:1336 (July 2014), LR 42:2178, 2181 (December 2016), LR 43:1151 (June 2017), repromulgated by the Office of the Secretary, Legal Affairs and Criminal Investigation Division, LR 43:1523 (August 2017), amended by the Office of the Secretary, Legal Affairs and Criminal Investigations Division, LR 46:896 (July 2020), LR 47:1851 (December 2021), amended by the Office of the Secretary, Legal Affairs Division, LR 50:1456 (October 2024), LR 51:1843 (November 2025), LR 51:2071 (December 2025), LR 52:669 (May 2026), amended by the Office of the Secretary, Legal Affairs Division, LR 52:</w:t>
      </w:r>
    </w:p>
    <w:p w14:paraId="10A5A1B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General Conditions for Treatment, Storage, and Disposal Facility Permits</w:t>
      </w:r>
    </w:p>
    <w:p w14:paraId="3D3935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1" w:name="TOC_Sect1211"/>
      <w:r w:rsidRPr="006E50FF">
        <w:rPr>
          <w:b/>
          <w:kern w:val="2"/>
        </w:rPr>
        <w:t>§325.</w:t>
      </w:r>
      <w:r w:rsidRPr="006E50FF">
        <w:rPr>
          <w:b/>
          <w:kern w:val="2"/>
        </w:rPr>
        <w:tab/>
        <w:t>Compliance Schedule for Facilities Existing on the Effective Date of These Regulations</w:t>
      </w:r>
      <w:bookmarkEnd w:id="441"/>
    </w:p>
    <w:p w14:paraId="56B4480D" w14:textId="77777777" w:rsidR="006E50FF" w:rsidRPr="006E50FF" w:rsidRDefault="006E50FF" w:rsidP="006E50FF">
      <w:pPr>
        <w:tabs>
          <w:tab w:val="left" w:pos="144"/>
          <w:tab w:val="left" w:pos="187"/>
          <w:tab w:val="left" w:pos="540"/>
          <w:tab w:val="left" w:pos="907"/>
          <w:tab w:val="left" w:pos="1080"/>
          <w:tab w:val="left" w:pos="1260"/>
        </w:tabs>
        <w:ind w:firstLine="187"/>
        <w:jc w:val="both"/>
        <w:outlineLvl w:val="3"/>
        <w:rPr>
          <w:kern w:val="2"/>
        </w:rPr>
      </w:pPr>
      <w:r w:rsidRPr="006E50FF">
        <w:rPr>
          <w:kern w:val="2"/>
        </w:rPr>
        <w:t>A. - B.3.c.</w:t>
      </w:r>
      <w:r w:rsidRPr="006E50FF">
        <w:rPr>
          <w:kern w:val="2"/>
        </w:rPr>
        <w:tab/>
        <w:t>...</w:t>
      </w:r>
    </w:p>
    <w:p w14:paraId="5D3CF3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applicant's or permittee's decision to cease conducting regulated activities shall be evidenced by a firm public commitment satisfactory to the administrative authority.</w:t>
      </w:r>
    </w:p>
    <w:p w14:paraId="06652B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23528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7C6FB09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42" w:name="TOC_Sect1216"/>
      <w:r w:rsidRPr="006E50FF">
        <w:rPr>
          <w:b/>
          <w:kern w:val="2"/>
        </w:rPr>
        <w:t>Chapter 4.</w:t>
      </w:r>
      <w:r w:rsidRPr="006E50FF">
        <w:rPr>
          <w:b/>
          <w:kern w:val="2"/>
        </w:rPr>
        <w:tab/>
        <w:t>Requirements for Commercial Treatment, Storage, and Disposal Facility Permits</w:t>
      </w:r>
    </w:p>
    <w:p w14:paraId="63D6560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§405.</w:t>
      </w:r>
      <w:r w:rsidRPr="006E50FF">
        <w:rPr>
          <w:b/>
          <w:kern w:val="2"/>
        </w:rPr>
        <w:tab/>
        <w:t>Requirements for Commercial TSD Facilities</w:t>
      </w:r>
      <w:bookmarkEnd w:id="442"/>
    </w:p>
    <w:p w14:paraId="30AEA41B" w14:textId="77777777" w:rsidR="006E50FF" w:rsidRPr="006E50FF" w:rsidRDefault="006E50FF" w:rsidP="006E50FF">
      <w:pPr>
        <w:tabs>
          <w:tab w:val="left" w:pos="144"/>
          <w:tab w:val="left" w:pos="187"/>
          <w:tab w:val="left" w:pos="540"/>
          <w:tab w:val="left" w:pos="907"/>
          <w:tab w:val="left" w:pos="1080"/>
          <w:tab w:val="left" w:pos="1260"/>
        </w:tabs>
        <w:ind w:firstLine="187"/>
        <w:jc w:val="both"/>
        <w:outlineLvl w:val="3"/>
        <w:rPr>
          <w:kern w:val="2"/>
        </w:rPr>
      </w:pPr>
      <w:r w:rsidRPr="006E50FF">
        <w:rPr>
          <w:kern w:val="2"/>
        </w:rPr>
        <w:t>A. - B.1.c.</w:t>
      </w:r>
      <w:r w:rsidRPr="006E50FF">
        <w:rPr>
          <w:kern w:val="2"/>
        </w:rPr>
        <w:tab/>
        <w:t>...</w:t>
      </w:r>
    </w:p>
    <w:p w14:paraId="36DA72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756E53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The administrative authority may approve, on a case-by-case basis, an alternative to the requirements in Subparagraph B.1.a or b of this Section if the applicant can affirmatively demonstrate that as a result of site-specific circumstances, the location of the proposed waste management unit will not adversely impact an environmentally sensitive area, impose an undue risk to human health.</w:t>
      </w:r>
    </w:p>
    <w:p w14:paraId="247326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709428F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30:2178.</w:t>
      </w:r>
    </w:p>
    <w:p w14:paraId="7EF52B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Environmental Planning Division, LR 27:285 (March 2001), amended by the Office of the Secretary, Legal Affairs Division, LR 52:</w:t>
      </w:r>
    </w:p>
    <w:p w14:paraId="1EA22D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3" w:name="TOC_Sect1217"/>
      <w:r w:rsidRPr="006E50FF">
        <w:rPr>
          <w:b/>
          <w:kern w:val="2"/>
        </w:rPr>
        <w:t>§407.</w:t>
      </w:r>
      <w:r w:rsidRPr="006E50FF">
        <w:rPr>
          <w:b/>
          <w:kern w:val="2"/>
        </w:rPr>
        <w:tab/>
        <w:t>Guidelines for the Infrastructure Assessment Report Prepared by Local Government</w:t>
      </w:r>
      <w:bookmarkEnd w:id="443"/>
    </w:p>
    <w:p w14:paraId="4EB9BA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464443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30:2178 and 2182.</w:t>
      </w:r>
    </w:p>
    <w:p w14:paraId="43EAE4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Environmental Planning Division, LR 27:287 (March 2001), amended by the Office of the Secretary, Legal Affairs Division, LR 52:</w:t>
      </w:r>
    </w:p>
    <w:p w14:paraId="255D01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4" w:name="TOC_Sect1218"/>
      <w:r w:rsidRPr="006E50FF">
        <w:rPr>
          <w:b/>
          <w:kern w:val="2"/>
        </w:rPr>
        <w:t>§409.</w:t>
      </w:r>
      <w:r w:rsidRPr="006E50FF">
        <w:rPr>
          <w:b/>
          <w:kern w:val="2"/>
        </w:rPr>
        <w:tab/>
        <w:t>Departmental Action on Commercial Hazardous Waste TSD Permit Applications</w:t>
      </w:r>
      <w:bookmarkEnd w:id="444"/>
    </w:p>
    <w:p w14:paraId="7C0DC9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secretary's report shall be issued in conjunction with the draft permit decision for commercial hazardous waste treatment, storage, or disposal facilities. The report will assess the impact of the location of the facility on the citizens in the surrounding area, the local infrastructure, and on the environment. The sources of information for the report include the permit application contents required in LAC 33:V, the Infrastructure Assessment Report prepared by the local governmental subdivision, and other information sources as appropriate.</w:t>
      </w:r>
    </w:p>
    <w:p w14:paraId="37F953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B.8.</w:t>
      </w:r>
      <w:r w:rsidRPr="006E50FF">
        <w:rPr>
          <w:kern w:val="2"/>
        </w:rPr>
        <w:tab/>
        <w:t>...</w:t>
      </w:r>
    </w:p>
    <w:p w14:paraId="72F402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30:2178.</w:t>
      </w:r>
    </w:p>
    <w:p w14:paraId="160713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Environmental Planning Division LR 27:287 (March 2001), amended by the Office of the Secretary, Legal Affairs Division, LR 52:</w:t>
      </w:r>
    </w:p>
    <w:p w14:paraId="28892BA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10.</w:t>
      </w:r>
      <w:r w:rsidRPr="006E50FF">
        <w:rPr>
          <w:b/>
          <w:kern w:val="2"/>
        </w:rPr>
        <w:tab/>
        <w:t>Generators of Hazardous Waste</w:t>
      </w:r>
    </w:p>
    <w:p w14:paraId="315CA4E6" w14:textId="77777777" w:rsidR="006E50FF" w:rsidRPr="006E50FF" w:rsidRDefault="006E50FF" w:rsidP="006E50FF">
      <w:pPr>
        <w:ind w:left="432" w:right="432"/>
        <w:jc w:val="both"/>
        <w:rPr>
          <w:noProof/>
          <w:sz w:val="16"/>
          <w:szCs w:val="16"/>
        </w:rPr>
      </w:pPr>
      <w:r w:rsidRPr="006E50FF">
        <w:rPr>
          <w:noProof/>
          <w:sz w:val="16"/>
          <w:szCs w:val="16"/>
        </w:rPr>
        <w:t>[Editor's Note: Chapter 10 consolidates and reorganizes the requirements for generators formerly contained in LAC 33:V.108 and Chapter 11.]</w:t>
      </w:r>
    </w:p>
    <w:p w14:paraId="4A2ECF5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General</w:t>
      </w:r>
    </w:p>
    <w:p w14:paraId="00D60B6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§1015.</w:t>
      </w:r>
      <w:r w:rsidRPr="006E50FF">
        <w:rPr>
          <w:b/>
          <w:kern w:val="2"/>
        </w:rPr>
        <w:tab/>
        <w:t>Conditions for Exemption for Large Quantity Generators</w:t>
      </w:r>
    </w:p>
    <w:p w14:paraId="2E7F9E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B.1.g.</w:t>
      </w:r>
      <w:r w:rsidRPr="006E50FF">
        <w:rPr>
          <w:kern w:val="2"/>
        </w:rPr>
        <w:tab/>
        <w:t>...</w:t>
      </w:r>
    </w:p>
    <w:p w14:paraId="70E982F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Incompatible wastes, or incompatible wastes and materials (see LAC 33:V.199.Appendix B for examples), shall not be placed in the same container, unless the generator complies with LAC 33:V.4321.</w:t>
      </w:r>
    </w:p>
    <w:p w14:paraId="4951EE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Hazardous waste shall not be placed in an unwashed container that previously held an incompatible waste or material (see LAC 33:V.199.Appendix B for examples), unless the generator complies with LAC 33:V.4321.</w:t>
      </w:r>
    </w:p>
    <w:p w14:paraId="672AE546" w14:textId="77777777" w:rsidR="006E50FF" w:rsidRPr="006E50FF" w:rsidRDefault="006E50FF" w:rsidP="006E50FF">
      <w:pPr>
        <w:tabs>
          <w:tab w:val="left" w:pos="144"/>
          <w:tab w:val="left" w:pos="187"/>
          <w:tab w:val="left" w:pos="540"/>
          <w:tab w:val="left" w:pos="907"/>
          <w:tab w:val="left" w:pos="1080"/>
          <w:tab w:val="left" w:pos="1620"/>
        </w:tabs>
        <w:ind w:firstLine="187"/>
        <w:jc w:val="both"/>
        <w:outlineLvl w:val="3"/>
        <w:rPr>
          <w:kern w:val="2"/>
        </w:rPr>
      </w:pPr>
      <w:r w:rsidRPr="006E50FF">
        <w:rPr>
          <w:kern w:val="2"/>
        </w:rPr>
        <w:t>B.1.g.iii. - G.3.</w:t>
      </w:r>
      <w:r w:rsidRPr="006E50FF">
        <w:rPr>
          <w:kern w:val="2"/>
        </w:rPr>
        <w:tab/>
        <w:t>...</w:t>
      </w:r>
    </w:p>
    <w:p w14:paraId="73AA9F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Rejected Load. A large quantity generator who sends a shipment of hazardous waste to a designated facility with the understanding that the designated facility can accept and manage the waste and later receives that waste back as a rejected load or residue in accordance with the manifest discrepancy provisions of LAC 33:V.1516.C or LAC 33:V.4351.C may accumulate the returned waste on-site in accordance with Subsections B and C of this Section. Upon receipt of the returned shipment, the generator shall sign:</w:t>
      </w:r>
    </w:p>
    <w:p w14:paraId="73BE48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65E6F3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827BC5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Secretary, Legal Affairs and Criminal Investigations Division, LR 46:911 (July 2020), amended by the Office of the Secretary, Legal Affairs Division, LR 52:0000 (May 2026), LR 52:</w:t>
      </w:r>
    </w:p>
    <w:p w14:paraId="5771EE4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Treatment, Storage, and Disposal Facilities</w:t>
      </w:r>
    </w:p>
    <w:p w14:paraId="48CF50B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§1527.</w:t>
      </w:r>
      <w:r w:rsidRPr="006E50FF">
        <w:rPr>
          <w:b/>
          <w:kern w:val="2"/>
        </w:rPr>
        <w:tab/>
        <w:t>Receiving and Monitoring Incoming Waste</w:t>
      </w:r>
    </w:p>
    <w:p w14:paraId="54577EE6"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 - E.</w:t>
      </w:r>
      <w:r w:rsidRPr="006E50FF">
        <w:rPr>
          <w:kern w:val="2"/>
        </w:rPr>
        <w:tab/>
        <w:t>...</w:t>
      </w:r>
    </w:p>
    <w:p w14:paraId="3BAC2D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Unmanifested Waste Reports. Any wastes presented for disposal that are not accompanied by a properly completed manifest shall be rejected. The TSD operator shall note the name of the driver, hauler, and the vehicle identification numbers.</w:t>
      </w:r>
    </w:p>
    <w:p w14:paraId="5751A9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2E444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Environmental Assessment, Environmental Planning Division, LR 26:2472 (November 2000), amended by the Office of the Secretary, Legal Affairs Division, LR 31:2456 (October 2005), LR 33:2104 (October 2007), amended by the Office of the Secretary, Legal Affairs Division, LR 52:</w:t>
      </w:r>
    </w:p>
    <w:p w14:paraId="3A1B13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30.</w:t>
      </w:r>
      <w:r w:rsidRPr="006E50FF">
        <w:rPr>
          <w:b/>
          <w:kern w:val="2"/>
        </w:rPr>
        <w:tab/>
        <w:t>Hazardous Waste Burned in Boilers and Industrial Furnaces</w:t>
      </w:r>
    </w:p>
    <w:p w14:paraId="3BD2B2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§3007.</w:t>
      </w:r>
      <w:r w:rsidRPr="006E50FF">
        <w:rPr>
          <w:b/>
          <w:kern w:val="2"/>
        </w:rPr>
        <w:tab/>
        <w:t>Interim Status Standards for Burners</w:t>
      </w:r>
    </w:p>
    <w:p w14:paraId="1D261A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A.4.d.</w:t>
      </w:r>
      <w:r w:rsidRPr="006E50FF">
        <w:rPr>
          <w:kern w:val="2"/>
        </w:rPr>
        <w:tab/>
        <w:t>...</w:t>
      </w:r>
    </w:p>
    <w:p w14:paraId="59C78E3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LAC 33:V.Chapter 43.Subchapter D (Manifest System, Recordkeeping, and Reporting), except that LAC 33:V.4353 does not apply to owners and operators of on-site facilities that do not receive any hazardous waste from off-site sources;</w:t>
      </w:r>
    </w:p>
    <w:p w14:paraId="57A7813C" w14:textId="77777777" w:rsidR="006E50FF" w:rsidRPr="006E50FF" w:rsidRDefault="006E50FF" w:rsidP="006E50FF">
      <w:pPr>
        <w:tabs>
          <w:tab w:val="left" w:pos="144"/>
          <w:tab w:val="left" w:pos="187"/>
          <w:tab w:val="left" w:pos="540"/>
          <w:tab w:val="left" w:pos="907"/>
          <w:tab w:val="left" w:pos="1170"/>
        </w:tabs>
        <w:ind w:firstLine="187"/>
        <w:jc w:val="both"/>
        <w:outlineLvl w:val="3"/>
        <w:rPr>
          <w:kern w:val="2"/>
        </w:rPr>
      </w:pPr>
      <w:r w:rsidRPr="006E50FF">
        <w:rPr>
          <w:kern w:val="2"/>
        </w:rPr>
        <w:t>A.4.f. - D.</w:t>
      </w:r>
      <w:r w:rsidRPr="006E50FF">
        <w:rPr>
          <w:kern w:val="2"/>
        </w:rPr>
        <w:tab/>
        <w:t>...</w:t>
      </w:r>
    </w:p>
    <w:p w14:paraId="5015CF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Noncompliance with Certification Schedule. If the owner or operator does not comply with the interim status compliance schedule provided by LAC 33:V.3007.B-D, hazardous waste burning shall terminate on the date that the deadline is missed, closure activities must begin under LAC 33:V.3007, and hazardous waste burning may not resume except under an operating permit issued under LAC 33:V.537. For purposes of compliance with the closure provisions of LAC 33:V.3007.L, 4381.B, and 4383, the boiler or industrial furnace has received "the known final volume of hazardous waste" on the date that the deadline is missed.</w:t>
      </w:r>
    </w:p>
    <w:p w14:paraId="6FD5F3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L.</w:t>
      </w:r>
      <w:r w:rsidRPr="006E50FF">
        <w:rPr>
          <w:kern w:val="2"/>
        </w:rPr>
        <w:tab/>
        <w:t>...</w:t>
      </w:r>
    </w:p>
    <w:p w14:paraId="7DF748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29424A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18:1375 (December 1992), amended LR 21:266 (March 1995), LR 22:822 (September 1996), amended </w:t>
      </w:r>
      <w:r w:rsidRPr="006E50FF">
        <w:rPr>
          <w:kern w:val="2"/>
          <w:sz w:val="18"/>
        </w:rPr>
        <w:br w:type="page"/>
      </w:r>
      <w:r w:rsidRPr="006E50FF">
        <w:rPr>
          <w:kern w:val="2"/>
          <w:sz w:val="18"/>
        </w:rPr>
        <w:lastRenderedPageBreak/>
        <w:t>by the Office of Waste Services, Hazardous Waste Division, LR 24:1740 (September 1998), amended by the Office of Environmental Assessment, Environmental Planning Division, LR 26:2483 (November 2000), amended by the Office of the Secretary, Legal Affairs Division, LR 31:2463 (October 2005), LR 33:2114 (October 2007), LR 34:629 (April 2008), LR 34:999 (June 2008), amended by the Office of the Secretary, Legal Affairs Division, LR 52:</w:t>
      </w:r>
    </w:p>
    <w:p w14:paraId="584F770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37.</w:t>
      </w:r>
      <w:r w:rsidRPr="006E50FF">
        <w:rPr>
          <w:b/>
          <w:kern w:val="2"/>
        </w:rPr>
        <w:tab/>
        <w:t>Financial Requirements</w:t>
      </w:r>
    </w:p>
    <w:p w14:paraId="7B964F9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Closure Requirements</w:t>
      </w:r>
    </w:p>
    <w:p w14:paraId="50790E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§3705.</w:t>
      </w:r>
      <w:r w:rsidRPr="006E50FF">
        <w:rPr>
          <w:b/>
          <w:kern w:val="2"/>
        </w:rPr>
        <w:tab/>
        <w:t>Cost Estimate for Closure</w:t>
      </w:r>
    </w:p>
    <w:p w14:paraId="4F2D536F"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 - C.</w:t>
      </w:r>
      <w:r w:rsidRPr="006E50FF">
        <w:rPr>
          <w:kern w:val="2"/>
        </w:rPr>
        <w:tab/>
        <w:t>...</w:t>
      </w:r>
    </w:p>
    <w:p w14:paraId="18E69F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bCs/>
          <w:kern w:val="2"/>
        </w:rPr>
        <w:t>.</w:t>
      </w:r>
      <w:r w:rsidRPr="006E50FF">
        <w:rPr>
          <w:bCs/>
          <w:kern w:val="2"/>
        </w:rPr>
        <w:tab/>
      </w:r>
      <w:r w:rsidRPr="006E50FF">
        <w:rPr>
          <w:kern w:val="2"/>
        </w:rPr>
        <w:t>The owner or operator shall keep, at the facility during the operating life of the facility, the latest closure cost estimate prepared as specified in LAC 33:V.3705.A and C and, when this estimate has been adjusted as specified in LAC 33:V.3705.B, the latest adjusted closure cost estimate. The cost estimate shall be available to the administrative authority by request.</w:t>
      </w:r>
    </w:p>
    <w:p w14:paraId="62817A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C3C66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16:399 (May 1990), LR 17:478 (May 1991), LR 18:723 (July 1992), LR 21:266 (March 1995), amended by the Office of the Secretary, Legal Affairs Division, LR 52:</w:t>
      </w:r>
    </w:p>
    <w:p w14:paraId="5429E1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43.</w:t>
      </w:r>
      <w:bookmarkStart w:id="445" w:name="TOCT_Chap1011"/>
      <w:bookmarkEnd w:id="440"/>
      <w:r w:rsidRPr="006E50FF">
        <w:rPr>
          <w:b/>
          <w:kern w:val="2"/>
        </w:rPr>
        <w:tab/>
        <w:t>Interim Status</w:t>
      </w:r>
      <w:bookmarkEnd w:id="445"/>
    </w:p>
    <w:p w14:paraId="65BC30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§4301.</w:t>
      </w:r>
      <w:r w:rsidRPr="006E50FF">
        <w:rPr>
          <w:b/>
          <w:kern w:val="2"/>
        </w:rPr>
        <w:tab/>
        <w:t>Purpose and Applicability</w:t>
      </w:r>
    </w:p>
    <w:p w14:paraId="7FAD0C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D.8.</w:t>
      </w:r>
      <w:r w:rsidRPr="006E50FF">
        <w:rPr>
          <w:kern w:val="2"/>
        </w:rPr>
        <w:tab/>
        <w:t>…</w:t>
      </w:r>
    </w:p>
    <w:p w14:paraId="2CC44F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owner or operator of an elementary neutralization unit or wastewater treatment unit (as defined in LAC 33:V.109), provided that if the owner or operator is diluting hazardous ignitable (D001) wastes (other than the D001 high TOC subcategory defined in LAC 33:V.2299.Appendix, Table 2, Treatment Standards for Hazardous Wastes) or reactive (D003) waste to remove the characteristic before land disposal, the owner/operator shall comply with the requirements set out in LAC 33:V.4321;</w:t>
      </w:r>
    </w:p>
    <w:p w14:paraId="02356C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 - 11.</w:t>
      </w:r>
      <w:r w:rsidRPr="006E50FF">
        <w:rPr>
          <w:kern w:val="2"/>
        </w:rPr>
        <w:tab/>
        <w:t>…</w:t>
      </w:r>
    </w:p>
    <w:p w14:paraId="5694D5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the addition of absorbent material to waste in a container (as defined in LAC 33:V.109) or the addition of waste to absorbent material in a container, provided that these actions occur at the time waste is first placed in the container and LAC 33:V.4321 and LAC 33:V.Chapter 43, Subchapter H are complied with;</w:t>
      </w:r>
    </w:p>
    <w:p w14:paraId="26D8CC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D.13. - J.</w:t>
      </w:r>
      <w:r w:rsidRPr="006E50FF">
        <w:rPr>
          <w:kern w:val="2"/>
        </w:rPr>
        <w:tab/>
        <w:t>…</w:t>
      </w:r>
    </w:p>
    <w:p w14:paraId="663922C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specifically R.S. 30:2180 et seq.</w:t>
      </w:r>
    </w:p>
    <w:p w14:paraId="38F78E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10:200 (March 1984), amended LR 10:496 (July 1984), LR 13:84 (February 1987), LR 16:220 (March 1990), LR 17:362 (April 1991), LR 18:1256 (November 1992), LR 20:1000 (September 1994), LR 21:266 (March 1995), amended by the Office of Waste Services, Hazardous Waste Division, LR 24:1743 (September 1998), LR 25:482 (March 1999), amended by the Office of Environmental Assessment, Environmental Planning Division, LR 25:1466 (August 1999), LR 26:2498 (November 2000), LR 27:713 (May 2001), amended by the Office of the Secretary, Legal Affairs Division, LR 31:2474 (October 2005), LR 31:3121 (December 2005), LR 32:612 (April 2006), LR 33:2126 (October 2007), LR 34:632 (April 2008), amended by the Office of the Secretary, Legal Division, LR 43:1146 (June 2017), amended by the Office of the Secretary, Legal Affairs and Criminal Investigations </w:t>
      </w:r>
      <w:r w:rsidRPr="006E50FF">
        <w:rPr>
          <w:kern w:val="2"/>
          <w:sz w:val="18"/>
        </w:rPr>
        <w:br w:type="column"/>
      </w:r>
      <w:r w:rsidRPr="006E50FF">
        <w:rPr>
          <w:kern w:val="2"/>
          <w:sz w:val="18"/>
        </w:rPr>
        <w:t>Division, LR 44:42 (January 2018), LR 46:947 (July 2020), amended by the Office of the Secretary, Legal Affairs Division, LR 51:1854 (November 2025), 51:2074 (December 2025), LR 52:</w:t>
      </w:r>
    </w:p>
    <w:p w14:paraId="0C16071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General Facility Standards</w:t>
      </w:r>
    </w:p>
    <w:p w14:paraId="441A3C9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6" w:name="TOC_Sect1721"/>
      <w:r w:rsidRPr="006E50FF">
        <w:rPr>
          <w:b/>
          <w:kern w:val="2"/>
        </w:rPr>
        <w:t>§4313.</w:t>
      </w:r>
      <w:r w:rsidRPr="006E50FF">
        <w:rPr>
          <w:b/>
          <w:kern w:val="2"/>
        </w:rPr>
        <w:tab/>
        <w:t>General Waste Analysis</w:t>
      </w:r>
      <w:bookmarkEnd w:id="446"/>
    </w:p>
    <w:p w14:paraId="3D9455A3"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Interim status facilities shall comply with LAC 33:V.1519.</w:t>
      </w:r>
    </w:p>
    <w:p w14:paraId="7EA618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50E2D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LR 21:266 (March 1995), amended by the Office of Waste Services, Hazardous Waste Division, LR 24:1743 (September 1998), amended by the Office of Environmental Assessment, Environmental Planning Division, LR 27:714 (May 2001), amended by the Office of the Secretary, Legal Affairs Division, LR 52:</w:t>
      </w:r>
    </w:p>
    <w:p w14:paraId="4BEB8A5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7" w:name="TOC_Sect1723"/>
      <w:r w:rsidRPr="006E50FF">
        <w:rPr>
          <w:b/>
          <w:kern w:val="2"/>
        </w:rPr>
        <w:t>§4317.</w:t>
      </w:r>
      <w:r w:rsidRPr="006E50FF">
        <w:rPr>
          <w:b/>
          <w:kern w:val="2"/>
        </w:rPr>
        <w:tab/>
        <w:t>General Inspection Requirements</w:t>
      </w:r>
      <w:bookmarkEnd w:id="447"/>
    </w:p>
    <w:p w14:paraId="26279A2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33:V.1509.</w:t>
      </w:r>
    </w:p>
    <w:p w14:paraId="585297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3860E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Waste Services, Hazardous Waste Division, LR 24:1744 (September 1998), LR 25:484 (March 1999), amended by the Office of the Secretary, Legal Affairs and Criminal Investigations Division, LR 46:947 (July 2020), amended by the Office of the Secretary, Legal Affairs Division, LR 52:</w:t>
      </w:r>
    </w:p>
    <w:p w14:paraId="78E149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8" w:name="TOC_Sect1725"/>
      <w:r w:rsidRPr="006E50FF">
        <w:rPr>
          <w:b/>
          <w:kern w:val="2"/>
        </w:rPr>
        <w:t>§4320.</w:t>
      </w:r>
      <w:r w:rsidRPr="006E50FF">
        <w:rPr>
          <w:b/>
          <w:kern w:val="2"/>
        </w:rPr>
        <w:tab/>
        <w:t>Construction Quality Assurance Program</w:t>
      </w:r>
      <w:bookmarkEnd w:id="448"/>
    </w:p>
    <w:p w14:paraId="75C6924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33:V.1504.</w:t>
      </w:r>
    </w:p>
    <w:p w14:paraId="5DE760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0786C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Environmental Assessment, Environmental Planning Division, LR 26:2499 (November 2000), amended by the Office of the Secretary, Legal Affairs Division, LR 31:2475 (October 2005), LR 33:2126 (October 2007), LR 52:</w:t>
      </w:r>
    </w:p>
    <w:p w14:paraId="76F33C1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9" w:name="TOC_Sect1726"/>
      <w:r w:rsidRPr="006E50FF">
        <w:rPr>
          <w:b/>
          <w:kern w:val="2"/>
        </w:rPr>
        <w:t>§4321.</w:t>
      </w:r>
      <w:r w:rsidRPr="006E50FF">
        <w:rPr>
          <w:b/>
          <w:kern w:val="2"/>
        </w:rPr>
        <w:tab/>
        <w:t>General Requirements for Ignitable, Reactive, or Incompatible Wastes</w:t>
      </w:r>
      <w:bookmarkEnd w:id="449"/>
    </w:p>
    <w:p w14:paraId="6C54C7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Interim status facilities shall comply with LAC 33:V.1517.</w:t>
      </w:r>
    </w:p>
    <w:p w14:paraId="0B6D93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5C39C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3C4AB35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50" w:name="TOC_SubC1041"/>
      <w:r w:rsidRPr="006E50FF">
        <w:rPr>
          <w:b/>
          <w:kern w:val="2"/>
        </w:rPr>
        <w:t>Subchapter C.</w:t>
      </w:r>
      <w:bookmarkStart w:id="451" w:name="TOCT_SubC1041"/>
      <w:bookmarkEnd w:id="450"/>
      <w:r w:rsidRPr="006E50FF">
        <w:rPr>
          <w:b/>
          <w:kern w:val="2"/>
        </w:rPr>
        <w:tab/>
        <w:t>Contingency Plan and Emergency Procedures</w:t>
      </w:r>
      <w:bookmarkEnd w:id="451"/>
    </w:p>
    <w:p w14:paraId="18CF51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2" w:name="TOC_Sect1735"/>
      <w:r w:rsidRPr="006E50FF">
        <w:rPr>
          <w:b/>
          <w:kern w:val="2"/>
        </w:rPr>
        <w:t>§4337.</w:t>
      </w:r>
      <w:r w:rsidRPr="006E50FF">
        <w:rPr>
          <w:b/>
          <w:kern w:val="2"/>
        </w:rPr>
        <w:tab/>
        <w:t>Applicability</w:t>
      </w:r>
      <w:bookmarkEnd w:id="452"/>
    </w:p>
    <w:p w14:paraId="6466F7E8"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The regulations of this Subchapter apply to owners and operators of all hazardous waste facilities except as provided in LAC 33:V.4307. Interim status facilities shall comply with LAC 33:V.1513.A.1, A.3, B, C.2, and D-F.</w:t>
      </w:r>
    </w:p>
    <w:p w14:paraId="5D4178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3BC15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10:200 (March 1984), amended by </w:t>
      </w:r>
      <w:r w:rsidRPr="006E50FF">
        <w:rPr>
          <w:kern w:val="2"/>
          <w:sz w:val="18"/>
        </w:rPr>
        <w:br w:type="page"/>
      </w:r>
      <w:r w:rsidRPr="006E50FF">
        <w:rPr>
          <w:kern w:val="2"/>
          <w:sz w:val="18"/>
        </w:rPr>
        <w:lastRenderedPageBreak/>
        <w:t>the Office of Waste Services, Hazardous Waste Division, LR 24:1109 (June 1998), amended by the Office of the Secretary, Legal Affairs Division, LR 52:</w:t>
      </w:r>
    </w:p>
    <w:p w14:paraId="5196234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kern w:val="2"/>
        </w:rPr>
      </w:pPr>
      <w:bookmarkStart w:id="453" w:name="TOC_Sect1736"/>
      <w:r w:rsidRPr="006E50FF">
        <w:rPr>
          <w:b/>
          <w:kern w:val="2"/>
        </w:rPr>
        <w:t>§4339.</w:t>
      </w:r>
      <w:r w:rsidRPr="006E50FF">
        <w:rPr>
          <w:b/>
          <w:kern w:val="2"/>
        </w:rPr>
        <w:tab/>
      </w:r>
      <w:bookmarkEnd w:id="453"/>
      <w:r w:rsidRPr="006E50FF">
        <w:rPr>
          <w:b/>
          <w:kern w:val="2"/>
        </w:rPr>
        <w:t>Purpose and Implementation of Contingency Plan</w:t>
      </w:r>
      <w:r w:rsidRPr="006E50FF">
        <w:rPr>
          <w:kern w:val="2"/>
        </w:rPr>
        <w:t xml:space="preserve"> </w:t>
      </w:r>
    </w:p>
    <w:p w14:paraId="07D4C6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8CAE0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A25FF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amended by the Office of the Secretary, Legal Affairs Division, LR 33:1626 (August 2007), repealed by the Office of the Secretary, Legal Affairs Division, LR 52:</w:t>
      </w:r>
    </w:p>
    <w:p w14:paraId="4EC42D2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4" w:name="TOC_Sect1737"/>
      <w:r w:rsidRPr="006E50FF">
        <w:rPr>
          <w:b/>
          <w:kern w:val="2"/>
        </w:rPr>
        <w:t>§4341.</w:t>
      </w:r>
      <w:r w:rsidRPr="006E50FF">
        <w:rPr>
          <w:b/>
          <w:kern w:val="2"/>
        </w:rPr>
        <w:tab/>
      </w:r>
      <w:bookmarkEnd w:id="454"/>
      <w:r w:rsidRPr="006E50FF">
        <w:rPr>
          <w:b/>
          <w:kern w:val="2"/>
        </w:rPr>
        <w:t>Content of Contingency Plan</w:t>
      </w:r>
    </w:p>
    <w:p w14:paraId="5704C1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C85FC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B21B8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repealed by the Office of the Secretary, Legal Affairs Division, LR 52:</w:t>
      </w:r>
    </w:p>
    <w:p w14:paraId="07AF4C4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5" w:name="TOC_Sect1738"/>
      <w:r w:rsidRPr="006E50FF">
        <w:rPr>
          <w:b/>
          <w:kern w:val="2"/>
        </w:rPr>
        <w:t>§4343.</w:t>
      </w:r>
      <w:r w:rsidRPr="006E50FF">
        <w:rPr>
          <w:b/>
          <w:kern w:val="2"/>
        </w:rPr>
        <w:tab/>
      </w:r>
      <w:bookmarkEnd w:id="455"/>
      <w:r w:rsidRPr="006E50FF">
        <w:rPr>
          <w:b/>
          <w:kern w:val="2"/>
        </w:rPr>
        <w:t>Copies of Contingency Plan</w:t>
      </w:r>
    </w:p>
    <w:p w14:paraId="6B0E3A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BF674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8D0EE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repealed by the Office of the Secretary, Legal Affairs Division, LR 52:</w:t>
      </w:r>
    </w:p>
    <w:p w14:paraId="626125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6" w:name="TOC_Sect1739"/>
      <w:r w:rsidRPr="006E50FF">
        <w:rPr>
          <w:b/>
          <w:kern w:val="2"/>
        </w:rPr>
        <w:t>§4345.</w:t>
      </w:r>
      <w:r w:rsidRPr="006E50FF">
        <w:rPr>
          <w:b/>
          <w:kern w:val="2"/>
        </w:rPr>
        <w:tab/>
      </w:r>
      <w:bookmarkEnd w:id="456"/>
      <w:r w:rsidRPr="006E50FF">
        <w:rPr>
          <w:b/>
          <w:kern w:val="2"/>
        </w:rPr>
        <w:t>Amendment of Contingency Plan</w:t>
      </w:r>
    </w:p>
    <w:p w14:paraId="43E9C5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Repealed.</w:t>
      </w:r>
    </w:p>
    <w:p w14:paraId="7A4D52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3701C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7EFDB57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7" w:name="TOC_Sect1740"/>
      <w:r w:rsidRPr="006E50FF">
        <w:rPr>
          <w:b/>
          <w:kern w:val="2"/>
        </w:rPr>
        <w:t>§4347.</w:t>
      </w:r>
      <w:r w:rsidRPr="006E50FF">
        <w:rPr>
          <w:b/>
          <w:kern w:val="2"/>
        </w:rPr>
        <w:tab/>
      </w:r>
      <w:bookmarkEnd w:id="457"/>
      <w:r w:rsidRPr="006E50FF">
        <w:rPr>
          <w:b/>
          <w:kern w:val="2"/>
        </w:rPr>
        <w:t>Emergency Coordinator</w:t>
      </w:r>
    </w:p>
    <w:p w14:paraId="662681B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Repealed.</w:t>
      </w:r>
    </w:p>
    <w:p w14:paraId="6E4B6F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F0ACE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3CA2BA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8" w:name="TOC_Sect1741"/>
      <w:r w:rsidRPr="006E50FF">
        <w:rPr>
          <w:b/>
          <w:kern w:val="2"/>
        </w:rPr>
        <w:t>§4349.</w:t>
      </w:r>
      <w:r w:rsidRPr="006E50FF">
        <w:rPr>
          <w:b/>
          <w:kern w:val="2"/>
        </w:rPr>
        <w:tab/>
      </w:r>
      <w:bookmarkEnd w:id="458"/>
      <w:r w:rsidRPr="006E50FF">
        <w:rPr>
          <w:b/>
          <w:kern w:val="2"/>
        </w:rPr>
        <w:t>Emergency Procedures</w:t>
      </w:r>
    </w:p>
    <w:p w14:paraId="49E84A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Repealed.</w:t>
      </w:r>
    </w:p>
    <w:p w14:paraId="6F8912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A314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2365678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59" w:name="TOC_SubC1043"/>
      <w:r w:rsidRPr="006E50FF">
        <w:rPr>
          <w:b/>
          <w:kern w:val="2"/>
        </w:rPr>
        <w:t>Subchapter D.</w:t>
      </w:r>
      <w:bookmarkStart w:id="460" w:name="TOCT_SubC1043"/>
      <w:bookmarkEnd w:id="459"/>
      <w:r w:rsidRPr="006E50FF">
        <w:rPr>
          <w:b/>
          <w:kern w:val="2"/>
        </w:rPr>
        <w:tab/>
        <w:t>Manifest System, Recordkeeping, and Reporting</w:t>
      </w:r>
      <w:bookmarkEnd w:id="460"/>
    </w:p>
    <w:p w14:paraId="0441E4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1" w:name="TOC_Sect1742"/>
      <w:r w:rsidRPr="006E50FF">
        <w:rPr>
          <w:b/>
          <w:kern w:val="2"/>
        </w:rPr>
        <w:t>§4351.</w:t>
      </w:r>
      <w:r w:rsidRPr="006E50FF">
        <w:rPr>
          <w:b/>
          <w:kern w:val="2"/>
        </w:rPr>
        <w:tab/>
        <w:t>Applicability</w:t>
      </w:r>
      <w:bookmarkEnd w:id="461"/>
    </w:p>
    <w:p w14:paraId="6EEB24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regulations in this Subchapter apply to owners and operators of both on-site and off-site facilities, except as LAC 33:V.4307 provides otherwise. LAC 33:V.4351.C and 4363 do not apply to owners and operators of on-site facilities that do not receive any hazardous waste from off-site sources, nor to owners and operators of off-site facilities with respect to military munitions waste.</w:t>
      </w:r>
    </w:p>
    <w:p w14:paraId="4DF5BC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revised manifest form and procedures in 40 CFR 260.10, 261.7, 265.70, 265.71, 265.72, and 265.76 shall be effective as of September 5, 2006. The manifest form and procedures in the July 1, 2004, CFR shall be applicable until September 5, 2006.</w:t>
      </w:r>
    </w:p>
    <w:p w14:paraId="67485B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Interim status facilities shall comply with LAC 33:V.1516.B-D.</w:t>
      </w:r>
    </w:p>
    <w:p w14:paraId="5DEF34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CAAFD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Waste Services, Hazardous Waste Division, LR 24:1109 (June 1998), amended by the Office of the Secretary, Legal Affairs Division, LR 32:830 (May 2006), LR 52:</w:t>
      </w:r>
    </w:p>
    <w:p w14:paraId="06C7451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2" w:name="TOC_Sect1743"/>
      <w:r w:rsidRPr="006E50FF">
        <w:rPr>
          <w:b/>
          <w:kern w:val="2"/>
        </w:rPr>
        <w:t>§4353.</w:t>
      </w:r>
      <w:r w:rsidRPr="006E50FF">
        <w:rPr>
          <w:b/>
          <w:kern w:val="2"/>
        </w:rPr>
        <w:tab/>
      </w:r>
      <w:bookmarkEnd w:id="462"/>
      <w:r w:rsidRPr="006E50FF">
        <w:rPr>
          <w:b/>
          <w:kern w:val="2"/>
        </w:rPr>
        <w:t>Use of the Manifest System</w:t>
      </w:r>
    </w:p>
    <w:p w14:paraId="25B318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2D194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D4435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17:367 (April 1991), amended by the Office of the Secretary, Legal Affairs Division, LR 32:831 (May 2006), repealed by the Office of the Secretary, Legal Affairs Division, LR 52:</w:t>
      </w:r>
    </w:p>
    <w:p w14:paraId="5CB739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3" w:name="TOC_Sect1744"/>
      <w:r w:rsidRPr="006E50FF">
        <w:rPr>
          <w:b/>
          <w:kern w:val="2"/>
        </w:rPr>
        <w:t>§4355.</w:t>
      </w:r>
      <w:r w:rsidRPr="006E50FF">
        <w:rPr>
          <w:b/>
          <w:kern w:val="2"/>
        </w:rPr>
        <w:tab/>
      </w:r>
      <w:bookmarkEnd w:id="463"/>
      <w:r w:rsidRPr="006E50FF">
        <w:rPr>
          <w:b/>
          <w:kern w:val="2"/>
        </w:rPr>
        <w:t>Manifest Discrepancies</w:t>
      </w:r>
    </w:p>
    <w:p w14:paraId="7C2DC538"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02F3E7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211C5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17:367 (April 1991), amended by the Office of the Secretary, Legal Affairs Division, LR 32:831 (May 2006), repealed by the Office of the Secretary, Legal Affairs Division, LR 52:</w:t>
      </w:r>
    </w:p>
    <w:p w14:paraId="5EC701C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4" w:name="TOC_Sect1745"/>
      <w:r w:rsidRPr="006E50FF">
        <w:rPr>
          <w:b/>
          <w:kern w:val="2"/>
        </w:rPr>
        <w:t>§4356.</w:t>
      </w:r>
      <w:r w:rsidRPr="006E50FF">
        <w:rPr>
          <w:b/>
          <w:kern w:val="2"/>
        </w:rPr>
        <w:tab/>
      </w:r>
      <w:bookmarkEnd w:id="464"/>
      <w:r w:rsidRPr="006E50FF">
        <w:rPr>
          <w:b/>
        </w:rPr>
        <w:t>Unmanifested Waste Report</w:t>
      </w:r>
    </w:p>
    <w:p w14:paraId="139D293C"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0F439D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00840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32:831 (May 2006), repealed by the Office of the Secretary, Legal Affairs Division, LR 52:</w:t>
      </w:r>
    </w:p>
    <w:p w14:paraId="479294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5" w:name="TOC_Sect1746"/>
      <w:r w:rsidRPr="006E50FF">
        <w:rPr>
          <w:b/>
          <w:kern w:val="2"/>
        </w:rPr>
        <w:t>§4357.</w:t>
      </w:r>
      <w:r w:rsidRPr="006E50FF">
        <w:rPr>
          <w:b/>
          <w:kern w:val="2"/>
        </w:rPr>
        <w:tab/>
        <w:t>Operating Record</w:t>
      </w:r>
      <w:bookmarkEnd w:id="465"/>
    </w:p>
    <w:p w14:paraId="5D672F3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33:V.1529.</w:t>
      </w:r>
    </w:p>
    <w:p w14:paraId="5A8C48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2CF9E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15:378 (May 1989), LR 16:220 (March 1990), LR 17:658 (July 1991), LR 18:723 (July 1992), LR 20:1000 (September 1994), LR 21:266 (March 1995), LR 22:837 (September 1996), amended by the Office of Waste Services, Hazardous Waste Division, LR 24:1744 (September 1998), LR 25:484 (March 1999), amended by the Office of Environmental Assessment, Environmental Planning Division, LR 25:1803 (October 1999), amended by the Office of the Secretary, Legal Affairs Division, LR 33:1626 (August 2007), LR 34:633 (April 2008), LR 34:1018 (June 2008), LR 34:1899 (September 2008), LR 52:</w:t>
      </w:r>
    </w:p>
    <w:p w14:paraId="01FEA4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6" w:name="TOC_Sect1747"/>
      <w:r w:rsidRPr="006E50FF">
        <w:rPr>
          <w:b/>
          <w:kern w:val="2"/>
        </w:rPr>
        <w:t>§4359.</w:t>
      </w:r>
      <w:r w:rsidRPr="006E50FF">
        <w:rPr>
          <w:b/>
          <w:kern w:val="2"/>
        </w:rPr>
        <w:tab/>
      </w:r>
      <w:bookmarkEnd w:id="466"/>
      <w:r w:rsidRPr="006E50FF">
        <w:rPr>
          <w:b/>
          <w:kern w:val="2"/>
        </w:rPr>
        <w:t>Availability, Retention, and Disposition of Records</w:t>
      </w:r>
    </w:p>
    <w:p w14:paraId="20FAA776"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4AF71A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4B63B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5E119C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7" w:name="TOC_Sect1748"/>
      <w:r w:rsidRPr="006E50FF">
        <w:rPr>
          <w:b/>
          <w:kern w:val="2"/>
        </w:rPr>
        <w:t>§4361.</w:t>
      </w:r>
      <w:r w:rsidRPr="006E50FF">
        <w:rPr>
          <w:b/>
          <w:kern w:val="2"/>
        </w:rPr>
        <w:tab/>
      </w:r>
      <w:bookmarkEnd w:id="467"/>
      <w:r w:rsidRPr="006E50FF">
        <w:rPr>
          <w:b/>
          <w:kern w:val="2"/>
        </w:rPr>
        <w:t>Annual Report</w:t>
      </w:r>
    </w:p>
    <w:p w14:paraId="64AC1DA0"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39F97D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34729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4C162C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8" w:name="TOC_Sect1750"/>
      <w:r w:rsidRPr="006E50FF">
        <w:rPr>
          <w:b/>
          <w:kern w:val="2"/>
        </w:rPr>
        <w:t>§4365.</w:t>
      </w:r>
      <w:r w:rsidRPr="006E50FF">
        <w:rPr>
          <w:b/>
          <w:kern w:val="2"/>
        </w:rPr>
        <w:tab/>
        <w:t>Additional Reports</w:t>
      </w:r>
      <w:bookmarkEnd w:id="468"/>
    </w:p>
    <w:p w14:paraId="09BD0BD2"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In addition to submitting the biennial report and unmanifested waste reports described in LAC 33:V.4357 and 4363, the owner or operator shall also report to the administrative authority:</w:t>
      </w:r>
    </w:p>
    <w:p w14:paraId="347B2D63" w14:textId="77777777" w:rsidR="006E50FF" w:rsidRPr="006E50FF" w:rsidRDefault="006E50FF" w:rsidP="006E50FF">
      <w:pPr>
        <w:tabs>
          <w:tab w:val="left" w:pos="720"/>
          <w:tab w:val="left" w:pos="979"/>
          <w:tab w:val="left" w:pos="1152"/>
        </w:tabs>
        <w:ind w:firstLine="360"/>
        <w:jc w:val="both"/>
        <w:outlineLvl w:val="4"/>
        <w:rPr>
          <w:bCs/>
          <w:kern w:val="2"/>
        </w:rPr>
      </w:pPr>
      <w:r w:rsidRPr="006E50FF">
        <w:rPr>
          <w:kern w:val="2"/>
        </w:rPr>
        <w:t>1. - 4.</w:t>
      </w:r>
      <w:r w:rsidRPr="006E50FF">
        <w:rPr>
          <w:kern w:val="2"/>
        </w:rPr>
        <w:tab/>
        <w:t>…</w:t>
      </w:r>
    </w:p>
    <w:p w14:paraId="74890E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8F84E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17:658 (July 1991), amended by the Office of Waste Services, Hazardous Waste Division, LR 24:1744 (September 1998), amended by the Office of the Secretary, Legal Affairs Division, LR 34:1002 (June 2008), LR 52:</w:t>
      </w:r>
    </w:p>
    <w:p w14:paraId="78F9288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69" w:name="TOC_SubC1054"/>
      <w:r w:rsidRPr="006E50FF">
        <w:rPr>
          <w:b/>
          <w:kern w:val="2"/>
        </w:rPr>
        <w:t>Subchapter F.</w:t>
      </w:r>
      <w:bookmarkStart w:id="470" w:name="TOCT_SubC1054"/>
      <w:bookmarkEnd w:id="469"/>
      <w:r w:rsidRPr="006E50FF">
        <w:rPr>
          <w:b/>
          <w:kern w:val="2"/>
        </w:rPr>
        <w:tab/>
        <w:t>Closure and Post-Closure</w:t>
      </w:r>
      <w:bookmarkEnd w:id="470"/>
    </w:p>
    <w:p w14:paraId="099486A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1" w:name="TOC_Sect1758"/>
      <w:r w:rsidRPr="006E50FF">
        <w:rPr>
          <w:b/>
          <w:kern w:val="2"/>
        </w:rPr>
        <w:t>§4381.</w:t>
      </w:r>
      <w:r w:rsidRPr="006E50FF">
        <w:rPr>
          <w:b/>
          <w:kern w:val="2"/>
        </w:rPr>
        <w:tab/>
        <w:t>Closure Plan; Amendment of Plan</w:t>
      </w:r>
      <w:bookmarkEnd w:id="471"/>
    </w:p>
    <w:p w14:paraId="21FDA2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A497A89"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33:V.3511.B-E.</w:t>
      </w:r>
    </w:p>
    <w:p w14:paraId="0FEEA3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10615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16:614 (July 1990), LR 17:362 (April 1991), LR 17:478 (May 1991), LR 18:723 (July 1992), LR 18:1375 (December 1992), LR 21:266 (March 1995), amended by the Office of Waste Services, Hazardous Waste Division, LR 25:485 (March 1999), amended by the Office of Environmental Assessment, Environmental Planning Division, LR 26:2500 (November 2000), amended by the Office of the Secretary, Legal Affairs Division, LR 31:2475 (October 2005), LR 33:2127 (October 2007), LR 34:633 (April 2008), LR 52:</w:t>
      </w:r>
    </w:p>
    <w:p w14:paraId="716139C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2" w:name="TOC_Sect1759"/>
      <w:r w:rsidRPr="006E50FF">
        <w:rPr>
          <w:b/>
          <w:kern w:val="2"/>
        </w:rPr>
        <w:t>§4383.</w:t>
      </w:r>
      <w:r w:rsidRPr="006E50FF">
        <w:rPr>
          <w:b/>
          <w:kern w:val="2"/>
        </w:rPr>
        <w:tab/>
        <w:t>Closure; Time Allowed for Closure</w:t>
      </w:r>
      <w:bookmarkEnd w:id="472"/>
    </w:p>
    <w:p w14:paraId="39F1924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33:V.3513.</w:t>
      </w:r>
    </w:p>
    <w:p w14:paraId="0384AC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3D09E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14:791 (November 1988), LR 17:478 (May 1991), LR 18:1375 (December 1992), LR 20:1000 (September 1994), LR 21:266 (March 1995), amended by the Office of Environmental Assessment, Environmental Planning Division, LR 26:2500 (November 2000), amended by the Office of the Secretary, Legal Affairs Division, LR 33:2127 (October 2007), LR 52</w:t>
      </w:r>
    </w:p>
    <w:p w14:paraId="455185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3" w:name="TOC_Sect1760"/>
      <w:r w:rsidRPr="006E50FF">
        <w:rPr>
          <w:b/>
          <w:kern w:val="2"/>
        </w:rPr>
        <w:t>§4385.</w:t>
      </w:r>
      <w:r w:rsidRPr="006E50FF">
        <w:rPr>
          <w:b/>
          <w:kern w:val="2"/>
        </w:rPr>
        <w:tab/>
        <w:t>Disposal or Decontamination of Equipment, Structures, and Soils</w:t>
      </w:r>
      <w:bookmarkEnd w:id="473"/>
    </w:p>
    <w:p w14:paraId="6370201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33:V.3515.</w:t>
      </w:r>
    </w:p>
    <w:p w14:paraId="5F8AEF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0143F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16:614 (July 1990), amended by the Office of the Secretary, LR 24:2248 (December 1998), amended by the Office of the Secretary, Legal Affairs and Criminal Investigations Division, LR 46:947 (July 2020), LR 52:</w:t>
      </w:r>
    </w:p>
    <w:p w14:paraId="53E522D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4" w:name="TOC_Sect1761"/>
      <w:r w:rsidRPr="006E50FF">
        <w:rPr>
          <w:b/>
          <w:kern w:val="2"/>
        </w:rPr>
        <w:t>§4387.</w:t>
      </w:r>
      <w:r w:rsidRPr="006E50FF">
        <w:rPr>
          <w:b/>
          <w:kern w:val="2"/>
        </w:rPr>
        <w:tab/>
        <w:t>Certification of Closure</w:t>
      </w:r>
      <w:bookmarkEnd w:id="474"/>
    </w:p>
    <w:p w14:paraId="18757CE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33:V.3517.</w:t>
      </w:r>
    </w:p>
    <w:p w14:paraId="6E4651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AA378A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amended by the Office of Environmental Assessment, Environmental Planning Division, LR 26:2501 (November 2000), amended by the Office of the Secretary, Legal Affairs Division, LR 31:2475 (October 2005), LR 33:2128 (October 2007), LR 34:1003 (June 2008), LR 52:</w:t>
      </w:r>
    </w:p>
    <w:p w14:paraId="0C59009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5" w:name="TOC_Sect1762"/>
      <w:r w:rsidRPr="006E50FF">
        <w:rPr>
          <w:b/>
          <w:kern w:val="2"/>
        </w:rPr>
        <w:t>§4389.</w:t>
      </w:r>
      <w:r w:rsidRPr="006E50FF">
        <w:rPr>
          <w:b/>
          <w:kern w:val="2"/>
        </w:rPr>
        <w:tab/>
        <w:t>Post-Closure Care and Use of Property</w:t>
      </w:r>
      <w:bookmarkEnd w:id="475"/>
    </w:p>
    <w:p w14:paraId="4D77FA0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33:V.3521.</w:t>
      </w:r>
    </w:p>
    <w:p w14:paraId="0EC04E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28C16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18:723 (July 1992), amended by the Office of the Secretary, LR 24:2248 (December 1998), amended by the Office of the Secretary, Legal Affairs Division, LR 52:</w:t>
      </w:r>
    </w:p>
    <w:p w14:paraId="5342C4E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6" w:name="TOC_Sect1763"/>
      <w:r w:rsidRPr="006E50FF">
        <w:rPr>
          <w:b/>
          <w:kern w:val="2"/>
        </w:rPr>
        <w:t>§4391.</w:t>
      </w:r>
      <w:r w:rsidRPr="006E50FF">
        <w:rPr>
          <w:b/>
          <w:kern w:val="2"/>
        </w:rPr>
        <w:tab/>
        <w:t>Post-Closure Plan; Amendment of Plan</w:t>
      </w:r>
      <w:bookmarkEnd w:id="476"/>
    </w:p>
    <w:p w14:paraId="43899B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11D9C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Until final closure of the facility, a copy of the most current post-closure plan shall be furnished to the administrative authority upon request, including request by mail. In addition, for facilities without approved post-closure plan, it shall also be provided during site inspections, on the day of inspection, to any officer, employee or representative of the agency who is duly designated by the administrative authority. After final closure has been certified, the person or office specified in LAC 33:V.4381.B shall keep the approved post-closure plan during the post-closure period.</w:t>
      </w:r>
    </w:p>
    <w:p w14:paraId="380752B9"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C.</w:t>
      </w:r>
      <w:r w:rsidRPr="006E50FF">
        <w:rPr>
          <w:kern w:val="2"/>
        </w:rPr>
        <w:tab/>
        <w:t>Interim status facilities shall comply with LAC 33:V.3523.B.</w:t>
      </w:r>
    </w:p>
    <w:p w14:paraId="0BFD5B7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D.</w:t>
      </w:r>
      <w:r w:rsidRPr="006E50FF">
        <w:rPr>
          <w:kern w:val="2"/>
        </w:rPr>
        <w:tab/>
        <w:t>Amendment of Plan. Interim status facilities shall comply with LAC 33:V.3523.D.</w:t>
      </w:r>
    </w:p>
    <w:p w14:paraId="11AB09C0" w14:textId="77777777" w:rsidR="006E50FF" w:rsidRPr="006E50FF" w:rsidRDefault="006E50FF" w:rsidP="006E50FF">
      <w:pPr>
        <w:tabs>
          <w:tab w:val="left" w:pos="144"/>
          <w:tab w:val="left" w:pos="187"/>
          <w:tab w:val="left" w:pos="540"/>
          <w:tab w:val="left" w:pos="990"/>
          <w:tab w:val="left" w:pos="1260"/>
        </w:tabs>
        <w:ind w:firstLine="187"/>
        <w:jc w:val="both"/>
        <w:outlineLvl w:val="3"/>
        <w:rPr>
          <w:kern w:val="2"/>
        </w:rPr>
      </w:pPr>
      <w:r w:rsidRPr="006E50FF">
        <w:rPr>
          <w:kern w:val="2"/>
        </w:rPr>
        <w:t>E. - G.2.b.</w:t>
      </w:r>
      <w:r w:rsidRPr="006E50FF">
        <w:rPr>
          <w:kern w:val="2"/>
        </w:rPr>
        <w:tab/>
        <w:t>…</w:t>
      </w:r>
    </w:p>
    <w:p w14:paraId="69A1C7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E72D89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14:791 (November 1988), LR 16:614 (July 1990), LR 18:723 (July 1992), amended by the Office of Waste Services, Hazardous Waste Division, LR 25:485 (March 1999), amended by the Office of Environmental Assessment, Environmental Planning Division, LR 26:2501 (November 2000), amended by the Office of the Secretary, Legal Affairs Division, LR 31:2476 (October 2005), LR 33:2128 (October 2007), LR 52:</w:t>
      </w:r>
    </w:p>
    <w:p w14:paraId="16EB6EC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7" w:name="TOC_Sect1764"/>
      <w:r w:rsidRPr="006E50FF">
        <w:rPr>
          <w:b/>
          <w:kern w:val="2"/>
        </w:rPr>
        <w:t>§4393.</w:t>
      </w:r>
      <w:r w:rsidRPr="006E50FF">
        <w:rPr>
          <w:b/>
          <w:kern w:val="2"/>
        </w:rPr>
        <w:tab/>
        <w:t>Post-Closure Notices</w:t>
      </w:r>
      <w:bookmarkEnd w:id="477"/>
    </w:p>
    <w:p w14:paraId="61046C3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33:V.3525.</w:t>
      </w:r>
    </w:p>
    <w:p w14:paraId="01B8D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BB327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Solid and Hazardous Waste, Hazardous Waste Division, LR 10:200 (March 1984), amended LR 10:496 (July 1984), LR 13:433 (August 1987), LR 18:723 (July 1992), amended by the Office of Environmental Assessment, Environmental Planning Division, LR 26:2502 (November 2000), amended by the Office of the Secretary, Legal Affairs Division, LR 31:2476 (October 2005), LR 33:2129 (October 2007), LR 52:</w:t>
      </w:r>
    </w:p>
    <w:p w14:paraId="130A2FA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8" w:name="TOC_Sect1765"/>
      <w:r w:rsidRPr="006E50FF">
        <w:rPr>
          <w:b/>
          <w:kern w:val="2"/>
        </w:rPr>
        <w:t>§4395.</w:t>
      </w:r>
      <w:r w:rsidRPr="006E50FF">
        <w:rPr>
          <w:b/>
          <w:kern w:val="2"/>
        </w:rPr>
        <w:tab/>
        <w:t>Certification of Completion of Post-Closure Care</w:t>
      </w:r>
      <w:bookmarkEnd w:id="478"/>
    </w:p>
    <w:p w14:paraId="08D1E34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33:V.3525.</w:t>
      </w:r>
    </w:p>
    <w:p w14:paraId="770989B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3F5FB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amended by the Office of Environmental Assessment, Environmental Planning Division, LR 26:2502 (November 2000), amended by the Office of the Secretary, Legal Affairs Division, LR 31:2477 (October 2005), LR 33:2129 (October 2007), LR 34:1003 (June 2008), LR 52:</w:t>
      </w:r>
    </w:p>
    <w:p w14:paraId="4EB15C7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79" w:name="TOC_SubC1074"/>
      <w:r w:rsidRPr="006E50FF">
        <w:rPr>
          <w:b/>
          <w:kern w:val="2"/>
        </w:rPr>
        <w:t>Subchapter G.</w:t>
      </w:r>
      <w:bookmarkStart w:id="480" w:name="TOCT_SubC1074"/>
      <w:bookmarkEnd w:id="479"/>
      <w:r w:rsidRPr="006E50FF">
        <w:rPr>
          <w:b/>
          <w:kern w:val="2"/>
        </w:rPr>
        <w:tab/>
        <w:t>Financial Requirements</w:t>
      </w:r>
      <w:bookmarkEnd w:id="480"/>
    </w:p>
    <w:p w14:paraId="053606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1" w:name="TOC_Sect1767"/>
      <w:r w:rsidRPr="006E50FF">
        <w:rPr>
          <w:b/>
          <w:kern w:val="2"/>
        </w:rPr>
        <w:t>§4397.</w:t>
      </w:r>
      <w:r w:rsidRPr="006E50FF">
        <w:rPr>
          <w:b/>
          <w:kern w:val="2"/>
        </w:rPr>
        <w:tab/>
        <w:t>Applicability</w:t>
      </w:r>
      <w:bookmarkEnd w:id="481"/>
    </w:p>
    <w:p w14:paraId="049B5D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7557EC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33:V.3701.B.-D.</w:t>
      </w:r>
    </w:p>
    <w:p w14:paraId="05EE3F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00471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13:651 (November 1987), LR 21:266 (March 1995), amended by the Office of Waste Services, Hazardous Waste Division, LR 24:1109 (June 1998), LR 25:486 (March 1999), amended by the Office of the Secretary, Legal Affairs Division, LR 34:73 (January 2008), LR 52:</w:t>
      </w:r>
    </w:p>
    <w:p w14:paraId="65899F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2" w:name="TOC_Sect1768"/>
      <w:r w:rsidRPr="006E50FF">
        <w:rPr>
          <w:b/>
          <w:kern w:val="2"/>
        </w:rPr>
        <w:t>§4399.</w:t>
      </w:r>
      <w:r w:rsidRPr="006E50FF">
        <w:rPr>
          <w:b/>
          <w:kern w:val="2"/>
        </w:rPr>
        <w:tab/>
        <w:t>Definitions of Terms as Used in This Subpart</w:t>
      </w:r>
      <w:bookmarkEnd w:id="482"/>
    </w:p>
    <w:p w14:paraId="6BCB71D8"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33:V.3703.</w:t>
      </w:r>
    </w:p>
    <w:p w14:paraId="76DB49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specifically R.S. 30:2180 et seq.</w:t>
      </w:r>
    </w:p>
    <w:p w14:paraId="559FB2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16:219 (March 1990), LR 18:723 (July 1992), amended by the Office of the Secretary, Legal Division, LR 43:1148 (June 2017), LR 52:</w:t>
      </w:r>
    </w:p>
    <w:p w14:paraId="6A8454B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§4401.</w:t>
      </w:r>
      <w:r w:rsidRPr="006E50FF">
        <w:rPr>
          <w:b/>
          <w:kern w:val="2"/>
        </w:rPr>
        <w:tab/>
        <w:t>Cost Estimate for Closure</w:t>
      </w:r>
    </w:p>
    <w:p w14:paraId="71B3234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33:V.3705.</w:t>
      </w:r>
    </w:p>
    <w:p w14:paraId="005C83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3EED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17:478 (May 1991), LR 18:723 (July 1992), LR 21:266 (March 1995), amended by the Office of the Secretary, Legal Affairs Division, LR 34:634 (April 2008), LR 52:</w:t>
      </w:r>
    </w:p>
    <w:p w14:paraId="212BFFC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3" w:name="TOC_Sect1769"/>
      <w:r w:rsidRPr="006E50FF">
        <w:rPr>
          <w:b/>
          <w:kern w:val="2"/>
        </w:rPr>
        <w:t>§4403.</w:t>
      </w:r>
      <w:r w:rsidRPr="006E50FF">
        <w:rPr>
          <w:b/>
          <w:kern w:val="2"/>
        </w:rPr>
        <w:tab/>
        <w:t>Financial Assurance for Closure</w:t>
      </w:r>
      <w:bookmarkEnd w:id="483"/>
    </w:p>
    <w:p w14:paraId="2FFF8C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By the effective date of these regulations an owner or operator of each facility shall establish financial assurance for closure of the facility.</w:t>
      </w:r>
    </w:p>
    <w:p w14:paraId="79CDEC3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33:V.3707.A., B., D., E., F., G., H., and I.</w:t>
      </w:r>
    </w:p>
    <w:p w14:paraId="6BECA3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05B49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14:791 (November 1988), LR 16:219 (March 1990), LR 18:723 (July 1992), amended by the Office of Waste Services, Hazardous Waste Division, LR 23:1520 (November 1997), amended by the Office of Environmental Assessment, Environmental Planning Division, LR 26:2502 (November 2000), amended by the Office of the Secretary, Legal Affairs Division, LR 31:2477 (October 2005), LR 33:2129 (October 2007), LR 34:1003 (June 2008), LR 52:</w:t>
      </w:r>
    </w:p>
    <w:p w14:paraId="7929DA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4" w:name="TOC_Sect1770"/>
      <w:r w:rsidRPr="006E50FF">
        <w:rPr>
          <w:b/>
          <w:kern w:val="2"/>
        </w:rPr>
        <w:t>§4405.</w:t>
      </w:r>
      <w:r w:rsidRPr="006E50FF">
        <w:rPr>
          <w:b/>
          <w:kern w:val="2"/>
        </w:rPr>
        <w:tab/>
        <w:t>Cost Estimate for Post-Closure Care</w:t>
      </w:r>
      <w:bookmarkEnd w:id="484"/>
    </w:p>
    <w:p w14:paraId="55C20BD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33:V.3709.</w:t>
      </w:r>
    </w:p>
    <w:p w14:paraId="104C6C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EE1C1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18:723 (July 1992), amended by the Office of the Secretary, Legal Affairs Division, LR 52:</w:t>
      </w:r>
    </w:p>
    <w:p w14:paraId="15D659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5" w:name="TOC_Sect1771"/>
      <w:r w:rsidRPr="006E50FF">
        <w:rPr>
          <w:b/>
          <w:kern w:val="2"/>
        </w:rPr>
        <w:t>§4407.</w:t>
      </w:r>
      <w:r w:rsidRPr="006E50FF">
        <w:rPr>
          <w:b/>
          <w:kern w:val="2"/>
        </w:rPr>
        <w:tab/>
        <w:t>Financial Assurance for Post-Closure Care</w:t>
      </w:r>
      <w:bookmarkEnd w:id="485"/>
    </w:p>
    <w:p w14:paraId="5B2902A5"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An owner or operator of each hazardous waste disposal unit shall establish financial assurance for post-closure care of the facility.</w:t>
      </w:r>
    </w:p>
    <w:p w14:paraId="4F575D37"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33:V.3711.A, B, D, E, F, G, H, and I.</w:t>
      </w:r>
    </w:p>
    <w:p w14:paraId="659FE8A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2AE7C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18:723 (July 1992), amended by the Office of Waste Services, Hazardous Waste Division, LR 23:1521 (November 1997), amended by the Office of Environmental Assessment, Environmental Planning Division, LR 26:2504 (November 2000), amended by the Office of the Secretary, Legal Affairs Division, LR 31:2479 (October 2005), LR 33:2131 (October 2007), LR 34:1003 (June 2008), amended by the Office of the Secretary, Legal Division, LR 43:1148 (June 2017), amended by the Office of the Secretary, Legal Affairs Division, LR 52:</w:t>
      </w:r>
    </w:p>
    <w:p w14:paraId="3AE68A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6" w:name="TOC_Sect1772"/>
      <w:r w:rsidRPr="006E50FF">
        <w:rPr>
          <w:b/>
          <w:kern w:val="2"/>
        </w:rPr>
        <w:t>§4409.</w:t>
      </w:r>
      <w:r w:rsidRPr="006E50FF">
        <w:rPr>
          <w:b/>
          <w:kern w:val="2"/>
        </w:rPr>
        <w:tab/>
        <w:t>Use of a Mechanism for Financial Assurance of Both Closure and Post-Closure Care</w:t>
      </w:r>
      <w:bookmarkEnd w:id="486"/>
    </w:p>
    <w:p w14:paraId="395394F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33:V.3713.</w:t>
      </w:r>
    </w:p>
    <w:p w14:paraId="5687AD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E26C0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1FB76CF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7" w:name="TOC_Sect1773"/>
      <w:r w:rsidRPr="006E50FF">
        <w:rPr>
          <w:b/>
          <w:kern w:val="2"/>
        </w:rPr>
        <w:t>§4411.</w:t>
      </w:r>
      <w:r w:rsidRPr="006E50FF">
        <w:rPr>
          <w:b/>
          <w:kern w:val="2"/>
        </w:rPr>
        <w:tab/>
        <w:t>Liability Requirements</w:t>
      </w:r>
      <w:bookmarkEnd w:id="487"/>
    </w:p>
    <w:p w14:paraId="5ADC598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33:V.3715.</w:t>
      </w:r>
    </w:p>
    <w:p w14:paraId="526499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58A92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16:399 (May 1990), LR 18:723 (July 1992), repromulgated LR 19:627 (May 1993), amended by the Office of Waste Services, Hazardous Waste Division, LR 23:1521 (November 1997), amended by the Office of Environmental Assessment, Environmental Planning Division, LR 26:2506 (November 2000), amended by the Office of the Secretary, Legal Affairs Division, LR 31:2481 (October 2005), LR 33:2133 (October 2007), LR 34:1004 (June 2008), LR 52:</w:t>
      </w:r>
    </w:p>
    <w:p w14:paraId="7C5D589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8" w:name="TOC_Sect1774"/>
      <w:r w:rsidRPr="006E50FF">
        <w:rPr>
          <w:b/>
          <w:kern w:val="2"/>
        </w:rPr>
        <w:lastRenderedPageBreak/>
        <w:t>§4413.</w:t>
      </w:r>
      <w:r w:rsidRPr="006E50FF">
        <w:rPr>
          <w:b/>
          <w:kern w:val="2"/>
        </w:rPr>
        <w:tab/>
        <w:t>Incapacity of Owners or Operators, Guarantors, or Financial Institutions</w:t>
      </w:r>
      <w:bookmarkEnd w:id="488"/>
    </w:p>
    <w:p w14:paraId="241D622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33:V.3717.</w:t>
      </w:r>
    </w:p>
    <w:p w14:paraId="164BCB1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4BADF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Environmental Assessment, Environmental Planning Division, LR 26:2507 (November 2000), amended by the Office of the Secretary, Legal Affairs Division, LR 31:2482 (October 2005), LR 33:2134 (October 2007), LR 52:</w:t>
      </w:r>
    </w:p>
    <w:p w14:paraId="400C3B0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89" w:name="TOC_SubC1079"/>
      <w:r w:rsidRPr="006E50FF">
        <w:rPr>
          <w:b/>
          <w:kern w:val="2"/>
        </w:rPr>
        <w:t>Subchapter I.</w:t>
      </w:r>
      <w:bookmarkEnd w:id="489"/>
      <w:r w:rsidRPr="006E50FF">
        <w:rPr>
          <w:b/>
          <w:kern w:val="2"/>
        </w:rPr>
        <w:tab/>
        <w:t>Tanks</w:t>
      </w:r>
    </w:p>
    <w:p w14:paraId="30409F9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0" w:name="TOC_Sect1784"/>
      <w:r w:rsidRPr="006E50FF">
        <w:rPr>
          <w:b/>
          <w:kern w:val="2"/>
        </w:rPr>
        <w:t>§4433.</w:t>
      </w:r>
      <w:r w:rsidRPr="006E50FF">
        <w:rPr>
          <w:b/>
          <w:kern w:val="2"/>
        </w:rPr>
        <w:tab/>
        <w:t>Assessment of Existing Tank System's Integrity</w:t>
      </w:r>
      <w:bookmarkEnd w:id="490"/>
    </w:p>
    <w:p w14:paraId="3A37DC05"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33:V.1903.</w:t>
      </w:r>
    </w:p>
    <w:p w14:paraId="0C0076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8BE6A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18:723 (July 1992), amended by the Office of the Secretary, Legal Affairs Division, LR 34:1004 (June 2008), LR 52:</w:t>
      </w:r>
    </w:p>
    <w:p w14:paraId="0C0C7C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1" w:name="TOC_Sect1785"/>
      <w:r w:rsidRPr="006E50FF">
        <w:rPr>
          <w:b/>
          <w:kern w:val="2"/>
        </w:rPr>
        <w:t>§4435.</w:t>
      </w:r>
      <w:r w:rsidRPr="006E50FF">
        <w:rPr>
          <w:b/>
          <w:kern w:val="2"/>
        </w:rPr>
        <w:tab/>
        <w:t>Design and Installation of New Tank Systems or Components</w:t>
      </w:r>
      <w:bookmarkEnd w:id="491"/>
    </w:p>
    <w:p w14:paraId="5611EDB4"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33:V.1905.</w:t>
      </w:r>
    </w:p>
    <w:p w14:paraId="08D908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918B5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18:723 (July 1992), amended by the Office of the Secretary, Legal Affairs Division, LR 34:1004 (June 2008), LR 52:</w:t>
      </w:r>
    </w:p>
    <w:p w14:paraId="13E475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2" w:name="TOC_Sect1786"/>
      <w:r w:rsidRPr="006E50FF">
        <w:rPr>
          <w:b/>
          <w:kern w:val="2"/>
        </w:rPr>
        <w:t>§4437.</w:t>
      </w:r>
      <w:r w:rsidRPr="006E50FF">
        <w:rPr>
          <w:b/>
          <w:kern w:val="2"/>
        </w:rPr>
        <w:tab/>
        <w:t>Containment and Detection of Releases</w:t>
      </w:r>
      <w:bookmarkEnd w:id="492"/>
    </w:p>
    <w:p w14:paraId="3E7D7C2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33:V.1907, except Subsection K.</w:t>
      </w:r>
    </w:p>
    <w:p w14:paraId="6F11DD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procedures shall be followed in order to request a variance from secondary containment.</w:t>
      </w:r>
    </w:p>
    <w:p w14:paraId="1B5D34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administrative authority will inform the public, through a newspaper notice, of the availability of the demonstration for a variance. The notice shall be placed in a daily or weekly major local newspaper of general circulation and shall provide at least 30 days from the date of the notice for the public to review and comment on the demonstration for a variance. The administrative authority also will hold a public hearing, in response to a request or at his own discretion, whenever such a hearing might clarify one or more issues concerning the demonstration for a variance. Public notice of the hearing will be given at least 30 days prior to the date of the hearing and may be given at the same time as notice of the opportunity for the public to review and comment on the demonstration. These two notices may be combined.</w:t>
      </w:r>
    </w:p>
    <w:p w14:paraId="61C043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administrative authority will approve or disapprove the request for a variance within 90 days of receipt of the demonstration from the owner or operator and will notify in writing the owner or operator and each person who submitted written comments or requested notice of the variance decision. If the demonstration for a variance is incomplete or does not include sufficient information, the 90-day time period will begin when the administrative authority </w:t>
      </w:r>
      <w:r w:rsidRPr="006E50FF">
        <w:rPr>
          <w:kern w:val="2"/>
        </w:rPr>
        <w:t>receives a complete demonstration, including all information necessary to make a final determination. If the public comment period in Paragraph H.4 of this Section is extended, the 90-day time period will be similarly extended.</w:t>
      </w:r>
    </w:p>
    <w:p w14:paraId="27EECA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All tank systems, until such time as secondary containment meeting the requirements of this Section is provided, shall comply with the following.</w:t>
      </w:r>
    </w:p>
    <w:p w14:paraId="0ED6DE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non-enterable underground tanks, a leak test that meets the requirements of LAC 33:V.4433 shall be conducted at least annually.</w:t>
      </w:r>
    </w:p>
    <w:p w14:paraId="641376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For other than non-enterable underground tanks and for all ancillary equipment, an annual leak test, as described in Paragraph I.1 of this Section, or an internal inspection or other tank integrity examination by an independent, qualified professional engineer that addresses cracks, leaks, corrosion, and erosion shall be conducted at least annually. The owner or operator shall remove the stored waste from the tank, if necessary, to allow the condition of all internal tank surfaces to be assessed.</w:t>
      </w:r>
    </w:p>
    <w:p w14:paraId="59BF35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owner or operator shall maintain on file at the facility a record of the results of the assessments conducted in accordance with Paragraphs I.1-2 of this Section.</w:t>
      </w:r>
    </w:p>
    <w:p w14:paraId="176358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 tank system or component is found to be leaking or unfit-for-use as a result of the leak test or assessment in Paragraphs I.1-2 of this Section, the owner or operator shall comply with the requirements of LAC 33:V.4441.</w:t>
      </w:r>
    </w:p>
    <w:p w14:paraId="594F3D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FEE63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14:790 (November 1988), LR 16:614 (July 1990), LR 18:723 (July 1992), amended by the Office of Environmental Assessment, Environmental Planning Division, LR 26:2507 (November 2000), amended by the Office of the Secretary, Legal Affairs Division, LR 31:2482 (October 2005), LR 33:2134 (October 2007), LR 34:1004 (June 2008), LR 34:1899 (September 2008), LR 36:1238 (June 2010), repromulgated LR 36:1539 (July 2010), amended by the Office of the Secretary, Legal Affairs Division, LR 52:</w:t>
      </w:r>
    </w:p>
    <w:p w14:paraId="07633A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3" w:name="TOC_Sect1787"/>
      <w:r w:rsidRPr="006E50FF">
        <w:rPr>
          <w:b/>
          <w:kern w:val="2"/>
        </w:rPr>
        <w:t>§4439.</w:t>
      </w:r>
      <w:r w:rsidRPr="006E50FF">
        <w:rPr>
          <w:b/>
          <w:kern w:val="2"/>
        </w:rPr>
        <w:tab/>
        <w:t>General Operating Requirements</w:t>
      </w:r>
      <w:bookmarkEnd w:id="493"/>
    </w:p>
    <w:p w14:paraId="04D3205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33:V.1909.A, B, and C.</w:t>
      </w:r>
    </w:p>
    <w:p w14:paraId="328D66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5A1363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amended by the Office of the Secretary, Legal Affairs Division, LR 34:634 (April 2008), LR 52:</w:t>
      </w:r>
    </w:p>
    <w:p w14:paraId="44AA3C1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4" w:name="TOC_Sect1788"/>
      <w:r w:rsidRPr="006E50FF">
        <w:rPr>
          <w:b/>
          <w:kern w:val="2"/>
        </w:rPr>
        <w:t>§4440.</w:t>
      </w:r>
      <w:r w:rsidRPr="006E50FF">
        <w:rPr>
          <w:b/>
          <w:kern w:val="2"/>
        </w:rPr>
        <w:tab/>
        <w:t>Inspections</w:t>
      </w:r>
      <w:bookmarkEnd w:id="494"/>
    </w:p>
    <w:p w14:paraId="51D02348"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33:V.1911.</w:t>
      </w:r>
    </w:p>
    <w:p w14:paraId="38E674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C17AD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18:723 (July 1992), amended by the Office of the Secretary, Legal Affairs Division, LR 34:1005 (June 2008), LR 52:</w:t>
      </w:r>
    </w:p>
    <w:p w14:paraId="337922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5" w:name="TOC_Sect1789"/>
      <w:r w:rsidRPr="006E50FF">
        <w:rPr>
          <w:b/>
          <w:kern w:val="2"/>
        </w:rPr>
        <w:t>§4441.</w:t>
      </w:r>
      <w:r w:rsidRPr="006E50FF">
        <w:rPr>
          <w:b/>
          <w:kern w:val="2"/>
        </w:rPr>
        <w:tab/>
        <w:t>Response to Leaks or Spills and Disposition of Leaking or Unfit-for-Use Tank Systems</w:t>
      </w:r>
      <w:bookmarkEnd w:id="495"/>
    </w:p>
    <w:p w14:paraId="4930B0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tank system or secondary containment system from which there has been a leak or spill, or which is unfit for use, </w:t>
      </w:r>
      <w:r w:rsidRPr="006E50FF">
        <w:rPr>
          <w:kern w:val="2"/>
        </w:rPr>
        <w:lastRenderedPageBreak/>
        <w:t>shall be removed from service immediately, and the owner or operator shall satisfy the following requirements.</w:t>
      </w:r>
    </w:p>
    <w:p w14:paraId="6BE1C17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33:V.1913.</w:t>
      </w:r>
    </w:p>
    <w:p w14:paraId="4EC71B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78990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16:614 (July 1990), LR 18:723 (July 1992), amended by the Office of the Secretary, Legal Affairs Division, LR 34:1006 (June 2008), LR 52:</w:t>
      </w:r>
    </w:p>
    <w:p w14:paraId="036DE5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6" w:name="TOC_Sect1794"/>
      <w:r w:rsidRPr="006E50FF">
        <w:rPr>
          <w:b/>
          <w:kern w:val="2"/>
        </w:rPr>
        <w:t>§4446.</w:t>
      </w:r>
      <w:r w:rsidRPr="006E50FF">
        <w:rPr>
          <w:b/>
          <w:kern w:val="2"/>
        </w:rPr>
        <w:tab/>
        <w:t>Air Emission Standards</w:t>
      </w:r>
      <w:bookmarkEnd w:id="496"/>
    </w:p>
    <w:p w14:paraId="2A1675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owner or operator shall manage all hazardous waste placed in a tank in accordance with the applicable requirements of LAC 33:V.Chapter 17.</w:t>
      </w:r>
    </w:p>
    <w:p w14:paraId="3AA072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853C2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24:1745 (September 1998), amended by the Office of the Secretary, Legal Affairs Division, LR 52:</w:t>
      </w:r>
    </w:p>
    <w:p w14:paraId="0068EDF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97" w:name="TOC_SubC1088"/>
      <w:r w:rsidRPr="006E50FF">
        <w:rPr>
          <w:b/>
          <w:kern w:val="2"/>
        </w:rPr>
        <w:t>Subchapter J.</w:t>
      </w:r>
      <w:bookmarkStart w:id="498" w:name="TOCT_SubC1088"/>
      <w:bookmarkEnd w:id="497"/>
      <w:r w:rsidRPr="006E50FF">
        <w:rPr>
          <w:b/>
          <w:kern w:val="2"/>
        </w:rPr>
        <w:tab/>
        <w:t>Surface Impoundments</w:t>
      </w:r>
      <w:bookmarkEnd w:id="498"/>
    </w:p>
    <w:p w14:paraId="547CD7B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9" w:name="TOC_Sect1796"/>
      <w:r w:rsidRPr="006E50FF">
        <w:rPr>
          <w:b/>
          <w:kern w:val="2"/>
        </w:rPr>
        <w:t>§4449.</w:t>
      </w:r>
      <w:r w:rsidRPr="006E50FF">
        <w:rPr>
          <w:b/>
          <w:kern w:val="2"/>
        </w:rPr>
        <w:tab/>
        <w:t>Action Leakage Rate</w:t>
      </w:r>
      <w:bookmarkEnd w:id="499"/>
    </w:p>
    <w:p w14:paraId="546D7F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owner or operator of surface impoundment units subject to LAC 33:V.4462.A shall submit a proposed action leakage rate to the Office of Environmental Services when submitting the notice required under LAC 33:V.4462.B.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or the extended 90-day review periods, the action leakage rate will be approved as proposed by the owner or operator.</w:t>
      </w:r>
    </w:p>
    <w:p w14:paraId="07CB987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33:V.2904.</w:t>
      </w:r>
    </w:p>
    <w:p w14:paraId="28A3BB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C5A54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Environmental Assessment, Environmental Planning Division, LR 26:2508 (November 2000), amended by the Office of the Secretary, Legal Affairs Division, LR 31:2482 (October 2005), LR 33:2134 (October 2007), LR 52:</w:t>
      </w:r>
    </w:p>
    <w:p w14:paraId="206423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0" w:name="TOC_Sect1797"/>
      <w:r w:rsidRPr="006E50FF">
        <w:rPr>
          <w:b/>
          <w:kern w:val="2"/>
        </w:rPr>
        <w:t>§4452.</w:t>
      </w:r>
      <w:r w:rsidRPr="006E50FF">
        <w:rPr>
          <w:b/>
          <w:kern w:val="2"/>
        </w:rPr>
        <w:tab/>
      </w:r>
      <w:bookmarkEnd w:id="500"/>
      <w:r w:rsidRPr="006E50FF">
        <w:rPr>
          <w:b/>
          <w:kern w:val="2"/>
        </w:rPr>
        <w:t>Response Actions</w:t>
      </w:r>
    </w:p>
    <w:p w14:paraId="3CA8F417"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33:V.2906.</w:t>
      </w:r>
    </w:p>
    <w:p w14:paraId="38A8E5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283F1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Environmental Assessment, Environmental Planning Division, LR 26:2508 (November 2000), amended by the Office of the Secretary, Legal Affairs Division, LR 31:2483 (October 2005), LR 33:2135 (October 2007), LR 34:1006 (June 2008), LR 52:</w:t>
      </w:r>
    </w:p>
    <w:p w14:paraId="5AE08F5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1" w:name="TOC_Sect1802"/>
      <w:r w:rsidRPr="006E50FF">
        <w:rPr>
          <w:b/>
          <w:kern w:val="2"/>
        </w:rPr>
        <w:t>§4453.</w:t>
      </w:r>
      <w:r w:rsidRPr="006E50FF">
        <w:rPr>
          <w:b/>
          <w:kern w:val="2"/>
        </w:rPr>
        <w:tab/>
        <w:t>Waste Analysis and Trial Tests</w:t>
      </w:r>
    </w:p>
    <w:p w14:paraId="73E770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w:t>
      </w:r>
      <w:r w:rsidRPr="006E50FF">
        <w:rPr>
          <w:kern w:val="2"/>
        </w:rPr>
        <w:tab/>
        <w:t>...</w:t>
      </w:r>
    </w:p>
    <w:p w14:paraId="10CF95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obtain written, documented information on similar treatment of similar waste under similar operating conditions; to show that this treatment will comply with LAC 33:V.4321.</w:t>
      </w:r>
    </w:p>
    <w:p w14:paraId="069CB7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530C7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amended by the Office of the Secretary, Legal Affairs Division, LR 52:</w:t>
      </w:r>
    </w:p>
    <w:p w14:paraId="7B686B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§4459.</w:t>
      </w:r>
      <w:r w:rsidRPr="006E50FF">
        <w:rPr>
          <w:b/>
          <w:kern w:val="2"/>
        </w:rPr>
        <w:tab/>
        <w:t>Special Requirements for Ignitable or Reactive Waste</w:t>
      </w:r>
      <w:bookmarkEnd w:id="501"/>
    </w:p>
    <w:p w14:paraId="6FE53D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Ignitable or reactive waste shall not be placed in a surface impoundment, unless the waste and impoundment satisfy all applicable requirements of LAC 33:V.Chapter 22 and:</w:t>
      </w:r>
    </w:p>
    <w:p w14:paraId="488747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waste is treated, rendered, or mixed before or immediately after placement in the impoundment so that the resulting waste, mixture, or dissolution of material no longer meets the characteristics of ignitable or reactive waste under LAC 33:V.4903.B and D, and 4321 is complied with; or</w:t>
      </w:r>
    </w:p>
    <w:p w14:paraId="08BBF1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surface impoundment is used solely for emergencies.</w:t>
      </w:r>
    </w:p>
    <w:p w14:paraId="2D2F19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2EC44B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amended by the Office of the Secretary, Legal Affairs Division, LR 34:1900 (September 2008), LR 52:</w:t>
      </w:r>
    </w:p>
    <w:p w14:paraId="3D153B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2" w:name="TOC_Sect1803"/>
      <w:r w:rsidRPr="006E50FF">
        <w:rPr>
          <w:b/>
          <w:kern w:val="2"/>
        </w:rPr>
        <w:t>§4461.</w:t>
      </w:r>
      <w:r w:rsidRPr="006E50FF">
        <w:rPr>
          <w:b/>
          <w:kern w:val="2"/>
        </w:rPr>
        <w:tab/>
        <w:t>Special Requirements for Incompatible Wastes</w:t>
      </w:r>
      <w:bookmarkEnd w:id="502"/>
    </w:p>
    <w:p w14:paraId="7295DD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Incompatible wastes or incompatible wastes and materials shall not be placed in the same surface impoundment, unless LAC 33:V.1517.B is complied with.</w:t>
      </w:r>
    </w:p>
    <w:p w14:paraId="7A4F2B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A3AE7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18:723 (July 1992), amended by the Office of the Secretary, Legal Affairs Division, LR 52:</w:t>
      </w:r>
    </w:p>
    <w:p w14:paraId="50DA99A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03" w:name="TOC_Sect1810"/>
      <w:r w:rsidRPr="006E50FF">
        <w:rPr>
          <w:b/>
          <w:kern w:val="2"/>
        </w:rPr>
        <w:t>Subchapter K.</w:t>
      </w:r>
      <w:r w:rsidRPr="006E50FF">
        <w:rPr>
          <w:b/>
          <w:kern w:val="2"/>
        </w:rPr>
        <w:tab/>
        <w:t>Waste Piles</w:t>
      </w:r>
    </w:p>
    <w:p w14:paraId="6D4680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§4471.</w:t>
      </w:r>
      <w:r w:rsidRPr="006E50FF">
        <w:rPr>
          <w:b/>
          <w:kern w:val="2"/>
        </w:rPr>
        <w:tab/>
        <w:t>Special Requirements for Ignitable or Reactive Waste</w:t>
      </w:r>
      <w:bookmarkEnd w:id="503"/>
    </w:p>
    <w:p w14:paraId="44C160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Ignitable or reactive wastes shall not be placed in a pile unless the waste and pile satisfy all applicable requirements of LAC 33:V.Chapter 22, and:</w:t>
      </w:r>
    </w:p>
    <w:p w14:paraId="49AD66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addition of the waste to an existing pile results in the waste or mixture no longer meeting the definition of ignitable or reactive waste under LAC 33:V.109 and complies with LAC 33:V.4321; or</w:t>
      </w:r>
    </w:p>
    <w:p w14:paraId="1C37D9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waste is managed in such a way that it is protected from any material or conditions which may cause it to ignite or react.</w:t>
      </w:r>
    </w:p>
    <w:p w14:paraId="25AE24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4AF40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amended by the Office of the Secretary, Legal Affairs Division, LR 52:</w:t>
      </w:r>
    </w:p>
    <w:p w14:paraId="7237DFF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4" w:name="TOC_Sect1811"/>
      <w:r w:rsidRPr="006E50FF">
        <w:rPr>
          <w:b/>
          <w:kern w:val="2"/>
        </w:rPr>
        <w:t>§4472.</w:t>
      </w:r>
      <w:r w:rsidRPr="006E50FF">
        <w:rPr>
          <w:b/>
          <w:kern w:val="2"/>
        </w:rPr>
        <w:tab/>
        <w:t>Response Actions</w:t>
      </w:r>
      <w:bookmarkEnd w:id="504"/>
    </w:p>
    <w:p w14:paraId="649748D6"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33:V.2306.</w:t>
      </w:r>
    </w:p>
    <w:p w14:paraId="1AD238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DD7CC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w:t>
      </w:r>
      <w:r w:rsidRPr="006E50FF">
        <w:rPr>
          <w:kern w:val="2"/>
          <w:sz w:val="18"/>
        </w:rPr>
        <w:lastRenderedPageBreak/>
        <w:t>Hazardous Waste Division, LR 21:266 (March 1995), amended by the Office of Environmental Assessment, Environmental Planning Division, LR 26:2508 (November 2000), amended by the Office of the Secretary, Legal Affairs Division, LR 31:2483 (October 2005), LR 33:2135 (October 2007), LR 34:1006 (June 2008), LR 52:</w:t>
      </w:r>
    </w:p>
    <w:p w14:paraId="2AD317A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5" w:name="TOC_Sect1813"/>
      <w:r w:rsidRPr="006E50FF">
        <w:rPr>
          <w:b/>
          <w:kern w:val="2"/>
        </w:rPr>
        <w:t>§4474.</w:t>
      </w:r>
      <w:r w:rsidRPr="006E50FF">
        <w:rPr>
          <w:b/>
          <w:kern w:val="2"/>
        </w:rPr>
        <w:tab/>
        <w:t>Action Leakage Rates</w:t>
      </w:r>
      <w:bookmarkEnd w:id="505"/>
    </w:p>
    <w:p w14:paraId="7F3E6A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owner or operator of waste pile units subject to LAC 33:V.4476 shall submit a proposed action leakage rate to the Office of Environmental Services when submitting the notice required under LAC 33:V.4476.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or the extended 90-day review periods, the action leakage rate will be approved as proposed by the owner or operator.</w:t>
      </w:r>
    </w:p>
    <w:p w14:paraId="1878855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33:V.2304.</w:t>
      </w:r>
    </w:p>
    <w:p w14:paraId="62A123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AE02E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Environmental Assessment, Environmental Planning Division, LR 26:2508 (November 2000), amended by the Office of the Secretary, Legal Affairs Division, LR 31:2483 (October 2005), LR 33:2135 (October 2007), LR 52:</w:t>
      </w:r>
    </w:p>
    <w:p w14:paraId="655C376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06" w:name="TOC_SubC1101"/>
      <w:r w:rsidRPr="006E50FF">
        <w:rPr>
          <w:b/>
          <w:kern w:val="2"/>
        </w:rPr>
        <w:t>Subchapter L.</w:t>
      </w:r>
      <w:bookmarkStart w:id="507" w:name="TOCT_SubC1101"/>
      <w:bookmarkEnd w:id="506"/>
      <w:r w:rsidRPr="006E50FF">
        <w:rPr>
          <w:b/>
          <w:kern w:val="2"/>
        </w:rPr>
        <w:tab/>
        <w:t>Land Treatment</w:t>
      </w:r>
      <w:bookmarkEnd w:id="507"/>
    </w:p>
    <w:p w14:paraId="1DC5590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8" w:name="TOC_Sect1817"/>
      <w:r w:rsidRPr="006E50FF">
        <w:rPr>
          <w:b/>
          <w:kern w:val="2"/>
        </w:rPr>
        <w:t>§4479.</w:t>
      </w:r>
      <w:r w:rsidRPr="006E50FF">
        <w:rPr>
          <w:b/>
          <w:kern w:val="2"/>
        </w:rPr>
        <w:tab/>
        <w:t>General Operating Requirements</w:t>
      </w:r>
      <w:bookmarkEnd w:id="508"/>
    </w:p>
    <w:p w14:paraId="36F65F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Hazardous waste shall not be placed in or on a land treatment facility unless the waste can be made less hazardous or non-hazardous by biological degradation or chemical reactions occurring in or on the soil.</w:t>
      </w:r>
    </w:p>
    <w:p w14:paraId="24BE77E8"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33:V.2703.C.-F.</w:t>
      </w:r>
    </w:p>
    <w:p w14:paraId="3A0AB4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7B7CB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18:723 (July 1992), amended by the Office of the Secretary, Legal Affairs Division, LR 52:</w:t>
      </w:r>
    </w:p>
    <w:p w14:paraId="70FF3AC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9" w:name="TOC_Sect1819"/>
      <w:r w:rsidRPr="006E50FF">
        <w:rPr>
          <w:b/>
          <w:kern w:val="2"/>
        </w:rPr>
        <w:t>§4483.</w:t>
      </w:r>
      <w:r w:rsidRPr="006E50FF">
        <w:rPr>
          <w:b/>
          <w:kern w:val="2"/>
        </w:rPr>
        <w:tab/>
        <w:t>Food-Chain Crops</w:t>
      </w:r>
      <w:bookmarkEnd w:id="509"/>
    </w:p>
    <w:p w14:paraId="0A7F2DD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33:V.2709.</w:t>
      </w:r>
    </w:p>
    <w:p w14:paraId="4C0ECF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F356A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6F3B745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0" w:name="TOC_Sect1826"/>
      <w:r w:rsidRPr="006E50FF">
        <w:rPr>
          <w:b/>
          <w:kern w:val="2"/>
        </w:rPr>
        <w:t xml:space="preserve">Subchapter M. </w:t>
      </w:r>
      <w:r w:rsidRPr="006E50FF">
        <w:rPr>
          <w:b/>
          <w:kern w:val="2"/>
        </w:rPr>
        <w:tab/>
        <w:t>Landfills</w:t>
      </w:r>
    </w:p>
    <w:p w14:paraId="56EC321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§4497.</w:t>
      </w:r>
      <w:r w:rsidRPr="006E50FF">
        <w:rPr>
          <w:b/>
          <w:kern w:val="2"/>
        </w:rPr>
        <w:tab/>
        <w:t>Action Leakage Rate</w:t>
      </w:r>
      <w:bookmarkEnd w:id="510"/>
    </w:p>
    <w:p w14:paraId="3E4B2E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owner or operator of landfill units subject to LAC 33:V.4512.A shall submit a proposed action leakage rate to the administrative authority when submitting the notice required under LAC 33:V.4512.B.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w:t>
      </w:r>
      <w:r w:rsidRPr="006E50FF">
        <w:rPr>
          <w:kern w:val="2"/>
        </w:rPr>
        <w:t>or the extended 90-day review periods, the action leakage rate will be approved as proposed by the owner or operator.</w:t>
      </w:r>
    </w:p>
    <w:p w14:paraId="654A2F6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33:V.2504.</w:t>
      </w:r>
    </w:p>
    <w:p w14:paraId="6A0AA2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519ED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the Secretary, Legal Affairs Division, LR 34:634 (April 2008), LR 52:</w:t>
      </w:r>
    </w:p>
    <w:p w14:paraId="3EC429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1" w:name="TOC_Sect1827"/>
      <w:r w:rsidRPr="006E50FF">
        <w:rPr>
          <w:b/>
          <w:kern w:val="2"/>
        </w:rPr>
        <w:t>§4498.</w:t>
      </w:r>
      <w:r w:rsidRPr="006E50FF">
        <w:rPr>
          <w:b/>
          <w:kern w:val="2"/>
        </w:rPr>
        <w:tab/>
        <w:t>Response Actions</w:t>
      </w:r>
      <w:bookmarkEnd w:id="511"/>
    </w:p>
    <w:p w14:paraId="068B8CF4"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33:V.2508.</w:t>
      </w:r>
    </w:p>
    <w:p w14:paraId="32AB2F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C4656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the Secretary, Legal Affairs Division, LR 34:1007 (June 2008), LR 52:</w:t>
      </w:r>
    </w:p>
    <w:p w14:paraId="61654C1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2" w:name="TOC_Sect1831"/>
      <w:r w:rsidRPr="006E50FF">
        <w:rPr>
          <w:b/>
          <w:kern w:val="2"/>
        </w:rPr>
        <w:t>§4503.</w:t>
      </w:r>
      <w:r w:rsidRPr="006E50FF">
        <w:rPr>
          <w:b/>
          <w:kern w:val="2"/>
        </w:rPr>
        <w:tab/>
        <w:t>Special Requirements for Ignitable or Reactive Waste</w:t>
      </w:r>
      <w:bookmarkEnd w:id="512"/>
    </w:p>
    <w:p w14:paraId="062635A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33:V.2511.</w:t>
      </w:r>
    </w:p>
    <w:p w14:paraId="02E418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38673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LR 18:723 (July 1992), LR 20:1000 (September 1994), amended by the Office of the Secretary, Legal Affairs Division, LR 52:</w:t>
      </w:r>
    </w:p>
    <w:p w14:paraId="580CFA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3" w:name="TOC_Sect1832"/>
      <w:r w:rsidRPr="006E50FF">
        <w:rPr>
          <w:b/>
          <w:kern w:val="2"/>
        </w:rPr>
        <w:t>§4505.</w:t>
      </w:r>
      <w:r w:rsidRPr="006E50FF">
        <w:rPr>
          <w:b/>
          <w:kern w:val="2"/>
        </w:rPr>
        <w:tab/>
        <w:t>Special Requirements for Incompatible Wastes</w:t>
      </w:r>
      <w:bookmarkEnd w:id="513"/>
    </w:p>
    <w:p w14:paraId="0501CC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Incompatible wastes, or incompatible wastes and materials, shall not be placed in the same landfill cell, unless LAC 33:V.1517.B is complied with.</w:t>
      </w:r>
    </w:p>
    <w:p w14:paraId="3110C5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B6B9F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1ADAC7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4" w:name="TOC_Sect1833"/>
      <w:r w:rsidRPr="006E50FF">
        <w:rPr>
          <w:b/>
          <w:kern w:val="2"/>
        </w:rPr>
        <w:t>§4507.</w:t>
      </w:r>
      <w:r w:rsidRPr="006E50FF">
        <w:rPr>
          <w:b/>
          <w:kern w:val="2"/>
        </w:rPr>
        <w:tab/>
        <w:t>Special Requirements for Liquid Waste</w:t>
      </w:r>
      <w:bookmarkEnd w:id="514"/>
    </w:p>
    <w:p w14:paraId="5631119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33:V.2515.</w:t>
      </w:r>
    </w:p>
    <w:p w14:paraId="337BC3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E0F12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LR 21:266 (March 1995), LR 22:829 (September 1996), amended by the Office of Waste Services, Hazardous Waste Division, LR 24:686 (April 1998), amended by the Office of the Secretary, Legal Affairs Division, LR 34:634 (April 2008), LR 34:1007 (June 2008), LR 52:</w:t>
      </w:r>
    </w:p>
    <w:p w14:paraId="1353F05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5" w:name="TOC_Sect1835"/>
      <w:r w:rsidRPr="006E50FF">
        <w:rPr>
          <w:b/>
          <w:kern w:val="2"/>
        </w:rPr>
        <w:t>§4511.</w:t>
      </w:r>
      <w:r w:rsidRPr="006E50FF">
        <w:rPr>
          <w:b/>
          <w:kern w:val="2"/>
        </w:rPr>
        <w:tab/>
        <w:t>Disposal of Small Containers of Hazardous Waste in Overpacked Drums (Lab Packs)</w:t>
      </w:r>
      <w:bookmarkEnd w:id="515"/>
    </w:p>
    <w:p w14:paraId="163839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5F1CD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sorbent material used shall not be capable of reacting dangerously with, being decomposed by, or being ignited by the contents of the inside containers in accordance with LAC 33:V.4321.</w:t>
      </w:r>
    </w:p>
    <w:p w14:paraId="2858A0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- 6.</w:t>
      </w:r>
      <w:r w:rsidRPr="006E50FF">
        <w:rPr>
          <w:kern w:val="2"/>
        </w:rPr>
        <w:tab/>
        <w:t>…</w:t>
      </w:r>
    </w:p>
    <w:p w14:paraId="6B11F2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A9560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Solid and Hazardous Waste, Hazardous Waste Division, LR 10:200 (March 1984), amended LR 16:1057 (December 1990), LR 18:723 (July 1992), LR 21:266 (March 1995), amended by the Office of Waste Services, Hazardous Waste Division, LR 24:1745 (September 1998), amended by the Office of the Secretary, Legal Affairs Division, LR 38:779 (March 2012), LR 52:</w:t>
      </w:r>
    </w:p>
    <w:p w14:paraId="3F90E0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6" w:name="TOC_Sect1841"/>
      <w:r w:rsidRPr="006E50FF">
        <w:rPr>
          <w:b/>
          <w:kern w:val="2"/>
        </w:rPr>
        <w:t>Subchapter N.</w:t>
      </w:r>
      <w:r w:rsidRPr="006E50FF">
        <w:rPr>
          <w:b/>
          <w:kern w:val="2"/>
        </w:rPr>
        <w:tab/>
        <w:t>Incinerators</w:t>
      </w:r>
    </w:p>
    <w:p w14:paraId="34073B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§4521.</w:t>
      </w:r>
      <w:r w:rsidRPr="006E50FF">
        <w:rPr>
          <w:b/>
          <w:kern w:val="2"/>
        </w:rPr>
        <w:tab/>
        <w:t>Closure</w:t>
      </w:r>
      <w:bookmarkEnd w:id="516"/>
    </w:p>
    <w:p w14:paraId="148D750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33:V.3121.</w:t>
      </w:r>
    </w:p>
    <w:p w14:paraId="11D01D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1551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64DF469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7" w:name="TOC_Sect1855"/>
      <w:r w:rsidRPr="006E50FF">
        <w:rPr>
          <w:b/>
          <w:kern w:val="2"/>
        </w:rPr>
        <w:t>Subchapter P.</w:t>
      </w:r>
      <w:r w:rsidRPr="006E50FF">
        <w:rPr>
          <w:b/>
          <w:kern w:val="2"/>
        </w:rPr>
        <w:tab/>
        <w:t>Chemical, Physical, and Biological Treatment</w:t>
      </w:r>
    </w:p>
    <w:p w14:paraId="64A3AE4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§4545.</w:t>
      </w:r>
      <w:r w:rsidRPr="006E50FF">
        <w:rPr>
          <w:b/>
          <w:kern w:val="2"/>
        </w:rPr>
        <w:tab/>
        <w:t>Special Requirements for Ignitable or Reactive Waste</w:t>
      </w:r>
      <w:bookmarkEnd w:id="517"/>
    </w:p>
    <w:p w14:paraId="7660AB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59507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waste is treated, rendered, or mixed before or immediately after placement in the treatment process or equipment so that the resulting waste, mixture, or dissolution of material no longer meets the characteristics of ignitable or reactive waste under LAC 33:V.4903.B and D, and 4321 is complied with; or</w:t>
      </w:r>
    </w:p>
    <w:p w14:paraId="715D78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t>
      </w:r>
    </w:p>
    <w:p w14:paraId="29F792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9AE88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34:1900 (September 2008), LR 52:</w:t>
      </w:r>
    </w:p>
    <w:p w14:paraId="57BB831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8" w:name="TOC_SubC1129"/>
      <w:r w:rsidRPr="006E50FF">
        <w:rPr>
          <w:b/>
          <w:kern w:val="2"/>
        </w:rPr>
        <w:t>Subchapter Q.</w:t>
      </w:r>
      <w:bookmarkStart w:id="519" w:name="TOCT_SubC1129"/>
      <w:bookmarkEnd w:id="518"/>
      <w:r w:rsidRPr="006E50FF">
        <w:rPr>
          <w:b/>
          <w:kern w:val="2"/>
        </w:rPr>
        <w:tab/>
        <w:t>Air Emission Standards for Process Vents</w:t>
      </w:r>
      <w:bookmarkEnd w:id="519"/>
    </w:p>
    <w:p w14:paraId="4FA1E3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0" w:name="TOC_Sect1857"/>
      <w:r w:rsidRPr="006E50FF">
        <w:rPr>
          <w:b/>
          <w:kern w:val="2"/>
        </w:rPr>
        <w:t>§4549.</w:t>
      </w:r>
      <w:r w:rsidRPr="006E50FF">
        <w:rPr>
          <w:b/>
          <w:kern w:val="2"/>
        </w:rPr>
        <w:tab/>
        <w:t>Applicability</w:t>
      </w:r>
      <w:bookmarkEnd w:id="520"/>
    </w:p>
    <w:p w14:paraId="109F8C8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33:V.1705.</w:t>
      </w:r>
    </w:p>
    <w:p w14:paraId="53DF7B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F8631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17:658 (July 1991), amended LR 18:723 (July 1992), LR 20:1000 (September 1994), amended by the Office of Waste Services, Hazardous Waste Division, LR 24:1745 (September 1998), LR 25:486 (March 1999), amended by the Office of the Secretary, Legal Affairs and Criminal Investigations Division, LR 46:948 (July 2020), LR 52:</w:t>
      </w:r>
    </w:p>
    <w:p w14:paraId="1A141A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21" w:name="TOC_SubC1136"/>
      <w:r w:rsidRPr="006E50FF">
        <w:rPr>
          <w:b/>
          <w:kern w:val="2"/>
        </w:rPr>
        <w:t>Subchapter R.</w:t>
      </w:r>
      <w:bookmarkEnd w:id="521"/>
      <w:r w:rsidRPr="006E50FF">
        <w:rPr>
          <w:b/>
          <w:kern w:val="2"/>
        </w:rPr>
        <w:t xml:space="preserve"> </w:t>
      </w:r>
      <w:bookmarkStart w:id="522" w:name="TOCT_SubC1136"/>
      <w:r w:rsidRPr="006E50FF">
        <w:rPr>
          <w:b/>
          <w:kern w:val="2"/>
        </w:rPr>
        <w:t>Air Emission Standards for Equipment Leaks</w:t>
      </w:r>
      <w:bookmarkEnd w:id="522"/>
    </w:p>
    <w:p w14:paraId="1048D65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3" w:name="TOC_Sect1863"/>
      <w:r w:rsidRPr="006E50FF">
        <w:rPr>
          <w:b/>
          <w:kern w:val="2"/>
        </w:rPr>
        <w:t>§4561.</w:t>
      </w:r>
      <w:r w:rsidRPr="006E50FF">
        <w:rPr>
          <w:b/>
          <w:kern w:val="2"/>
        </w:rPr>
        <w:tab/>
        <w:t>Applicability</w:t>
      </w:r>
      <w:bookmarkEnd w:id="523"/>
    </w:p>
    <w:p w14:paraId="5552E85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33:V.1717.A-B and D-G.</w:t>
      </w:r>
    </w:p>
    <w:p w14:paraId="68A963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w:t>
      </w:r>
      <w:r w:rsidRPr="006E50FF">
        <w:rPr>
          <w:kern w:val="2"/>
          <w:sz w:val="18"/>
        </w:rPr>
        <w:tab/>
        <w:t>Promulgated in accordance with R.S. 30:2180 et seq.</w:t>
      </w:r>
    </w:p>
    <w:p w14:paraId="455BCB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17:658 (July 1991), amended LR 20:1000 (September 1994), amended by the Office of Waste Services, Hazardous Waste Division, LR 24:1745 (September 1998), </w:t>
      </w:r>
      <w:r w:rsidRPr="006E50FF">
        <w:rPr>
          <w:kern w:val="2"/>
          <w:sz w:val="18"/>
        </w:rPr>
        <w:br w:type="column"/>
      </w:r>
      <w:r w:rsidRPr="006E50FF">
        <w:rPr>
          <w:kern w:val="2"/>
          <w:sz w:val="18"/>
        </w:rPr>
        <w:t>LR 25:486 (March 1999), amended by the Office of the Secretary, Legal Affairs Division, LR 31:2541 (October 2005), amended by the Office of the Secretary, Legal Affairs and Criminal Investigations Division, LR 46:948 (July 2020), amended by the Office of the Secretary, Legal Affairs Division, LR 52:</w:t>
      </w:r>
    </w:p>
    <w:p w14:paraId="6D989D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24" w:name="TOC_SubC1145"/>
      <w:r w:rsidRPr="006E50FF">
        <w:rPr>
          <w:b/>
          <w:kern w:val="2"/>
        </w:rPr>
        <w:t>Subchapter T.</w:t>
      </w:r>
      <w:bookmarkStart w:id="525" w:name="TOCT_SubC1145"/>
      <w:bookmarkEnd w:id="524"/>
      <w:r w:rsidRPr="006E50FF">
        <w:rPr>
          <w:b/>
          <w:kern w:val="2"/>
        </w:rPr>
        <w:tab/>
        <w:t>Containment Buildings</w:t>
      </w:r>
      <w:bookmarkEnd w:id="525"/>
    </w:p>
    <w:p w14:paraId="12F2015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6" w:name="TOC_Sect1884"/>
      <w:r w:rsidRPr="006E50FF">
        <w:rPr>
          <w:b/>
          <w:kern w:val="2"/>
        </w:rPr>
        <w:t>§4701.</w:t>
      </w:r>
      <w:r w:rsidRPr="006E50FF">
        <w:rPr>
          <w:b/>
          <w:kern w:val="2"/>
        </w:rPr>
        <w:tab/>
        <w:t>Applicability</w:t>
      </w:r>
      <w:bookmarkEnd w:id="526"/>
    </w:p>
    <w:p w14:paraId="692A98B5"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33:V.1801.</w:t>
      </w:r>
    </w:p>
    <w:p w14:paraId="22314E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8A693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LR 21:944 (September 1995), amended by the Office of the Secretary, Legal Affairs Division, LR 34:635 (April 2008), LR 34:1008 (June 2008), amended by the Office of the Secretary, Legal Affairs Division, LR 52:</w:t>
      </w:r>
    </w:p>
    <w:p w14:paraId="09789CB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7" w:name="TOC_Sect1885"/>
      <w:r w:rsidRPr="006E50FF">
        <w:rPr>
          <w:b/>
          <w:kern w:val="2"/>
        </w:rPr>
        <w:t>§4703.</w:t>
      </w:r>
      <w:r w:rsidRPr="006E50FF">
        <w:rPr>
          <w:b/>
          <w:kern w:val="2"/>
        </w:rPr>
        <w:tab/>
        <w:t>Design and Operating Standards</w:t>
      </w:r>
      <w:bookmarkEnd w:id="527"/>
    </w:p>
    <w:p w14:paraId="731FD27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33:V.1802.</w:t>
      </w:r>
    </w:p>
    <w:p w14:paraId="26D936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60629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Environmental Assessment, Environmental Planning Division, LR 26:2509 (November 2000), amended by the Office of the Secretary, Legal Affairs Division, LR 33:2136 (October 2007), LR 34:635 (April 2008), LR 34:1008 (June 2008), LR 52:</w:t>
      </w:r>
    </w:p>
    <w:p w14:paraId="656C5C2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8" w:name="TOC_Sect1886"/>
      <w:r w:rsidRPr="006E50FF">
        <w:rPr>
          <w:b/>
          <w:kern w:val="2"/>
        </w:rPr>
        <w:t>§4705.</w:t>
      </w:r>
      <w:r w:rsidRPr="006E50FF">
        <w:rPr>
          <w:b/>
          <w:kern w:val="2"/>
        </w:rPr>
        <w:tab/>
        <w:t>Closure and Post-Closure Care</w:t>
      </w:r>
      <w:bookmarkEnd w:id="528"/>
    </w:p>
    <w:p w14:paraId="0918EA1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33:V.1803.</w:t>
      </w:r>
    </w:p>
    <w:p w14:paraId="1BDA24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AA854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the Secretary, LR 24:2250 (December 1998), amended by the Office of the Secretary, Legal Affairs Division, LR 52:</w:t>
      </w:r>
    </w:p>
    <w:p w14:paraId="46C2C9F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29" w:name="TOC_SubC1152"/>
      <w:r w:rsidRPr="006E50FF">
        <w:rPr>
          <w:b/>
          <w:kern w:val="2"/>
        </w:rPr>
        <w:t>Subchapter U.</w:t>
      </w:r>
      <w:bookmarkStart w:id="530" w:name="TOCT_SubC1152"/>
      <w:bookmarkEnd w:id="529"/>
      <w:r w:rsidRPr="006E50FF">
        <w:rPr>
          <w:b/>
          <w:kern w:val="2"/>
        </w:rPr>
        <w:tab/>
        <w:t>Hazardous Waste Munitions and Explosives Storage</w:t>
      </w:r>
      <w:bookmarkEnd w:id="530"/>
    </w:p>
    <w:p w14:paraId="39CB457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1" w:name="TOC_Sect1887"/>
      <w:r w:rsidRPr="006E50FF">
        <w:rPr>
          <w:b/>
          <w:kern w:val="2"/>
        </w:rPr>
        <w:t>§4707.</w:t>
      </w:r>
      <w:r w:rsidRPr="006E50FF">
        <w:rPr>
          <w:b/>
          <w:kern w:val="2"/>
        </w:rPr>
        <w:tab/>
        <w:t>Applicability</w:t>
      </w:r>
      <w:bookmarkEnd w:id="531"/>
    </w:p>
    <w:p w14:paraId="4635220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33:V.2401.</w:t>
      </w:r>
    </w:p>
    <w:p w14:paraId="7F663B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FF944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24:1746 (September 1998), amended by the Office of the Secretary, Legal Affairs Division, LR 52:</w:t>
      </w:r>
    </w:p>
    <w:p w14:paraId="68B684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2" w:name="TOC_Sect1888"/>
      <w:r w:rsidRPr="006E50FF">
        <w:rPr>
          <w:b/>
          <w:kern w:val="2"/>
        </w:rPr>
        <w:t>§4709.</w:t>
      </w:r>
      <w:r w:rsidRPr="006E50FF">
        <w:rPr>
          <w:b/>
          <w:kern w:val="2"/>
        </w:rPr>
        <w:tab/>
        <w:t>Design and Operating Standards</w:t>
      </w:r>
      <w:bookmarkEnd w:id="532"/>
    </w:p>
    <w:p w14:paraId="3D17EAA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33:V.2403.</w:t>
      </w:r>
    </w:p>
    <w:p w14:paraId="599294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75373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24:1746 (September 1998), amended by the Office of the Secretary, Legal Affairs Division, LR 52:</w:t>
      </w:r>
    </w:p>
    <w:p w14:paraId="0791576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3" w:name="TOC_Sect1889"/>
      <w:r w:rsidRPr="006E50FF">
        <w:rPr>
          <w:b/>
          <w:kern w:val="2"/>
        </w:rPr>
        <w:t>§4711.</w:t>
      </w:r>
      <w:r w:rsidRPr="006E50FF">
        <w:rPr>
          <w:b/>
          <w:kern w:val="2"/>
        </w:rPr>
        <w:tab/>
        <w:t>Closure and Post-Closure Care</w:t>
      </w:r>
      <w:bookmarkEnd w:id="533"/>
    </w:p>
    <w:p w14:paraId="6DD1F98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33:V.2405.</w:t>
      </w:r>
    </w:p>
    <w:p w14:paraId="2B5DBE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66E93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1B16957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Waste Services, Hazardous Waste Division, LR 24:1746 (September 1998), amended by the Office of the Secretary, Legal Affairs Division, LR 52:</w:t>
      </w:r>
    </w:p>
    <w:p w14:paraId="4C71E16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34" w:name="TOC_SubC1158"/>
      <w:r w:rsidRPr="006E50FF">
        <w:rPr>
          <w:b/>
          <w:kern w:val="2"/>
        </w:rPr>
        <w:t>Subchapter V.</w:t>
      </w:r>
      <w:bookmarkStart w:id="535" w:name="TOCT_SubC1158"/>
      <w:bookmarkEnd w:id="534"/>
      <w:r w:rsidRPr="006E50FF">
        <w:rPr>
          <w:b/>
          <w:kern w:val="2"/>
        </w:rPr>
        <w:tab/>
        <w:t xml:space="preserve">Air Emission Standards for Tanks, Surface Impoundments, and Containers </w:t>
      </w:r>
      <w:bookmarkEnd w:id="535"/>
    </w:p>
    <w:p w14:paraId="47E13C6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6" w:name="TOC_Sect1894"/>
      <w:r w:rsidRPr="006E50FF">
        <w:rPr>
          <w:b/>
          <w:kern w:val="2"/>
        </w:rPr>
        <w:t>§4727.</w:t>
      </w:r>
      <w:r w:rsidRPr="006E50FF">
        <w:rPr>
          <w:b/>
          <w:kern w:val="2"/>
        </w:rPr>
        <w:tab/>
        <w:t>Waste Determination Procedures</w:t>
      </w:r>
      <w:bookmarkEnd w:id="536"/>
    </w:p>
    <w:p w14:paraId="26D826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Waste Determination Procedures to Determine Average Volatile Organic (VO) Concentration of a Hazardous Waste at the Point of Waste Origination</w:t>
      </w:r>
    </w:p>
    <w:p w14:paraId="4D3C3FA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Interim status facilities are subject to the requirements of LAC 33:V.1753.A.</w:t>
      </w:r>
    </w:p>
    <w:p w14:paraId="1B626D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Direct Measurement to Determine Average VO Concentration of a Hazardous Waste at the Point of Waste Origination</w:t>
      </w:r>
    </w:p>
    <w:p w14:paraId="2A0F385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The owner or operator shall identify and record the point of waste origination for the hazardous waste.</w:t>
      </w:r>
    </w:p>
    <w:p w14:paraId="24F22D7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Sampling. Samples of the hazardous waste stream shall be collected at the point of waste origination in a manner such that volatilization of organics contained in the waste and in the subsequent sample is minimized and an adequately representative sample is collected and maintained for analysis by the selected method.</w:t>
      </w:r>
    </w:p>
    <w:p w14:paraId="79C6F45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averaging period to be used for determining the average VO concentration for the hazardous waste stream on a mass-weighted average basis shall be designated and recorded. The averaging period can represent any time interval that the owner or operator determines is appropriate for the hazardous waste stream, but shall not exceed one year.</w:t>
      </w:r>
    </w:p>
    <w:p w14:paraId="60996E3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sufficient number of samples, but no less than four samples, shall be collected and analyzed for a hazardous waste determination. All of the samples for a given waste determination shall be collected within a one</w:t>
      </w:r>
      <w:r w:rsidRPr="006E50FF">
        <w:rPr>
          <w:kern w:val="2"/>
        </w:rPr>
        <w:noBreakHyphen/>
        <w:t>hour period. The average of the four or more sample results constitutes a waste determination for the waste stream. One or more waste determinations may be required to represent the complete range of waste compositions and quantities that occur during the entire averaging period due to normal variations in the operating conditions for the source or process generating the hazardous waste stream. Examples of such normal variations are seasonal variations in waste quantity or fluctuations in ambient temperature.</w:t>
      </w:r>
    </w:p>
    <w:p w14:paraId="792663D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All samples shall be collected and handled in accordance with written procedures prepared by the owner or operator and documented in a site sampling plan. This plan shall describe the procedure by which representative samples of the hazardous waste stream are collected such that a minimum loss of organics occurs throughout the sample collection and handling process and by which sample integrity is maintained. A copy of the written sampling plan shall be maintained on-site in the facility operating records. An example of acceptable sample collection and handling procedures for a total volatile organic constituent concentration may be found in Method 25D in 40 CFR Part 60, Appendix A.</w:t>
      </w:r>
    </w:p>
    <w:p w14:paraId="50D0EE7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Sufficient information, as specified in the site sampling plan required under Clause A.3.b.iii of this Section shall be prepared and recorded to document the waste quantity represented by the samples and, as applicable, the operating conditions for the source or process generating the hazardous waste represented by the samples.</w:t>
      </w:r>
    </w:p>
    <w:p w14:paraId="7A5A4B6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Analysis. Each collected sample shall be prepared and analyzed in accordance with Method 25D in 40 CFR Part 60, Appendix A for the total concentration of volatile organic constituents, or by using one or more appropriate methods when the individual organic compound concentrations are identified and summed and the summed waste concentration accounts for and reflects all organic compounds in the waste with Henry's law constant values at least 0.1 mole-fraction-in-the-gas-phase/mole-fraction-in-the-liquid-phase (0.1 Y/X) (which can also be expressed as 1.8 x 10-6 atmospheres/gram-mole/m3) at 25°C. At the owner's or operator's discretion, the owner or operator may adjust test data obtained by any appropriate method to discount any contribution to the total volatile organic concentration that is a result of including a compound with a Henry’s law constant value of less than 0.1 Y/X at 25ºC. To adjust these data, the measured concentration of each individual chemical constituent contained in the waste is multiplied by the appropriate constituent-specific adjustment factor (fm25D). If the owner or operator elects to adjust test data, the adjustment shall be made to all individual chemical constituents with a Henry's law constant value greater than or equal to 0.1 Y/X at 25ºC that are contained in the waste. Constituent-specific adjustment factors (fm25D) can be obtained by contacting the Waste and Chemical Processes Group, Office of Air Quality Planning and Standards, Research Triangle Park, NC 27711. Other test methods may be used if they meet one of the following requirements in Clause A.3.c.i or ii of this Section and provided that the requirement to reflect all organic compounds in the waste with Henry’s law constant values greater than or equal to 0.1 Y/X (which can also be expressed as 1.8 x 10-6 atmospheres/gram-mole/m3) at 25°C is met:</w:t>
      </w:r>
    </w:p>
    <w:p w14:paraId="750AF93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any EPA standard method that has been validated in accordance with Alternative Validation Procedure for EPA Waste and Wastewater Methods, 40 CFR Part 63, Appendix D; or</w:t>
      </w:r>
    </w:p>
    <w:p w14:paraId="4107B4A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any other analysis method that has been validated in accordance with the procedures specified in Section 5.1 or Section 5.3, and the corresponding calculations in Section 6.1 or Section 6.3, of Method 301 in 40 CFR Part 63, Appendix A. The data are acceptable if they meet the criteria specified in Section 6.1.5 or Section 6.3.3 of Method 301. If correction is required under Section 6.3.3 of Method 301, the data are acceptable if the correction factor is within the range 0.7 to 1.30. Other sections of Method 301 are not required.</w:t>
      </w:r>
    </w:p>
    <w:p w14:paraId="5FAB613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Calculations</w:t>
      </w:r>
    </w:p>
    <w:p w14:paraId="4CBE157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average VO concentration (</w:t>
      </w:r>
      <w:r w:rsidRPr="006E50FF">
        <w:rPr>
          <w:noProof/>
          <w:kern w:val="2"/>
          <w:sz w:val="16"/>
        </w:rPr>
        <w:drawing>
          <wp:inline distT="0" distB="0" distL="0" distR="0" wp14:anchorId="29B3A676" wp14:editId="6C05D428">
            <wp:extent cx="147320" cy="153670"/>
            <wp:effectExtent l="0" t="0" r="0" b="0"/>
            <wp:docPr id="867730079" name="Picture 9" descr="This is the letter C with the line above it and states what the C means when used in th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his is the letter C with the line above it and states what the C means when used in the equ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 cy="153670"/>
                    </a:xfrm>
                    <a:prstGeom prst="rect">
                      <a:avLst/>
                    </a:prstGeom>
                    <a:noFill/>
                    <a:ln>
                      <a:noFill/>
                    </a:ln>
                  </pic:spPr>
                </pic:pic>
              </a:graphicData>
            </a:graphic>
          </wp:inline>
        </w:drawing>
      </w:r>
      <w:r w:rsidRPr="006E50FF">
        <w:rPr>
          <w:kern w:val="2"/>
        </w:rPr>
        <w:t>) on a mass-weighted basis shall be calculated by using the results for all waste determinations conducted in accordance with Subparagraphs A.3.b and c of this Section and the following equation.</w:t>
      </w:r>
    </w:p>
    <w:p w14:paraId="334A217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p>
    <w:p w14:paraId="3DF2A4A7" w14:textId="77777777" w:rsidR="006E50FF" w:rsidRPr="006E50FF" w:rsidRDefault="006E50FF" w:rsidP="006E50FF">
      <w:pPr>
        <w:tabs>
          <w:tab w:val="decimal" w:pos="806"/>
          <w:tab w:val="left" w:pos="1080"/>
          <w:tab w:val="left" w:pos="4500"/>
          <w:tab w:val="left" w:pos="4680"/>
          <w:tab w:val="left" w:pos="4860"/>
          <w:tab w:val="left" w:pos="5040"/>
          <w:tab w:val="left" w:pos="7200"/>
        </w:tabs>
        <w:jc w:val="center"/>
        <w:outlineLvl w:val="6"/>
        <w:rPr>
          <w:kern w:val="2"/>
        </w:rPr>
      </w:pPr>
      <m:oMathPara>
        <m:oMath>
          <m:r>
            <m:rPr>
              <m:sty m:val="p"/>
            </m:rPr>
            <w:rPr>
              <w:rFonts w:ascii="Cambria Math" w:hAnsi="Cambria Math"/>
              <w:kern w:val="2"/>
            </w:rPr>
            <m:t>(</m:t>
          </m:r>
          <m:r>
            <m:rPr>
              <m:sty m:val="p"/>
            </m:rPr>
            <w:rPr>
              <w:rFonts w:ascii="Cambria Math" w:hAnsi="Cambria Math"/>
              <w:noProof/>
              <w:kern w:val="2"/>
              <w:sz w:val="16"/>
            </w:rPr>
            <w:drawing>
              <wp:inline distT="0" distB="0" distL="0" distR="0" wp14:anchorId="36A8F3D3" wp14:editId="0A9EB1B5">
                <wp:extent cx="147320" cy="153670"/>
                <wp:effectExtent l="0" t="0" r="0" b="0"/>
                <wp:docPr id="2064803423" name="Picture 9" descr="This is the letter C with the line above it and states what the C means when used in th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his is the letter C with the line above it and states what the C means when used in the equ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 cy="153670"/>
                        </a:xfrm>
                        <a:prstGeom prst="rect">
                          <a:avLst/>
                        </a:prstGeom>
                        <a:noFill/>
                        <a:ln>
                          <a:noFill/>
                        </a:ln>
                      </pic:spPr>
                    </pic:pic>
                  </a:graphicData>
                </a:graphic>
              </wp:inline>
            </w:drawing>
          </m:r>
          <m:r>
            <m:rPr>
              <m:sty m:val="p"/>
            </m:rPr>
            <w:rPr>
              <w:rFonts w:ascii="Cambria Math" w:hAnsi="Cambria Math"/>
              <w:kern w:val="2"/>
            </w:rPr>
            <m:t>)</m:t>
          </m:r>
          <m:r>
            <w:rPr>
              <w:rFonts w:ascii="Cambria Math" w:hAnsi="Cambria Math"/>
              <w:kern w:val="2"/>
            </w:rPr>
            <m:t>=</m:t>
          </m:r>
          <m:f>
            <m:fPr>
              <m:ctrlPr>
                <w:rPr>
                  <w:rFonts w:ascii="Cambria Math" w:hAnsi="Cambria Math"/>
                  <w:i/>
                  <w:kern w:val="2"/>
                </w:rPr>
              </m:ctrlPr>
            </m:fPr>
            <m:num>
              <m:r>
                <w:rPr>
                  <w:rFonts w:ascii="Cambria Math" w:hAnsi="Cambria Math"/>
                  <w:kern w:val="2"/>
                </w:rPr>
                <m:t>1</m:t>
              </m:r>
            </m:num>
            <m:den>
              <m:sSub>
                <m:sSubPr>
                  <m:ctrlPr>
                    <w:rPr>
                      <w:rFonts w:ascii="Cambria Math" w:hAnsi="Cambria Math"/>
                      <w:i/>
                      <w:kern w:val="2"/>
                    </w:rPr>
                  </m:ctrlPr>
                </m:sSubPr>
                <m:e>
                  <m:r>
                    <w:rPr>
                      <w:rFonts w:ascii="Cambria Math" w:hAnsi="Cambria Math"/>
                      <w:kern w:val="2"/>
                    </w:rPr>
                    <m:t>Q</m:t>
                  </m:r>
                </m:e>
                <m:sub>
                  <m:r>
                    <w:rPr>
                      <w:rFonts w:ascii="Cambria Math" w:hAnsi="Cambria Math"/>
                      <w:kern w:val="2"/>
                    </w:rPr>
                    <m:t>T</m:t>
                  </m:r>
                </m:sub>
              </m:sSub>
            </m:den>
          </m:f>
          <m:r>
            <w:rPr>
              <w:rFonts w:ascii="Cambria Math" w:hAnsi="Cambria Math"/>
              <w:kern w:val="2"/>
            </w:rPr>
            <m:t>x</m:t>
          </m:r>
          <m:nary>
            <m:naryPr>
              <m:chr m:val="∑"/>
              <m:limLoc m:val="undOvr"/>
              <m:ctrlPr>
                <w:rPr>
                  <w:rFonts w:ascii="Cambria Math" w:hAnsi="Cambria Math"/>
                  <w:i/>
                  <w:kern w:val="2"/>
                </w:rPr>
              </m:ctrlPr>
            </m:naryPr>
            <m:sub>
              <m:r>
                <w:rPr>
                  <w:rFonts w:ascii="Cambria Math" w:hAnsi="Cambria Math"/>
                  <w:kern w:val="2"/>
                </w:rPr>
                <m:t>i=1</m:t>
              </m:r>
            </m:sub>
            <m:sup>
              <m:r>
                <w:rPr>
                  <w:rFonts w:ascii="Cambria Math" w:hAnsi="Cambria Math"/>
                  <w:kern w:val="2"/>
                </w:rPr>
                <m:t>n</m:t>
              </m:r>
            </m:sup>
            <m:e>
              <m:d>
                <m:dPr>
                  <m:ctrlPr>
                    <w:rPr>
                      <w:rFonts w:ascii="Cambria Math" w:hAnsi="Cambria Math"/>
                      <w:i/>
                      <w:kern w:val="2"/>
                    </w:rPr>
                  </m:ctrlPr>
                </m:dPr>
                <m:e>
                  <m:sSub>
                    <m:sSubPr>
                      <m:ctrlPr>
                        <w:rPr>
                          <w:rFonts w:ascii="Cambria Math" w:hAnsi="Cambria Math"/>
                          <w:i/>
                          <w:kern w:val="2"/>
                        </w:rPr>
                      </m:ctrlPr>
                    </m:sSubPr>
                    <m:e>
                      <m:r>
                        <w:rPr>
                          <w:rFonts w:ascii="Cambria Math" w:hAnsi="Cambria Math"/>
                          <w:kern w:val="2"/>
                        </w:rPr>
                        <m:t>Q</m:t>
                      </m:r>
                    </m:e>
                    <m:sub>
                      <m:r>
                        <w:rPr>
                          <w:rFonts w:ascii="Cambria Math" w:hAnsi="Cambria Math"/>
                          <w:kern w:val="2"/>
                        </w:rPr>
                        <m:t>i</m:t>
                      </m:r>
                    </m:sub>
                  </m:sSub>
                  <m:r>
                    <w:rPr>
                      <w:rFonts w:ascii="Cambria Math" w:hAnsi="Cambria Math"/>
                      <w:kern w:val="2"/>
                    </w:rPr>
                    <m:t>x</m:t>
                  </m:r>
                  <m:sSub>
                    <m:sSubPr>
                      <m:ctrlPr>
                        <w:rPr>
                          <w:rFonts w:ascii="Cambria Math" w:hAnsi="Cambria Math"/>
                          <w:i/>
                          <w:kern w:val="2"/>
                        </w:rPr>
                      </m:ctrlPr>
                    </m:sSubPr>
                    <m:e>
                      <m:r>
                        <w:rPr>
                          <w:rFonts w:ascii="Cambria Math" w:hAnsi="Cambria Math"/>
                          <w:kern w:val="2"/>
                        </w:rPr>
                        <m:t>C</m:t>
                      </m:r>
                    </m:e>
                    <m:sub>
                      <m:r>
                        <w:rPr>
                          <w:rFonts w:ascii="Cambria Math" w:hAnsi="Cambria Math"/>
                          <w:kern w:val="2"/>
                        </w:rPr>
                        <m:t>i</m:t>
                      </m:r>
                    </m:sub>
                  </m:sSub>
                </m:e>
              </m:d>
            </m:e>
          </m:nary>
        </m:oMath>
      </m:oMathPara>
    </w:p>
    <w:p w14:paraId="20A36D0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p>
    <w:p w14:paraId="3899FDD5" w14:textId="77777777" w:rsidR="006E50FF" w:rsidRPr="006E50FF" w:rsidRDefault="006E50FF" w:rsidP="006E50FF">
      <w:pPr>
        <w:tabs>
          <w:tab w:val="left" w:pos="187"/>
          <w:tab w:val="left" w:pos="540"/>
          <w:tab w:val="left" w:pos="4500"/>
          <w:tab w:val="left" w:pos="4680"/>
          <w:tab w:val="left" w:pos="4860"/>
          <w:tab w:val="left" w:pos="5040"/>
          <w:tab w:val="left" w:pos="7200"/>
        </w:tabs>
        <w:spacing w:before="120" w:after="120"/>
        <w:ind w:firstLine="806"/>
        <w:jc w:val="both"/>
        <w:outlineLvl w:val="3"/>
        <w:rPr>
          <w:kern w:val="2"/>
        </w:rPr>
      </w:pPr>
      <w:r w:rsidRPr="006E50FF">
        <w:rPr>
          <w:kern w:val="2"/>
        </w:rPr>
        <w:t>where:</w:t>
      </w:r>
    </w:p>
    <w:p w14:paraId="06ABA3E2"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noProof/>
          <w:kern w:val="2"/>
          <w:sz w:val="16"/>
        </w:rPr>
        <w:drawing>
          <wp:inline distT="0" distB="0" distL="0" distR="0" wp14:anchorId="05142E3F" wp14:editId="723ED0EB">
            <wp:extent cx="147320" cy="153670"/>
            <wp:effectExtent l="0" t="0" r="0" b="0"/>
            <wp:docPr id="193" name="Picture 9" descr="This is the letter C with the line above it and states what the C means when used in th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his is the letter C with the line above it and states what the C means when used in the equ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 cy="153670"/>
                    </a:xfrm>
                    <a:prstGeom prst="rect">
                      <a:avLst/>
                    </a:prstGeom>
                    <a:noFill/>
                    <a:ln>
                      <a:noFill/>
                    </a:ln>
                  </pic:spPr>
                </pic:pic>
              </a:graphicData>
            </a:graphic>
          </wp:inline>
        </w:drawing>
      </w:r>
      <w:r w:rsidRPr="006E50FF">
        <w:rPr>
          <w:kern w:val="2"/>
          <w:sz w:val="16"/>
        </w:rPr>
        <w:t>= average VO concentration of the hazardous waste at the point of waste origination on a mass-weighted basis, ppmw</w:t>
      </w:r>
    </w:p>
    <w:p w14:paraId="01BABDDE"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lastRenderedPageBreak/>
        <w:t>i = individual waste determination "i" of the hazardous waste</w:t>
      </w:r>
    </w:p>
    <w:p w14:paraId="741299EE"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n = total number of waste determinations of the hazardous waste conducted for the averaging period (not to exceed one year)</w:t>
      </w:r>
    </w:p>
    <w:p w14:paraId="08A826B8"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Qi = mass quantity of hazardous waste stream represented by Ci, kg/hr</w:t>
      </w:r>
    </w:p>
    <w:p w14:paraId="35E21093"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QT = total mass quantity of hazardous waste during the averaging period, kg/hr</w:t>
      </w:r>
    </w:p>
    <w:p w14:paraId="3CA2A5ED"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Ci = measured VO concentration of waste determination "i" as determined in accordance with the requirements of Subparagraph A.3.c of this Section (i.e., the average of the four or more samples specified in Clause A.3.b.ii of this Section), ppmw</w:t>
      </w:r>
    </w:p>
    <w:p w14:paraId="46C45CB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For the purpose of determining Ci, for individual waste samples analyzed in accordance with Subparagraph A.3.c of this Section, the owner or operator shall account for VO concentrations determined to be below the limit of detection of the analytical method by using the following VO concentration:</w:t>
      </w:r>
    </w:p>
    <w:p w14:paraId="7626070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if Method 25D in 40 CFR Part 60, Appendix A is used for the analysis, one-half the blank value determined in the method at Section 4.4 of Method 25D in 40 CFR Part 60, Appendix A;</w:t>
      </w:r>
    </w:p>
    <w:p w14:paraId="2BE9D33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if any other analytical method is used, one-half the sum of the limits of detection established for each organic constituent in the waste that has a Henry's law constant value at least 0.1 mole-fraction-in-the-gas-phase/mole-fraction-in-the-liquid-phase (0.1 Y/X) (which can also be expressed as 1.8 x 10-6 atmospheres/gram-mole/m3) at 25°C.</w:t>
      </w:r>
    </w:p>
    <w:p w14:paraId="4457EBA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Provided that the test method is appropriate for the waste as required under Subparagraph A.3.c of this Section, the department will determine compliance based on the test method used by the owner or operator as recorded in accordance with LAC 33:V.4735.</w:t>
      </w:r>
    </w:p>
    <w:p w14:paraId="7BF8FC6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Use of Owner or Operator Knowledge to Determine Average VO Concentration of a Hazardous Waste at the Point of Waste Origination</w:t>
      </w:r>
    </w:p>
    <w:p w14:paraId="19F7C9D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Documentation shall be prepared that presents the information used as the basis for the owner's or operator's knowledge of the hazardous waste stream's average VO concentration. Examples of information that may be used as the basis for knowledge include: material balances for the source or process generating the hazardous waste stream; constituent-specific chemical test data for the hazardous waste stream from previous testing that are still applicable to the current waste stream; previous test data for other locations managing the same type of waste stream; or other knowledge based on information included in manifests, shipping papers, or waste certification notices.</w:t>
      </w:r>
    </w:p>
    <w:p w14:paraId="52082A6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test data are used as the basis for knowledge, then the owner or operator shall document the test method, sampling protocol, and the means by which sampling variability and analytical variability are accounted for in the determination of the average VO concentration. For example, an owner or operator may use organic concentration test data for the hazardous waste stream that is validated in accordance with Method 301 in 40 CFR Part 63, Appendix A as the basis for knowledge of the waste.</w:t>
      </w:r>
    </w:p>
    <w:p w14:paraId="1E4EB83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An owner or operator using chemical constituent-specific concentration test data as the basis for knowledge of the hazardous waste may adjust the test data to the corresponding average VO concentration value that would </w:t>
      </w:r>
      <w:r w:rsidRPr="006E50FF">
        <w:rPr>
          <w:kern w:val="2"/>
        </w:rPr>
        <w:t>have been obtained had the waste samples been analyzed using Method 25D in 40 CFR Part 60, Appendix A. To adjust these data, the measured concentration for each individual chemical constituent contained in the waste is multiplied by the appropriate constituent-specific adjustment factor (fm25D).</w:t>
      </w:r>
    </w:p>
    <w:p w14:paraId="4CFCC0F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 the event that the administrative authority and the owner or operator disagree on a determination of the average VO concentration for a hazardous waste stream using knowledge, then the results from a determination of average VO concentration using direct measurement as specified in Paragraph A.3 of this Section shall be used to establish compliance with the applicable requirements of this Subpart. The administrative authority may perform or request that the owner or operator perform this determination using direct measurement. The owner or operator may choose one or more appropriate methods to analyze each collected sample in accordance with the requirements of Subparagraph A.3.c of this Section.</w:t>
      </w:r>
    </w:p>
    <w:p w14:paraId="178367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Waste Determination Procedures for Treated Hazardous Waste</w:t>
      </w:r>
    </w:p>
    <w:p w14:paraId="272DF8B3"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Interim status facilities are subject to the requirements of LAC 33:V.1753.B.</w:t>
      </w:r>
    </w:p>
    <w:p w14:paraId="29AAA7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Procedure to Determine the Average VO Concentration of a Hazardous Waste at the Point of Waste Treatment</w:t>
      </w:r>
    </w:p>
    <w:p w14:paraId="12DA1D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The owner or operator shall identify and record the point of waste treatment for the hazardous waste.</w:t>
      </w:r>
    </w:p>
    <w:p w14:paraId="54B0CE9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Sampling. Samples of the hazardous waste stream shall be collected at the point of waste treatment in a manner such that volatilization of organics contained in the waste and in the subsequent sample is minimized and an adequately representative sample is collected and maintained for analysis by the selected method.</w:t>
      </w:r>
    </w:p>
    <w:p w14:paraId="1DF2237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averaging period to be used for determining the average VO concentration for the hazardous waste stream on a mass-weighted average basis shall be designated and recorded. The averaging period can represent any time interval that the owner or operator determines is appropriate for the hazardous waste stream, but shall not exceed one year.</w:t>
      </w:r>
    </w:p>
    <w:p w14:paraId="6D465C7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r>
      <w:r w:rsidRPr="006E50FF">
        <w:rPr>
          <w:noProof/>
          <w:kern w:val="2"/>
        </w:rPr>
        <mc:AlternateContent>
          <mc:Choice Requires="wps">
            <w:drawing>
              <wp:anchor distT="0" distB="0" distL="114300" distR="114300" simplePos="0" relativeHeight="251663360" behindDoc="0" locked="0" layoutInCell="1" allowOverlap="1" wp14:anchorId="6EE1C3C0" wp14:editId="661F8AAB">
                <wp:simplePos x="0" y="0"/>
                <wp:positionH relativeFrom="column">
                  <wp:posOffset>5353050</wp:posOffset>
                </wp:positionH>
                <wp:positionV relativeFrom="paragraph">
                  <wp:posOffset>-8765540</wp:posOffset>
                </wp:positionV>
                <wp:extent cx="1280160" cy="274320"/>
                <wp:effectExtent l="0" t="0" r="0" b="0"/>
                <wp:wrapNone/>
                <wp:docPr id="198508285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74320"/>
                        </a:xfrm>
                        <a:prstGeom prst="rect">
                          <a:avLst/>
                        </a:prstGeom>
                        <a:noFill/>
                        <a:ln>
                          <a:noFill/>
                        </a:ln>
                      </wps:spPr>
                      <wps:txbx>
                        <w:txbxContent>
                          <w:p w14:paraId="3A63E6BA" w14:textId="77777777" w:rsidR="006E50FF" w:rsidRPr="00655859" w:rsidRDefault="006E50FF" w:rsidP="006E50FF">
                            <w:pPr>
                              <w:jc w:val="right"/>
                              <w:rPr>
                                <w:i/>
                              </w:rPr>
                            </w:pPr>
                            <w:r w:rsidRPr="00655859">
                              <w:rPr>
                                <w:i/>
                              </w:rPr>
                              <w:t>Section 4727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1C3C0" id="_x0000_t202" coordsize="21600,21600" o:spt="202" path="m,l,21600r21600,l21600,xe">
                <v:stroke joinstyle="miter"/>
                <v:path gradientshapeok="t" o:connecttype="rect"/>
              </v:shapetype>
              <v:shape id="Text Box 11" o:spid="_x0000_s1026" type="#_x0000_t202" style="position:absolute;left:0;text-align:left;margin-left:421.5pt;margin-top:-690.2pt;width:100.8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" filled="f" stroked="f">
                <v:textbox>
                  <w:txbxContent>
                    <w:p w14:paraId="3A63E6BA" w14:textId="77777777" w:rsidR="006E50FF" w:rsidRPr="00655859" w:rsidRDefault="006E50FF" w:rsidP="006E50FF">
                      <w:pPr>
                        <w:jc w:val="right"/>
                        <w:rPr>
                          <w:i/>
                        </w:rPr>
                      </w:pPr>
                      <w:r w:rsidRPr="00655859">
                        <w:rPr>
                          <w:i/>
                        </w:rPr>
                        <w:t>Section 4727</w:t>
                      </w:r>
                    </w:p>
                  </w:txbxContent>
                </v:textbox>
              </v:shape>
            </w:pict>
          </mc:Fallback>
        </mc:AlternateContent>
      </w:r>
      <w:r w:rsidRPr="006E50FF">
        <w:rPr>
          <w:kern w:val="2"/>
        </w:rPr>
        <w:t>ii.</w:t>
      </w:r>
      <w:r w:rsidRPr="006E50FF">
        <w:rPr>
          <w:kern w:val="2"/>
        </w:rPr>
        <w:tab/>
        <w:t>A sufficient number of samples, but no less than four samples, shall be collected and analyzed for a hazardous waste determination. All of the samples for a given waste determination shall be collected within a one</w:t>
      </w:r>
      <w:r w:rsidRPr="006E50FF">
        <w:rPr>
          <w:kern w:val="2"/>
        </w:rPr>
        <w:noBreakHyphen/>
        <w:t>hour period. The average of the four or more sample results constitutes a waste determination for the waste stream. One or more waste determinations may be required to represent the complete range of waste compositions and quantities that occur during the entire averaging period due to normal variations in the operating conditions for the source or process generating the hazardous waste stream. Examples of such normal variations are seasonal variations in waste quantity or fluctuations in ambient temperature.</w:t>
      </w:r>
    </w:p>
    <w:p w14:paraId="3F557CA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 xml:space="preserve">All samples shall be collected and handled in accordance with written procedures prepared by the owner or operator and documented in a site sampling plan. This plan shall describe the procedure by which representative samples of the hazardous waste stream are collected such that a minimum loss of organics occurs throughout the sample collection and handling process and by which sample integrity is maintained. A copy of the written sampling plan </w:t>
      </w:r>
      <w:r w:rsidRPr="006E50FF">
        <w:rPr>
          <w:kern w:val="2"/>
        </w:rPr>
        <w:lastRenderedPageBreak/>
        <w:t>shall be maintained on-site in the facility operating records. An example of acceptable sample collection and handling procedures for a total volatile organic constituent concentration may be found in Method 25D in 40 CFR Part 60, Appendix A.</w:t>
      </w:r>
    </w:p>
    <w:p w14:paraId="4D9CA4A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Sufficient information, as specified in the site sampling plan required under Clause B.3.b.iii of this Section, shall be prepared and recorded to document the waste quantity represented by the samples and, as applicable, the operating conditions for the process treating the hazardous waste represented by the samples.</w:t>
      </w:r>
    </w:p>
    <w:p w14:paraId="0D668B0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Analysis. Each collected sample shall be prepared and analyzed in accordance with Method 25D in 40 CFR Part 60, Appendix A for the total concentration of volatile organic constituents, or by using one or more appropriate methods when the individual organic compound concentrations are identified and summed and the summed waste concentration accounts for and reflects all organic compounds in the waste with Henry's law constant values at least 0.1 mole-fraction-in-the-gas-phase/mole-fraction-in-the-liquid-phase (0.1 Y/X) (which can also be expressed as 1.8 x 10-6 atmospheres/gram-mole/m3) at 25°C. When the owner or operator is making a waste determination for a treated hazardous waste that is to be compared to an average VO concentration at the point of waste origination or the point of waste entry to the treatment system, to determine if the conditions of LAC 33:V.4723 or 4725 are met, then the waste samples shall be prepared and analyzed using the same method or methods as were used in making the initial waste determinations at the point of waste origination or at the point of entry to the treatment system. At the owner's or operator's discretion, the owner or operator may adjust test data obtained by any appropriate method to discount any contribution to the total VO concentration that is a result of including a compound with a Henry's law constant value less than 0.1 Y/X at 25°C. To adjust these data, the measured concentration of each individual chemical constituent contained in the waste is multiplied by the appropriate constituent-specific adjustment factor (fm25D). If the owner or operator elects to adjust test data, the adjustment shall be made to all individual chemical constituents with a Henry's law constant value greater than or equal to 0.1 Y/X at 25°C that are contained in the waste. Constituent-specific adjustment factors (fm25D) can be obtained by contacting the Waste and Chemical Processes Group, Office of Air Quality Planning and Standards, Research Triangle Park, NC 27711. Other test methods may be used if they meet one of the following requirements in Clause B.3.c.i or ii of this Section and provided that the requirement to reflect all organic compounds in the waste with Henry's law constant values greater than or equal to 0.1 Y/X (which can also be expressed as 1.8 x 10-6 atmospheres/gram-mole/m3) at 25°C is met:</w:t>
      </w:r>
    </w:p>
    <w:p w14:paraId="31EFF03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any EPA standard method that has been validated in accordance with Alternative Validation Procedure for EPA Waste and Wastewater Methods, 40 CFR Part 63, Appendix D; or</w:t>
      </w:r>
    </w:p>
    <w:p w14:paraId="5CDE7C8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any other analysis method that has been validated in accordance with the procedures specified in Section 5.1 or Section 5.3, and the corresponding calculations in Section 6.1 or Section 6.3, of Method 301 in 40 CFR Part 63, Appendix A. The data are acceptable if they meet the criteria specified in Section 6.1.5 or Section 6.3.3 of Method 301. If correction is required under Section 6.3.3 of Method </w:t>
      </w:r>
      <w:r w:rsidRPr="006E50FF">
        <w:rPr>
          <w:kern w:val="2"/>
        </w:rPr>
        <w:t>301, the data are acceptable if the correction factor is within the range 0.7 to 1.30. Other sections of Method 301 are not required.</w:t>
      </w:r>
    </w:p>
    <w:p w14:paraId="5E5C93D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Calculations. The average VO concentration (</w:t>
      </w:r>
      <w:r w:rsidRPr="006E50FF">
        <w:rPr>
          <w:kern w:val="2"/>
        </w:rPr>
        <w:object w:dxaOrig="240" w:dyaOrig="300" w14:anchorId="4224D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talicized C with a line above it which indicates average VO concentration of the hazardous waste at the point of waste treatment on a mass-weighted basis, ppmw" style="width:11.55pt;height:14.2pt" o:ole="" fillcolor="window">
            <v:imagedata r:id="rId19" o:title=""/>
          </v:shape>
          <o:OLEObject Type="Embed" ProgID="Equation.3" ShapeID="_x0000_i1025" DrawAspect="Content" ObjectID="_1851842773" r:id="rId20"/>
        </w:object>
      </w:r>
      <w:r w:rsidRPr="006E50FF">
        <w:rPr>
          <w:kern w:val="2"/>
        </w:rPr>
        <w:t>) on a mass-weighted basis shall be calculated by using the results for all waste determinations conducted in accordance with Subparagraphs B.3.b and c of this Section and the following equation.</w:t>
      </w:r>
    </w:p>
    <w:p w14:paraId="209FC9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CFDBC99" w14:textId="77777777" w:rsidR="006E50FF" w:rsidRPr="006E50FF" w:rsidRDefault="006E50FF" w:rsidP="006E50FF">
      <w:pPr>
        <w:tabs>
          <w:tab w:val="left" w:pos="907"/>
        </w:tabs>
        <w:ind w:firstLine="547"/>
        <w:jc w:val="both"/>
        <w:outlineLvl w:val="5"/>
        <w:rPr>
          <w:kern w:val="2"/>
        </w:rPr>
      </w:pPr>
      <m:oMathPara>
        <m:oMath>
          <m:r>
            <m:rPr>
              <m:sty m:val="p"/>
            </m:rPr>
            <w:rPr>
              <w:rFonts w:ascii="Cambria Math" w:hAnsi="Cambria Math"/>
              <w:kern w:val="2"/>
            </w:rPr>
            <m:t>(</m:t>
          </m:r>
          <m:r>
            <m:rPr>
              <m:sty m:val="p"/>
            </m:rPr>
            <w:rPr>
              <w:rFonts w:ascii="Cambria Math" w:hAnsi="Cambria Math"/>
              <w:kern w:val="2"/>
            </w:rPr>
            <w:object w:dxaOrig="240" w:dyaOrig="300" w14:anchorId="1AD54402">
              <v:shape id="_x0000_i1026" type="#_x0000_t75" alt="Equation showing the average VO concentration on a mass-weighted basis shall be calculated by using the results for all waste determinations conducted in accordance with Subparagraphs B.3.b and c of this Section. " style="width:11.55pt;height:14.2pt" o:ole="" fillcolor="window">
                <v:imagedata r:id="rId19" o:title=""/>
              </v:shape>
              <o:OLEObject Type="Embed" ProgID="Equation.3" ShapeID="_x0000_i1026" DrawAspect="Content" ObjectID="_1851842774" r:id="rId21"/>
            </w:object>
          </m:r>
          <m:r>
            <m:rPr>
              <m:sty m:val="p"/>
            </m:rPr>
            <w:rPr>
              <w:rFonts w:ascii="Cambria Math" w:hAnsi="Cambria Math"/>
              <w:kern w:val="2"/>
            </w:rPr>
            <m:t>)</m:t>
          </m:r>
          <m:r>
            <w:rPr>
              <w:rFonts w:ascii="Cambria Math" w:hAnsi="Cambria Math"/>
              <w:kern w:val="2"/>
            </w:rPr>
            <m:t>=</m:t>
          </m:r>
          <m:f>
            <m:fPr>
              <m:ctrlPr>
                <w:rPr>
                  <w:rFonts w:ascii="Cambria Math" w:hAnsi="Cambria Math"/>
                  <w:i/>
                  <w:kern w:val="2"/>
                </w:rPr>
              </m:ctrlPr>
            </m:fPr>
            <m:num>
              <m:r>
                <w:rPr>
                  <w:rFonts w:ascii="Cambria Math" w:hAnsi="Cambria Math"/>
                  <w:kern w:val="2"/>
                </w:rPr>
                <m:t>1</m:t>
              </m:r>
            </m:num>
            <m:den>
              <m:sSub>
                <m:sSubPr>
                  <m:ctrlPr>
                    <w:rPr>
                      <w:rFonts w:ascii="Cambria Math" w:hAnsi="Cambria Math"/>
                      <w:i/>
                      <w:kern w:val="2"/>
                    </w:rPr>
                  </m:ctrlPr>
                </m:sSubPr>
                <m:e>
                  <m:r>
                    <w:rPr>
                      <w:rFonts w:ascii="Cambria Math" w:hAnsi="Cambria Math"/>
                      <w:kern w:val="2"/>
                    </w:rPr>
                    <m:t>Q</m:t>
                  </m:r>
                </m:e>
                <m:sub>
                  <m:r>
                    <w:rPr>
                      <w:rFonts w:ascii="Cambria Math" w:hAnsi="Cambria Math"/>
                      <w:kern w:val="2"/>
                    </w:rPr>
                    <m:t>T</m:t>
                  </m:r>
                </m:sub>
              </m:sSub>
            </m:den>
          </m:f>
          <m:r>
            <w:rPr>
              <w:rFonts w:ascii="Cambria Math" w:hAnsi="Cambria Math"/>
              <w:kern w:val="2"/>
            </w:rPr>
            <m:t>x</m:t>
          </m:r>
          <m:nary>
            <m:naryPr>
              <m:chr m:val="∑"/>
              <m:limLoc m:val="undOvr"/>
              <m:ctrlPr>
                <w:rPr>
                  <w:rFonts w:ascii="Cambria Math" w:hAnsi="Cambria Math"/>
                  <w:i/>
                  <w:kern w:val="2"/>
                </w:rPr>
              </m:ctrlPr>
            </m:naryPr>
            <m:sub>
              <m:r>
                <w:rPr>
                  <w:rFonts w:ascii="Cambria Math" w:hAnsi="Cambria Math"/>
                  <w:kern w:val="2"/>
                </w:rPr>
                <m:t>i=1</m:t>
              </m:r>
            </m:sub>
            <m:sup>
              <m:r>
                <w:rPr>
                  <w:rFonts w:ascii="Cambria Math" w:hAnsi="Cambria Math"/>
                  <w:kern w:val="2"/>
                </w:rPr>
                <m:t>n</m:t>
              </m:r>
            </m:sup>
            <m:e>
              <m:d>
                <m:dPr>
                  <m:ctrlPr>
                    <w:rPr>
                      <w:rFonts w:ascii="Cambria Math" w:hAnsi="Cambria Math"/>
                      <w:i/>
                      <w:kern w:val="2"/>
                    </w:rPr>
                  </m:ctrlPr>
                </m:dPr>
                <m:e>
                  <m:sSub>
                    <m:sSubPr>
                      <m:ctrlPr>
                        <w:rPr>
                          <w:rFonts w:ascii="Cambria Math" w:hAnsi="Cambria Math"/>
                          <w:i/>
                          <w:kern w:val="2"/>
                        </w:rPr>
                      </m:ctrlPr>
                    </m:sSubPr>
                    <m:e>
                      <m:r>
                        <w:rPr>
                          <w:rFonts w:ascii="Cambria Math" w:hAnsi="Cambria Math"/>
                          <w:kern w:val="2"/>
                        </w:rPr>
                        <m:t>Q</m:t>
                      </m:r>
                    </m:e>
                    <m:sub>
                      <m:r>
                        <w:rPr>
                          <w:rFonts w:ascii="Cambria Math" w:hAnsi="Cambria Math"/>
                          <w:kern w:val="2"/>
                        </w:rPr>
                        <m:t>i</m:t>
                      </m:r>
                    </m:sub>
                  </m:sSub>
                  <m:r>
                    <w:rPr>
                      <w:rFonts w:ascii="Cambria Math" w:hAnsi="Cambria Math"/>
                      <w:kern w:val="2"/>
                    </w:rPr>
                    <m:t>x</m:t>
                  </m:r>
                  <m:sSub>
                    <m:sSubPr>
                      <m:ctrlPr>
                        <w:rPr>
                          <w:rFonts w:ascii="Cambria Math" w:hAnsi="Cambria Math"/>
                          <w:i/>
                          <w:kern w:val="2"/>
                        </w:rPr>
                      </m:ctrlPr>
                    </m:sSubPr>
                    <m:e>
                      <m:r>
                        <w:rPr>
                          <w:rFonts w:ascii="Cambria Math" w:hAnsi="Cambria Math"/>
                          <w:kern w:val="2"/>
                        </w:rPr>
                        <m:t>C</m:t>
                      </m:r>
                    </m:e>
                    <m:sub>
                      <m:r>
                        <w:rPr>
                          <w:rFonts w:ascii="Cambria Math" w:hAnsi="Cambria Math"/>
                          <w:kern w:val="2"/>
                        </w:rPr>
                        <m:t>i</m:t>
                      </m:r>
                    </m:sub>
                  </m:sSub>
                </m:e>
              </m:d>
            </m:e>
          </m:nary>
        </m:oMath>
      </m:oMathPara>
    </w:p>
    <w:p w14:paraId="1D3907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FD09D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712D48B5"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rFonts w:eastAsiaTheme="minorHAnsi"/>
        </w:rPr>
        <w:object w:dxaOrig="240" w:dyaOrig="300" w14:anchorId="029EBF25">
          <v:shape id="_x0000_i1027" type="#_x0000_t75" alt="Indicates average VO concentration of the hazardous waste at the point of waste treatment on a mass-weighted basis, ppmw" style="width:11.55pt;height:14.2pt" o:ole="" fillcolor="window">
            <v:imagedata r:id="rId19" o:title=""/>
          </v:shape>
          <o:OLEObject Type="Embed" ProgID="Equation.3" ShapeID="_x0000_i1027" DrawAspect="Content" ObjectID="_1851842775" r:id="rId22"/>
        </w:object>
      </w:r>
      <w:r w:rsidRPr="006E50FF">
        <w:rPr>
          <w:kern w:val="2"/>
          <w:sz w:val="16"/>
        </w:rPr>
        <w:t>= average VO concentration of the hazardous waste at the point of waste treatment on a mass-weighted basis, ppmw</w:t>
      </w:r>
    </w:p>
    <w:p w14:paraId="714B4B40"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i = individual waste determination "i" of the hazardous waste</w:t>
      </w:r>
    </w:p>
    <w:p w14:paraId="7092CE0F"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n = total number of waste determinations of the hazardous waste conducted for the averaging period (not to exceed one year)</w:t>
      </w:r>
    </w:p>
    <w:p w14:paraId="4AF8005F"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i</w:t>
      </w:r>
      <w:r w:rsidRPr="006E50FF">
        <w:rPr>
          <w:kern w:val="2"/>
          <w:sz w:val="16"/>
        </w:rPr>
        <w:t xml:space="preserve"> = mass quantity of hazardous waste stream represented by Ci, kg/hr</w:t>
      </w:r>
    </w:p>
    <w:p w14:paraId="27331E25"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T</w:t>
      </w:r>
      <w:r w:rsidRPr="006E50FF">
        <w:rPr>
          <w:kern w:val="2"/>
          <w:sz w:val="16"/>
        </w:rPr>
        <w:t xml:space="preserve"> = total mass quantity of hazardous waste during the averaging period, kg/hr</w:t>
      </w:r>
    </w:p>
    <w:p w14:paraId="6F183EEA"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C</w:t>
      </w:r>
      <w:r w:rsidRPr="006E50FF">
        <w:rPr>
          <w:sz w:val="16"/>
          <w:vertAlign w:val="subscript"/>
        </w:rPr>
        <w:t>i</w:t>
      </w:r>
      <w:r w:rsidRPr="006E50FF">
        <w:rPr>
          <w:kern w:val="2"/>
          <w:sz w:val="16"/>
        </w:rPr>
        <w:t xml:space="preserve"> = measured VO concentration of waste determination "i" as determined in accordance with the requirements of Subparagraph B.3.c of this Section (i.e., the average of the four or more samples specified in Clause B.3.b.ii of this Section), ppmw</w:t>
      </w:r>
    </w:p>
    <w:p w14:paraId="1032902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Provided that the test method is appropriate for the waste as required under Subparagraph B.3.c of this Section, compliance shall be determined based on the test method used by the owner or operator as recorded in accordance with LAC 33:V.4739.</w:t>
      </w:r>
    </w:p>
    <w:p w14:paraId="7ED190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Procedure to Determine the Exit Concentration Limit (C</w:t>
      </w:r>
      <w:r w:rsidRPr="006E50FF">
        <w:rPr>
          <w:kern w:val="2"/>
          <w:vertAlign w:val="subscript"/>
        </w:rPr>
        <w:t>t</w:t>
      </w:r>
      <w:r w:rsidRPr="006E50FF">
        <w:rPr>
          <w:kern w:val="2"/>
        </w:rPr>
        <w:t>) for a Treated Hazardous Waste</w:t>
      </w:r>
    </w:p>
    <w:p w14:paraId="48A2226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point of waste origination for each hazardous waste treated by the process at the same time shall be identified.</w:t>
      </w:r>
    </w:p>
    <w:p w14:paraId="0F0F567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a single hazardous waste stream is identified in Subparagraph B.4.a of this Section, then the exit concentration limit (C</w:t>
      </w:r>
      <w:r w:rsidRPr="006E50FF">
        <w:rPr>
          <w:kern w:val="2"/>
          <w:vertAlign w:val="subscript"/>
        </w:rPr>
        <w:t>t</w:t>
      </w:r>
      <w:r w:rsidRPr="006E50FF">
        <w:rPr>
          <w:kern w:val="2"/>
        </w:rPr>
        <w:t>) shall be 500 ppmw.</w:t>
      </w:r>
    </w:p>
    <w:p w14:paraId="5A75B74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more than one hazardous waste stream is identified in Subparagraph B.4.a of this Section, then the average VO concentration of each hazardous waste stream at the point of waste origination shall be determined in accordance with the requirements of Subsection A of this Section. The exit concentration limit (C</w:t>
      </w:r>
      <w:r w:rsidRPr="006E50FF">
        <w:rPr>
          <w:kern w:val="2"/>
          <w:vertAlign w:val="subscript"/>
        </w:rPr>
        <w:t>t</w:t>
      </w:r>
      <w:r w:rsidRPr="006E50FF">
        <w:rPr>
          <w:kern w:val="2"/>
        </w:rPr>
        <w:t>) shall be calculated by using the results determined for each individual hazardous waste stream and the following equation.</w:t>
      </w:r>
    </w:p>
    <w:p w14:paraId="7105E028" w14:textId="77777777" w:rsidR="006E50FF" w:rsidRPr="006E50FF" w:rsidRDefault="006E50FF" w:rsidP="006E50FF">
      <w:pPr>
        <w:tabs>
          <w:tab w:val="left" w:pos="907"/>
        </w:tabs>
        <w:ind w:firstLine="547"/>
        <w:jc w:val="both"/>
        <w:outlineLvl w:val="5"/>
        <w:rPr>
          <w:kern w:val="2"/>
        </w:rPr>
      </w:pPr>
    </w:p>
    <w:p w14:paraId="097560E9" w14:textId="77777777" w:rsidR="006E50FF" w:rsidRPr="006E50FF" w:rsidRDefault="004003A7"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Pr>
          <w:kern w:val="2"/>
        </w:rPr>
        <w:object w:dxaOrig="1440" w:dyaOrig="1440" w14:anchorId="70A98CED">
          <v:shape id="_x0000_s1026" type="#_x0000_t75" alt="This is the equation used to determine results for exit concentration limit." style="position:absolute;left:0;text-align:left;margin-left:31.05pt;margin-top:9.9pt;width:173pt;height:59pt;z-index:251662336" o:allowincell="f">
            <v:imagedata r:id="rId23" o:title=""/>
            <w10:wrap type="topAndBottom"/>
            <w10:anchorlock/>
          </v:shape>
          <o:OLEObject Type="Embed" ProgID="Equation.3" ShapeID="_x0000_s1026" DrawAspect="Content" ObjectID="_1851842776" r:id="rId24"/>
        </w:object>
      </w:r>
      <w:r w:rsidR="006E50FF" w:rsidRPr="006E50FF">
        <w:rPr>
          <w:kern w:val="2"/>
        </w:rPr>
        <w:t>where:</w:t>
      </w:r>
    </w:p>
    <w:p w14:paraId="77138037"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Ct= exit concentration limit for treated hazardous waste, ppmw</w:t>
      </w:r>
    </w:p>
    <w:p w14:paraId="422AB950"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x = individual hazardous waste stream "x" that has an average VO concentration less than 500 ppmw at the point of waste origination as determined in accordance with the requirements of Subsection A of this Section</w:t>
      </w:r>
    </w:p>
    <w:p w14:paraId="7C140B4C"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lastRenderedPageBreak/>
        <w:t>y = individual hazardous waste stream "y" that has an average VO concentration equal to or greater than 500 ppmw at the point of waste origination as determined in accordance with the requirements of Subsection A of this Section</w:t>
      </w:r>
    </w:p>
    <w:p w14:paraId="28026FA0"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m = total number of "x" hazardous waste streams treated by process</w:t>
      </w:r>
    </w:p>
    <w:p w14:paraId="00812146"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n = total number of "y" hazardous waste streams treated by process</w:t>
      </w:r>
    </w:p>
    <w:p w14:paraId="74E62D3A"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x</w:t>
      </w:r>
      <w:r w:rsidRPr="006E50FF">
        <w:rPr>
          <w:kern w:val="2"/>
          <w:sz w:val="16"/>
        </w:rPr>
        <w:t xml:space="preserve"> = annual mass quantity of hazardous waste stream "x," kg/yr</w:t>
      </w:r>
    </w:p>
    <w:p w14:paraId="3D62101E"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y</w:t>
      </w:r>
      <w:r w:rsidRPr="006E50FF">
        <w:rPr>
          <w:kern w:val="2"/>
          <w:sz w:val="16"/>
        </w:rPr>
        <w:t xml:space="preserve"> = annual mass quantity of hazardous waste stream "y," kg/yr</w:t>
      </w:r>
    </w:p>
    <w:p w14:paraId="761132A0" w14:textId="77777777" w:rsidR="006E50FF" w:rsidRPr="006E50FF" w:rsidRDefault="004003A7" w:rsidP="006E50FF">
      <w:pPr>
        <w:tabs>
          <w:tab w:val="left" w:pos="0"/>
          <w:tab w:val="left" w:pos="180"/>
          <w:tab w:val="left" w:pos="36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highlight w:val="yellow"/>
        </w:rPr>
      </w:pP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x</m:t>
            </m:r>
          </m:sub>
        </m:sSub>
      </m:oMath>
      <w:r w:rsidR="006E50FF" w:rsidRPr="006E50FF">
        <w:rPr>
          <w:kern w:val="2"/>
          <w:sz w:val="16"/>
        </w:rPr>
        <w:t xml:space="preserve"> = average VO concentration of hazardous waste stream "x" at the point of waste origination as determined in accordance with the requirements of Subsection A of this Section, ppmw</w:t>
      </w:r>
    </w:p>
    <w:p w14:paraId="0CD01B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Procedure to Determine the Organic Reduction Efficiency (R) for a Treated Hazardous Waste</w:t>
      </w:r>
    </w:p>
    <w:p w14:paraId="26B2ABF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organic reduction efficiency (R) for a treatment process shall be determined based on results for a minimum of three consecutive runs.</w:t>
      </w:r>
    </w:p>
    <w:p w14:paraId="2F7CC9C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All hazardous waste streams entering the treatment process and all hazardous waste streams exiting the treatment process shall be identified. The owner or operator shall prepare a sampling plan for measuring these streams that accurately reflects the retention time of the hazardous waste in the process.</w:t>
      </w:r>
    </w:p>
    <w:p w14:paraId="61567C7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each run, information shall be determined for each hazardous waste stream identified in Subparagraph B.5.b of this Section using the following procedures:</w:t>
      </w:r>
    </w:p>
    <w:p w14:paraId="4DF2980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mass quantity of each hazardous waste stream entering the process (Q</w:t>
      </w:r>
      <w:r w:rsidRPr="006E50FF">
        <w:rPr>
          <w:kern w:val="2"/>
          <w:vertAlign w:val="subscript"/>
        </w:rPr>
        <w:t>b</w:t>
      </w:r>
      <w:r w:rsidRPr="006E50FF">
        <w:rPr>
          <w:kern w:val="2"/>
        </w:rPr>
        <w:t>) and the mass quantity of each hazardous waste stream exiting the process (Q</w:t>
      </w:r>
      <w:r w:rsidRPr="006E50FF">
        <w:rPr>
          <w:kern w:val="2"/>
          <w:vertAlign w:val="subscript"/>
        </w:rPr>
        <w:t>a</w:t>
      </w:r>
      <w:r w:rsidRPr="006E50FF">
        <w:rPr>
          <w:kern w:val="2"/>
        </w:rPr>
        <w:t>) shall be determined;</w:t>
      </w:r>
    </w:p>
    <w:p w14:paraId="6EBF55D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average VO concentration at the point of waste origination of each hazardous waste stream entering the process (</w:t>
      </w: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b</m:t>
            </m:r>
          </m:sub>
        </m:sSub>
      </m:oMath>
      <w:r w:rsidRPr="006E50FF">
        <w:rPr>
          <w:kern w:val="2"/>
        </w:rPr>
        <w:t>) during the run shall be determined in accordance with the requirements of Paragraph A.3 of this Section. The average VO concentration at the point of waste treatment of each waste stream exiting the process (</w:t>
      </w: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a</m:t>
            </m:r>
          </m:sub>
        </m:sSub>
      </m:oMath>
      <w:r w:rsidRPr="006E50FF">
        <w:rPr>
          <w:kern w:val="2"/>
        </w:rPr>
        <w:t>) during the run shall be determined in accordance with the requirements of Paragraph B.3 of this Section.</w:t>
      </w:r>
    </w:p>
    <w:p w14:paraId="3D4C879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waste volatile organic mass flow entering the process (E</w:t>
      </w:r>
      <w:r w:rsidRPr="006E50FF">
        <w:rPr>
          <w:kern w:val="2"/>
          <w:vertAlign w:val="subscript"/>
        </w:rPr>
        <w:t>b</w:t>
      </w:r>
      <w:r w:rsidRPr="006E50FF">
        <w:rPr>
          <w:kern w:val="2"/>
        </w:rPr>
        <w:t>) and the waste volatile organic mass flow exiting the process (E</w:t>
      </w:r>
      <w:r w:rsidRPr="006E50FF">
        <w:rPr>
          <w:kern w:val="2"/>
          <w:vertAlign w:val="subscript"/>
        </w:rPr>
        <w:t>a</w:t>
      </w:r>
      <w:r w:rsidRPr="006E50FF">
        <w:rPr>
          <w:kern w:val="2"/>
        </w:rPr>
        <w:t>) shall be calculated by using the results determined in accordance with Subparagraph B.5.c of this Section and the following equations.</w:t>
      </w:r>
    </w:p>
    <w:p w14:paraId="3BF9D90F" w14:textId="77777777" w:rsidR="006E50FF" w:rsidRPr="006E50FF" w:rsidRDefault="006E50FF" w:rsidP="006E50FF">
      <w:pPr>
        <w:tabs>
          <w:tab w:val="left" w:pos="907"/>
        </w:tabs>
        <w:ind w:firstLine="547"/>
        <w:jc w:val="both"/>
        <w:outlineLvl w:val="5"/>
        <w:rPr>
          <w:kern w:val="2"/>
        </w:rPr>
      </w:pPr>
    </w:p>
    <w:p w14:paraId="7B08F94D" w14:textId="77777777" w:rsidR="006E50FF" w:rsidRPr="006E50FF" w:rsidRDefault="004003A7" w:rsidP="006E50FF">
      <w:pPr>
        <w:tabs>
          <w:tab w:val="left" w:pos="907"/>
        </w:tabs>
        <w:ind w:firstLine="547"/>
        <w:jc w:val="both"/>
        <w:outlineLvl w:val="5"/>
        <w:rPr>
          <w:iCs/>
          <w:kern w:val="2"/>
        </w:rPr>
      </w:pPr>
      <m:oMathPara>
        <m:oMath>
          <m:sSub>
            <m:sSubPr>
              <m:ctrlPr>
                <w:rPr>
                  <w:rFonts w:ascii="Cambria Math" w:eastAsia="Calibri" w:hAnsi="Cambria Math"/>
                  <w:i/>
                  <w:iCs/>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m:t>
          </m:r>
          <m:f>
            <m:fPr>
              <m:ctrlPr>
                <w:rPr>
                  <w:rFonts w:ascii="Cambria Math" w:eastAsia="Calibri" w:hAnsi="Cambria Math"/>
                  <w:i/>
                  <w:iCs/>
                  <w:kern w:val="2"/>
                </w:rPr>
              </m:ctrlPr>
            </m:fPr>
            <m:num>
              <m:r>
                <w:rPr>
                  <w:rFonts w:ascii="Cambria Math" w:hAnsi="Cambria Math"/>
                  <w:kern w:val="2"/>
                </w:rPr>
                <m:t>1</m:t>
              </m:r>
            </m:num>
            <m:den>
              <m:sSup>
                <m:sSupPr>
                  <m:ctrlPr>
                    <w:rPr>
                      <w:rFonts w:ascii="Cambria Math" w:eastAsia="Calibri" w:hAnsi="Cambria Math"/>
                      <w:i/>
                      <w:iCs/>
                      <w:kern w:val="2"/>
                    </w:rPr>
                  </m:ctrlPr>
                </m:sSupPr>
                <m:e>
                  <m:r>
                    <w:rPr>
                      <w:rFonts w:ascii="Cambria Math" w:hAnsi="Cambria Math"/>
                      <w:kern w:val="2"/>
                    </w:rPr>
                    <m:t>10</m:t>
                  </m:r>
                </m:e>
                <m:sup>
                  <m:r>
                    <w:rPr>
                      <w:rFonts w:ascii="Cambria Math" w:hAnsi="Cambria Math"/>
                      <w:kern w:val="2"/>
                    </w:rPr>
                    <m:t>6</m:t>
                  </m:r>
                </m:sup>
              </m:sSup>
            </m:den>
          </m:f>
          <m:nary>
            <m:naryPr>
              <m:chr m:val="∑"/>
              <m:limLoc m:val="undOvr"/>
              <m:ctrlPr>
                <w:rPr>
                  <w:rFonts w:ascii="Cambria Math" w:eastAsia="Calibri" w:hAnsi="Cambria Math"/>
                  <w:i/>
                  <w:iCs/>
                  <w:kern w:val="2"/>
                </w:rPr>
              </m:ctrlPr>
            </m:naryPr>
            <m:sub>
              <m:r>
                <w:rPr>
                  <w:rFonts w:ascii="Cambria Math" w:hAnsi="Cambria Math"/>
                  <w:kern w:val="2"/>
                </w:rPr>
                <m:t>j=1</m:t>
              </m:r>
            </m:sub>
            <m:sup>
              <m:r>
                <w:rPr>
                  <w:rFonts w:ascii="Cambria Math" w:hAnsi="Cambria Math"/>
                  <w:kern w:val="2"/>
                </w:rPr>
                <m:t>m</m:t>
              </m:r>
            </m:sup>
            <m:e>
              <m:d>
                <m:dPr>
                  <m:ctrlPr>
                    <w:rPr>
                      <w:rFonts w:ascii="Cambria Math" w:eastAsia="Calibri" w:hAnsi="Cambria Math"/>
                      <w:i/>
                      <w:iCs/>
                      <w:kern w:val="2"/>
                    </w:rPr>
                  </m:ctrlPr>
                </m:dPr>
                <m:e>
                  <m:sSub>
                    <m:sSubPr>
                      <m:ctrlPr>
                        <w:rPr>
                          <w:rFonts w:ascii="Cambria Math" w:eastAsia="Calibri" w:hAnsi="Cambria Math"/>
                          <w:i/>
                          <w:iCs/>
                          <w:kern w:val="2"/>
                        </w:rPr>
                      </m:ctrlPr>
                    </m:sSubPr>
                    <m:e>
                      <m:r>
                        <w:rPr>
                          <w:rFonts w:ascii="Cambria Math" w:hAnsi="Cambria Math"/>
                          <w:kern w:val="2"/>
                        </w:rPr>
                        <m:t>Q</m:t>
                      </m:r>
                    </m:e>
                    <m:sub>
                      <m:r>
                        <w:rPr>
                          <w:rFonts w:ascii="Cambria Math" w:hAnsi="Cambria Math"/>
                          <w:kern w:val="2"/>
                        </w:rPr>
                        <m:t>bj</m:t>
                      </m:r>
                    </m:sub>
                  </m:sSub>
                  <m:r>
                    <w:rPr>
                      <w:rFonts w:ascii="Cambria Math" w:hAnsi="Cambria Math"/>
                      <w:kern w:val="2"/>
                    </w:rPr>
                    <m:t xml:space="preserve"> x </m:t>
                  </m:r>
                  <m:sSub>
                    <m:sSubPr>
                      <m:ctrlPr>
                        <w:rPr>
                          <w:rFonts w:ascii="Cambria Math" w:eastAsia="Calibri" w:hAnsi="Cambria Math"/>
                          <w:i/>
                          <w:iCs/>
                          <w:kern w:val="2"/>
                        </w:rPr>
                      </m:ctrlPr>
                    </m:sSubPr>
                    <m:e>
                      <m:acc>
                        <m:accPr>
                          <m:chr m:val="̅"/>
                          <m:ctrlPr>
                            <w:rPr>
                              <w:rFonts w:ascii="Cambria Math" w:eastAsia="Calibri" w:hAnsi="Cambria Math"/>
                              <w:i/>
                              <w:iCs/>
                              <w:kern w:val="2"/>
                            </w:rPr>
                          </m:ctrlPr>
                        </m:accPr>
                        <m:e>
                          <m:r>
                            <w:rPr>
                              <w:rFonts w:ascii="Cambria Math" w:hAnsi="Cambria Math"/>
                              <w:kern w:val="2"/>
                            </w:rPr>
                            <m:t>C</m:t>
                          </m:r>
                        </m:e>
                      </m:acc>
                    </m:e>
                    <m:sub>
                      <m:r>
                        <w:rPr>
                          <w:rFonts w:ascii="Cambria Math" w:hAnsi="Cambria Math"/>
                          <w:kern w:val="2"/>
                        </w:rPr>
                        <m:t>bj</m:t>
                      </m:r>
                    </m:sub>
                  </m:sSub>
                </m:e>
              </m:d>
            </m:e>
          </m:nary>
        </m:oMath>
      </m:oMathPara>
    </w:p>
    <w:p w14:paraId="2250EB8C" w14:textId="77777777" w:rsidR="006E50FF" w:rsidRPr="006E50FF" w:rsidRDefault="006E50FF" w:rsidP="006E50FF">
      <w:pPr>
        <w:tabs>
          <w:tab w:val="left" w:pos="907"/>
        </w:tabs>
        <w:ind w:firstLine="547"/>
        <w:jc w:val="both"/>
        <w:outlineLvl w:val="5"/>
        <w:rPr>
          <w:kern w:val="2"/>
        </w:rPr>
      </w:pPr>
    </w:p>
    <w:p w14:paraId="156914FB" w14:textId="77777777" w:rsidR="006E50FF" w:rsidRPr="006E50FF" w:rsidRDefault="004003A7" w:rsidP="006E50FF">
      <w:pPr>
        <w:tabs>
          <w:tab w:val="left" w:pos="907"/>
        </w:tabs>
        <w:ind w:firstLine="547"/>
        <w:jc w:val="both"/>
        <w:outlineLvl w:val="5"/>
        <w:rPr>
          <w:iCs/>
          <w:sz w:val="24"/>
          <w:szCs w:val="24"/>
        </w:rPr>
      </w:pPr>
      <m:oMathPara>
        <m:oMath>
          <m:sSub>
            <m:sSubPr>
              <m:ctrlPr>
                <w:rPr>
                  <w:rFonts w:ascii="Cambria Math" w:eastAsia="Calibri" w:hAnsi="Cambria Math" w:cs="Calibri"/>
                  <w:i/>
                  <w:iCs/>
                  <w:sz w:val="24"/>
                  <w:szCs w:val="24"/>
                </w:rPr>
              </m:ctrlPr>
            </m:sSubPr>
            <m:e>
              <m:r>
                <w:rPr>
                  <w:rFonts w:ascii="Cambria Math" w:eastAsia="Calibri" w:hAnsi="Cambria Math" w:cs="Calibri"/>
                  <w:sz w:val="22"/>
                  <w:szCs w:val="22"/>
                </w:rPr>
                <m:t>E</m:t>
              </m:r>
            </m:e>
            <m:sub>
              <m:r>
                <w:rPr>
                  <w:rFonts w:ascii="Cambria Math" w:eastAsia="Calibri" w:hAnsi="Cambria Math" w:cs="Calibri"/>
                  <w:sz w:val="22"/>
                  <w:szCs w:val="22"/>
                </w:rPr>
                <m:t>a</m:t>
              </m:r>
            </m:sub>
          </m:sSub>
          <m:r>
            <w:rPr>
              <w:rFonts w:ascii="Cambria Math" w:eastAsia="Calibri" w:hAnsi="Cambria Math" w:cs="Calibri"/>
              <w:sz w:val="22"/>
              <w:szCs w:val="22"/>
            </w:rPr>
            <m:t>=</m:t>
          </m:r>
          <m:f>
            <m:fPr>
              <m:ctrlPr>
                <w:rPr>
                  <w:rFonts w:ascii="Cambria Math" w:eastAsia="Calibri" w:hAnsi="Cambria Math" w:cs="Calibri"/>
                  <w:i/>
                  <w:iCs/>
                  <w:sz w:val="24"/>
                  <w:szCs w:val="24"/>
                </w:rPr>
              </m:ctrlPr>
            </m:fPr>
            <m:num>
              <m:r>
                <w:rPr>
                  <w:rFonts w:ascii="Cambria Math" w:eastAsia="Calibri" w:hAnsi="Cambria Math" w:cs="Calibri"/>
                  <w:sz w:val="22"/>
                  <w:szCs w:val="22"/>
                </w:rPr>
                <m:t>1</m:t>
              </m:r>
            </m:num>
            <m:den>
              <m:sSup>
                <m:sSupPr>
                  <m:ctrlPr>
                    <w:rPr>
                      <w:rFonts w:ascii="Cambria Math" w:eastAsia="Calibri" w:hAnsi="Cambria Math" w:cs="Calibri"/>
                      <w:i/>
                      <w:iCs/>
                      <w:sz w:val="24"/>
                      <w:szCs w:val="24"/>
                    </w:rPr>
                  </m:ctrlPr>
                </m:sSupPr>
                <m:e>
                  <m:r>
                    <w:rPr>
                      <w:rFonts w:ascii="Cambria Math" w:eastAsia="Calibri" w:hAnsi="Cambria Math" w:cs="Calibri"/>
                      <w:sz w:val="22"/>
                      <w:szCs w:val="22"/>
                    </w:rPr>
                    <m:t>10</m:t>
                  </m:r>
                </m:e>
                <m:sup>
                  <m:r>
                    <w:rPr>
                      <w:rFonts w:ascii="Cambria Math" w:eastAsia="Calibri" w:hAnsi="Cambria Math" w:cs="Calibri"/>
                      <w:sz w:val="22"/>
                      <w:szCs w:val="22"/>
                    </w:rPr>
                    <m:t>6</m:t>
                  </m:r>
                </m:sup>
              </m:sSup>
            </m:den>
          </m:f>
          <m:nary>
            <m:naryPr>
              <m:chr m:val="∑"/>
              <m:limLoc m:val="undOvr"/>
              <m:ctrlPr>
                <w:rPr>
                  <w:rFonts w:ascii="Cambria Math" w:eastAsia="Calibri" w:hAnsi="Cambria Math" w:cs="Calibri"/>
                  <w:i/>
                  <w:iCs/>
                  <w:sz w:val="24"/>
                  <w:szCs w:val="24"/>
                </w:rPr>
              </m:ctrlPr>
            </m:naryPr>
            <m:sub>
              <m:r>
                <w:rPr>
                  <w:rFonts w:ascii="Cambria Math" w:eastAsia="Calibri" w:hAnsi="Cambria Math" w:cs="Calibri"/>
                  <w:sz w:val="22"/>
                  <w:szCs w:val="22"/>
                </w:rPr>
                <m:t>j=1</m:t>
              </m:r>
            </m:sub>
            <m:sup>
              <m:r>
                <w:rPr>
                  <w:rFonts w:ascii="Cambria Math" w:eastAsia="Calibri" w:hAnsi="Cambria Math" w:cs="Calibri"/>
                  <w:sz w:val="22"/>
                  <w:szCs w:val="22"/>
                </w:rPr>
                <m:t>m</m:t>
              </m:r>
            </m:sup>
            <m:e>
              <m:d>
                <m:dPr>
                  <m:ctrlPr>
                    <w:rPr>
                      <w:rFonts w:ascii="Cambria Math" w:eastAsia="Calibri" w:hAnsi="Cambria Math" w:cs="Calibri"/>
                      <w:i/>
                      <w:iCs/>
                      <w:sz w:val="24"/>
                      <w:szCs w:val="24"/>
                    </w:rPr>
                  </m:ctrlPr>
                </m:dPr>
                <m:e>
                  <m:sSub>
                    <m:sSubPr>
                      <m:ctrlPr>
                        <w:rPr>
                          <w:rFonts w:ascii="Cambria Math" w:eastAsia="Calibri" w:hAnsi="Cambria Math" w:cs="Calibri"/>
                          <w:i/>
                          <w:iCs/>
                          <w:sz w:val="24"/>
                          <w:szCs w:val="24"/>
                        </w:rPr>
                      </m:ctrlPr>
                    </m:sSubPr>
                    <m:e>
                      <m:r>
                        <w:rPr>
                          <w:rFonts w:ascii="Cambria Math" w:eastAsia="Calibri" w:hAnsi="Cambria Math" w:cs="Calibri"/>
                          <w:sz w:val="22"/>
                          <w:szCs w:val="22"/>
                        </w:rPr>
                        <m:t>Q</m:t>
                      </m:r>
                    </m:e>
                    <m:sub>
                      <m:r>
                        <w:rPr>
                          <w:rFonts w:ascii="Cambria Math" w:eastAsia="Calibri" w:hAnsi="Cambria Math" w:cs="Calibri"/>
                          <w:sz w:val="22"/>
                          <w:szCs w:val="22"/>
                        </w:rPr>
                        <m:t>aj</m:t>
                      </m:r>
                    </m:sub>
                  </m:sSub>
                  <m:r>
                    <w:rPr>
                      <w:rFonts w:ascii="Cambria Math" w:eastAsia="Calibri" w:hAnsi="Cambria Math" w:cs="Calibri"/>
                      <w:sz w:val="22"/>
                      <w:szCs w:val="22"/>
                    </w:rPr>
                    <m:t xml:space="preserve"> x </m:t>
                  </m:r>
                  <m:sSub>
                    <m:sSubPr>
                      <m:ctrlPr>
                        <w:rPr>
                          <w:rFonts w:ascii="Cambria Math" w:eastAsia="Calibri" w:hAnsi="Cambria Math" w:cs="Calibri"/>
                          <w:i/>
                          <w:iCs/>
                          <w:sz w:val="24"/>
                          <w:szCs w:val="24"/>
                        </w:rPr>
                      </m:ctrlPr>
                    </m:sSubPr>
                    <m:e>
                      <m:acc>
                        <m:accPr>
                          <m:chr m:val="̅"/>
                          <m:ctrlPr>
                            <w:rPr>
                              <w:rFonts w:ascii="Cambria Math" w:eastAsia="Calibri" w:hAnsi="Cambria Math" w:cs="Calibri"/>
                              <w:i/>
                              <w:iCs/>
                              <w:sz w:val="24"/>
                              <w:szCs w:val="24"/>
                            </w:rPr>
                          </m:ctrlPr>
                        </m:accPr>
                        <m:e>
                          <m:r>
                            <w:rPr>
                              <w:rFonts w:ascii="Cambria Math" w:eastAsia="Calibri" w:hAnsi="Cambria Math" w:cs="Calibri"/>
                              <w:sz w:val="22"/>
                              <w:szCs w:val="22"/>
                            </w:rPr>
                            <m:t>C</m:t>
                          </m:r>
                        </m:e>
                      </m:acc>
                    </m:e>
                    <m:sub>
                      <m:r>
                        <w:rPr>
                          <w:rFonts w:ascii="Cambria Math" w:eastAsia="Calibri" w:hAnsi="Cambria Math" w:cs="Calibri"/>
                          <w:sz w:val="22"/>
                          <w:szCs w:val="22"/>
                        </w:rPr>
                        <m:t>aj</m:t>
                      </m:r>
                    </m:sub>
                  </m:sSub>
                </m:e>
              </m:d>
            </m:e>
          </m:nary>
        </m:oMath>
      </m:oMathPara>
    </w:p>
    <w:p w14:paraId="7B56A0B8" w14:textId="77777777" w:rsidR="006E50FF" w:rsidRPr="006E50FF" w:rsidRDefault="006E50FF" w:rsidP="006E50FF">
      <w:pPr>
        <w:tabs>
          <w:tab w:val="left" w:pos="907"/>
        </w:tabs>
        <w:ind w:firstLine="547"/>
        <w:jc w:val="both"/>
        <w:outlineLvl w:val="5"/>
        <w:rPr>
          <w:kern w:val="2"/>
        </w:rPr>
      </w:pPr>
    </w:p>
    <w:p w14:paraId="4560B4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29EFA30A"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E</w:t>
      </w:r>
      <w:r w:rsidRPr="006E50FF">
        <w:rPr>
          <w:sz w:val="16"/>
          <w:vertAlign w:val="subscript"/>
        </w:rPr>
        <w:t>a</w:t>
      </w:r>
      <w:r w:rsidRPr="006E50FF">
        <w:rPr>
          <w:kern w:val="2"/>
          <w:sz w:val="16"/>
        </w:rPr>
        <w:t xml:space="preserve"> = waste volatile organic mass flow exiting process, kg/hr</w:t>
      </w:r>
    </w:p>
    <w:p w14:paraId="694E7B6A"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E</w:t>
      </w:r>
      <w:r w:rsidRPr="006E50FF">
        <w:rPr>
          <w:sz w:val="16"/>
          <w:vertAlign w:val="subscript"/>
        </w:rPr>
        <w:t>b</w:t>
      </w:r>
      <w:r w:rsidRPr="006E50FF">
        <w:rPr>
          <w:kern w:val="2"/>
          <w:sz w:val="16"/>
        </w:rPr>
        <w:t xml:space="preserve"> = waste volatile organic mass flow entering process, kg/hr</w:t>
      </w:r>
    </w:p>
    <w:p w14:paraId="02E187F9"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kern w:val="2"/>
          <w:sz w:val="16"/>
        </w:rPr>
        <w:t>m = total number of runs (at least 3)</w:t>
      </w:r>
    </w:p>
    <w:p w14:paraId="212A159B"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kern w:val="2"/>
          <w:sz w:val="16"/>
        </w:rPr>
        <w:t>j = individual run "j"</w:t>
      </w:r>
    </w:p>
    <w:p w14:paraId="668B8CFD"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Q</w:t>
      </w:r>
      <w:r w:rsidRPr="006E50FF">
        <w:rPr>
          <w:sz w:val="16"/>
          <w:vertAlign w:val="subscript"/>
        </w:rPr>
        <w:t>b</w:t>
      </w:r>
      <w:r w:rsidRPr="006E50FF">
        <w:rPr>
          <w:kern w:val="2"/>
          <w:sz w:val="16"/>
        </w:rPr>
        <w:t xml:space="preserve"> = mass quantity of hazardous waste entering process during run "j," kg/hr</w:t>
      </w:r>
    </w:p>
    <w:p w14:paraId="12ACA0CD"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Q</w:t>
      </w:r>
      <w:r w:rsidRPr="006E50FF">
        <w:rPr>
          <w:sz w:val="16"/>
          <w:vertAlign w:val="subscript"/>
        </w:rPr>
        <w:t>a</w:t>
      </w:r>
      <w:r w:rsidRPr="006E50FF">
        <w:rPr>
          <w:kern w:val="2"/>
          <w:sz w:val="16"/>
        </w:rPr>
        <w:t xml:space="preserve"> = average mass quantity of hazardous waste exiting process during run "j," kg/hr</w:t>
      </w:r>
    </w:p>
    <w:p w14:paraId="03A1989E" w14:textId="77777777" w:rsidR="006E50FF" w:rsidRPr="006E50FF" w:rsidRDefault="004003A7"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m:oMath>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C</m:t>
                </m:r>
              </m:e>
            </m:acc>
          </m:e>
          <m:sub>
            <m:r>
              <w:rPr>
                <w:rFonts w:ascii="Cambria Math" w:hAnsi="Cambria Math"/>
                <w:sz w:val="16"/>
                <w:szCs w:val="16"/>
              </w:rPr>
              <m:t>a</m:t>
            </m:r>
          </m:sub>
        </m:sSub>
      </m:oMath>
      <w:r w:rsidR="006E50FF" w:rsidRPr="006E50FF">
        <w:rPr>
          <w:kern w:val="2"/>
          <w:sz w:val="16"/>
        </w:rPr>
        <w:t>= average VO concentration of hazardous waste exiting process during run "j" as determined in accordance with the requirements of Paragraph B.3 of this Section, ppmw</w:t>
      </w:r>
    </w:p>
    <w:p w14:paraId="69688517" w14:textId="77777777" w:rsidR="006E50FF" w:rsidRPr="006E50FF" w:rsidRDefault="004003A7"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m:oMath>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C</m:t>
                </m:r>
              </m:e>
            </m:acc>
          </m:e>
          <m:sub>
            <m:r>
              <w:rPr>
                <w:rFonts w:ascii="Cambria Math" w:hAnsi="Cambria Math"/>
                <w:sz w:val="16"/>
                <w:szCs w:val="16"/>
              </w:rPr>
              <m:t>b</m:t>
            </m:r>
          </m:sub>
        </m:sSub>
      </m:oMath>
      <w:r w:rsidR="006E50FF" w:rsidRPr="006E50FF">
        <w:rPr>
          <w:sz w:val="16"/>
        </w:rPr>
        <w:t xml:space="preserve"> </w:t>
      </w:r>
      <w:r w:rsidR="006E50FF" w:rsidRPr="006E50FF">
        <w:rPr>
          <w:kern w:val="2"/>
          <w:sz w:val="16"/>
        </w:rPr>
        <w:t>= average VO concentration of hazardous waste entering process during run "j" as determined in accordance with the requirements of Paragraph A.3 of this Section, ppmw</w:t>
      </w:r>
    </w:p>
    <w:p w14:paraId="69C6BD3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organic reduction efficiency of the process shall be calculated by using the results determined in accordance with Subparagraph B.5.d of this Section and the following equation.</w:t>
      </w:r>
    </w:p>
    <w:p w14:paraId="0854C19E" w14:textId="77777777" w:rsidR="006E50FF" w:rsidRPr="006E50FF" w:rsidRDefault="006E50FF" w:rsidP="006E50FF">
      <w:pPr>
        <w:tabs>
          <w:tab w:val="left" w:pos="907"/>
        </w:tabs>
        <w:ind w:firstLine="547"/>
        <w:jc w:val="both"/>
        <w:outlineLvl w:val="5"/>
        <w:rPr>
          <w:kern w:val="2"/>
        </w:rPr>
      </w:pPr>
    </w:p>
    <w:p w14:paraId="36948272" w14:textId="77777777" w:rsidR="006E50FF" w:rsidRPr="006E50FF" w:rsidRDefault="006E50FF" w:rsidP="006E50FF">
      <w:pPr>
        <w:tabs>
          <w:tab w:val="left" w:pos="907"/>
        </w:tabs>
        <w:ind w:firstLine="547"/>
        <w:jc w:val="center"/>
        <w:outlineLvl w:val="5"/>
        <w:rPr>
          <w:kern w:val="2"/>
        </w:rPr>
      </w:pPr>
      <m:oMathPara>
        <m:oMath>
          <m:r>
            <w:rPr>
              <w:rFonts w:ascii="Cambria Math" w:hAnsi="Cambria Math"/>
              <w:kern w:val="2"/>
            </w:rPr>
            <m:t>R=</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m:t>
              </m:r>
              <m:sSub>
                <m:sSubPr>
                  <m:ctrlPr>
                    <w:rPr>
                      <w:rFonts w:ascii="Cambria Math" w:hAnsi="Cambria Math"/>
                      <w:i/>
                      <w:kern w:val="2"/>
                    </w:rPr>
                  </m:ctrlPr>
                </m:sSubPr>
                <m:e>
                  <m:r>
                    <w:rPr>
                      <w:rFonts w:ascii="Cambria Math" w:hAnsi="Cambria Math"/>
                      <w:kern w:val="2"/>
                    </w:rPr>
                    <m:t>E</m:t>
                  </m:r>
                </m:e>
                <m:sub>
                  <m:r>
                    <w:rPr>
                      <w:rFonts w:ascii="Cambria Math" w:hAnsi="Cambria Math"/>
                      <w:kern w:val="2"/>
                    </w:rPr>
                    <m:t>a</m:t>
                  </m:r>
                </m:sub>
              </m:sSub>
            </m:num>
            <m:den>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den>
          </m:f>
          <m:r>
            <w:rPr>
              <w:rFonts w:ascii="Cambria Math" w:hAnsi="Cambria Math"/>
              <w:kern w:val="2"/>
            </w:rPr>
            <m:t xml:space="preserve"> x 100%</m:t>
          </m:r>
        </m:oMath>
      </m:oMathPara>
    </w:p>
    <w:p w14:paraId="7A5D2428" w14:textId="77777777" w:rsidR="006E50FF" w:rsidRPr="006E50FF" w:rsidRDefault="006E50FF" w:rsidP="006E50FF">
      <w:pPr>
        <w:tabs>
          <w:tab w:val="left" w:pos="907"/>
        </w:tabs>
        <w:ind w:firstLine="547"/>
        <w:jc w:val="both"/>
        <w:outlineLvl w:val="5"/>
        <w:rPr>
          <w:kern w:val="2"/>
        </w:rPr>
      </w:pPr>
    </w:p>
    <w:p w14:paraId="6240FD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where:</w:t>
      </w:r>
    </w:p>
    <w:p w14:paraId="7239CD7E"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R = organic reduction efficiency, percent</w:t>
      </w:r>
    </w:p>
    <w:p w14:paraId="2E8D43D3"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E</w:t>
      </w:r>
      <w:r w:rsidRPr="006E50FF">
        <w:rPr>
          <w:kern w:val="2"/>
          <w:sz w:val="16"/>
          <w:vertAlign w:val="subscript"/>
        </w:rPr>
        <w:t>b</w:t>
      </w:r>
      <w:r w:rsidRPr="006E50FF">
        <w:rPr>
          <w:kern w:val="2"/>
          <w:sz w:val="16"/>
        </w:rPr>
        <w:t xml:space="preserve"> = waste volatile organic mass flow entering process as determined in accordance with the requirements of Subparagraph B.5.d of this Section, kg/hr</w:t>
      </w:r>
    </w:p>
    <w:p w14:paraId="7C6FC29A"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E</w:t>
      </w:r>
      <w:r w:rsidRPr="006E50FF">
        <w:rPr>
          <w:kern w:val="2"/>
          <w:sz w:val="16"/>
          <w:vertAlign w:val="subscript"/>
        </w:rPr>
        <w:t>a</w:t>
      </w:r>
      <w:r w:rsidRPr="006E50FF">
        <w:rPr>
          <w:kern w:val="2"/>
          <w:sz w:val="16"/>
        </w:rPr>
        <w:t xml:space="preserve"> = waste volatile organic mass flow exiting process as determined in accordance with the requirements of Subparagraph B.5.d of this Section, kg/hr</w:t>
      </w:r>
    </w:p>
    <w:p w14:paraId="66897CB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Procedure to Determine the Organic Biodegradation Efficiency R</w:t>
      </w:r>
      <w:r w:rsidRPr="006E50FF">
        <w:rPr>
          <w:kern w:val="2"/>
          <w:vertAlign w:val="subscript"/>
        </w:rPr>
        <w:t>bio</w:t>
      </w:r>
      <w:r w:rsidRPr="006E50FF">
        <w:rPr>
          <w:kern w:val="2"/>
        </w:rPr>
        <w:t xml:space="preserve"> for a Treated Hazardous Waste</w:t>
      </w:r>
    </w:p>
    <w:p w14:paraId="438157C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fraction of organics biodegraded (F</w:t>
      </w:r>
      <w:r w:rsidRPr="006E50FF">
        <w:rPr>
          <w:kern w:val="2"/>
          <w:vertAlign w:val="subscript"/>
        </w:rPr>
        <w:t>bio</w:t>
      </w:r>
      <w:r w:rsidRPr="006E50FF">
        <w:rPr>
          <w:kern w:val="2"/>
        </w:rPr>
        <w:t>) shall be determined using the procedure specified in 40 CFR Part 63, Appendix C.</w:t>
      </w:r>
    </w:p>
    <w:p w14:paraId="541095E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R</w:t>
      </w:r>
      <w:r w:rsidRPr="006E50FF">
        <w:rPr>
          <w:kern w:val="2"/>
          <w:vertAlign w:val="subscript"/>
        </w:rPr>
        <w:t>bio</w:t>
      </w:r>
      <w:r w:rsidRPr="006E50FF">
        <w:rPr>
          <w:kern w:val="2"/>
        </w:rPr>
        <w:t xml:space="preserve"> shall be calculated by using the following equation.</w:t>
      </w:r>
    </w:p>
    <w:p w14:paraId="1B5486E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4C74127" w14:textId="77777777" w:rsidR="006E50FF" w:rsidRPr="006E50FF" w:rsidRDefault="004003A7"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Pr>
          <w:kern w:val="2"/>
        </w:rPr>
        <w:object w:dxaOrig="1440" w:dyaOrig="1440" w14:anchorId="33904E9E">
          <v:shape id="_x0000_s1027" type="#_x0000_t75" alt="This is an equation that says how Rbio is calculated." style="position:absolute;left:0;text-align:left;margin-left:1in;margin-top:4pt;width:83pt;height:15pt;z-index:251664384" o:allowincell="f">
            <v:imagedata r:id="rId25" o:title=""/>
            <w10:wrap type="topAndBottom"/>
            <w10:anchorlock/>
          </v:shape>
          <o:OLEObject Type="Embed" ProgID="Equation.3" ShapeID="_x0000_s1027" DrawAspect="Content" ObjectID="_1851842777" r:id="rId26"/>
        </w:object>
      </w:r>
      <w:r w:rsidR="006E50FF" w:rsidRPr="006E50FF">
        <w:rPr>
          <w:kern w:val="2"/>
        </w:rPr>
        <w:t>where:</w:t>
      </w:r>
    </w:p>
    <w:p w14:paraId="3B1B3F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F686BC8"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R</w:t>
      </w:r>
      <w:r w:rsidRPr="006E50FF">
        <w:rPr>
          <w:kern w:val="2"/>
          <w:sz w:val="16"/>
          <w:vertAlign w:val="subscript"/>
        </w:rPr>
        <w:t>bio</w:t>
      </w:r>
      <w:r w:rsidRPr="006E50FF">
        <w:rPr>
          <w:kern w:val="2"/>
          <w:sz w:val="16"/>
        </w:rPr>
        <w:t xml:space="preserve"> = organic biodegradation efficiency, percent</w:t>
      </w:r>
    </w:p>
    <w:p w14:paraId="03FBADC1"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F</w:t>
      </w:r>
      <w:r w:rsidRPr="006E50FF">
        <w:rPr>
          <w:kern w:val="2"/>
          <w:sz w:val="16"/>
          <w:vertAlign w:val="subscript"/>
        </w:rPr>
        <w:t>bio</w:t>
      </w:r>
      <w:r w:rsidRPr="006E50FF">
        <w:rPr>
          <w:kern w:val="2"/>
          <w:sz w:val="16"/>
        </w:rPr>
        <w:t xml:space="preserve"> = fraction of organic biodegraded as determined in accordance with the requirements of Subparagraph B.6.a of this Section</w:t>
      </w:r>
    </w:p>
    <w:p w14:paraId="69456D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Procedure to Determine the Required Organic Mass Removal Rate (RMR) for a Treated Hazardous Waste</w:t>
      </w:r>
    </w:p>
    <w:p w14:paraId="277DFE0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of the hazardous waste streams entering the treatment process shall be identified.</w:t>
      </w:r>
    </w:p>
    <w:p w14:paraId="278840F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average VO concentration of each hazardous waste stream at the point of waste origination shall be determined in accordance with the requirements of Subsection A of this Section.</w:t>
      </w:r>
    </w:p>
    <w:p w14:paraId="31303FE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each individual hazardous waste stream that has an average VO concentration equal to or greater than 500 ppmw at the point of waste origination, the average volumetric flow rate and the density of the hazardous waste stream at the point of waste origination shall be determined.</w:t>
      </w:r>
    </w:p>
    <w:p w14:paraId="23117A4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RMR shall be calculated by using the average VO concentration, average volumetric flow rate, and density determined for each individual hazardous waste stream and the following equation.</w:t>
      </w:r>
    </w:p>
    <w:p w14:paraId="708C05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46CC27AB" w14:textId="77777777" w:rsidR="006E50FF" w:rsidRPr="006E50FF" w:rsidRDefault="006E50FF" w:rsidP="006E50FF">
      <w:pPr>
        <w:tabs>
          <w:tab w:val="left" w:pos="907"/>
        </w:tabs>
        <w:ind w:firstLine="547"/>
        <w:jc w:val="center"/>
        <w:outlineLvl w:val="5"/>
        <w:rPr>
          <w:kern w:val="2"/>
        </w:rPr>
      </w:pPr>
      <m:oMathPara>
        <m:oMath>
          <m:r>
            <w:rPr>
              <w:rFonts w:ascii="Cambria Math" w:hAnsi="Cambria Math"/>
              <w:kern w:val="2"/>
            </w:rPr>
            <m:t>RMR=</m:t>
          </m:r>
          <m:nary>
            <m:naryPr>
              <m:chr m:val="∑"/>
              <m:limLoc m:val="undOvr"/>
              <m:ctrlPr>
                <w:rPr>
                  <w:rFonts w:ascii="Cambria Math" w:hAnsi="Cambria Math"/>
                  <w:i/>
                  <w:kern w:val="2"/>
                </w:rPr>
              </m:ctrlPr>
            </m:naryPr>
            <m:sub>
              <m:r>
                <w:rPr>
                  <w:rFonts w:ascii="Cambria Math" w:hAnsi="Cambria Math"/>
                  <w:kern w:val="2"/>
                </w:rPr>
                <m:t>y=1</m:t>
              </m:r>
            </m:sub>
            <m:sup>
              <m:r>
                <w:rPr>
                  <w:rFonts w:ascii="Cambria Math" w:hAnsi="Cambria Math"/>
                  <w:kern w:val="2"/>
                </w:rPr>
                <m:t>n</m:t>
              </m:r>
            </m:sup>
            <m:e>
              <m:d>
                <m:dPr>
                  <m:begChr m:val="["/>
                  <m:endChr m:val="]"/>
                  <m:ctrlPr>
                    <w:rPr>
                      <w:rFonts w:ascii="Cambria Math" w:hAnsi="Cambria Math"/>
                      <w:i/>
                      <w:kern w:val="2"/>
                    </w:rPr>
                  </m:ctrlPr>
                </m:dPr>
                <m:e>
                  <m:sSub>
                    <m:sSubPr>
                      <m:ctrlPr>
                        <w:rPr>
                          <w:rFonts w:ascii="Cambria Math" w:hAnsi="Cambria Math"/>
                          <w:i/>
                          <w:kern w:val="2"/>
                        </w:rPr>
                      </m:ctrlPr>
                    </m:sSubPr>
                    <m:e>
                      <m:r>
                        <w:rPr>
                          <w:rFonts w:ascii="Cambria Math" w:hAnsi="Cambria Math"/>
                          <w:kern w:val="2"/>
                        </w:rPr>
                        <m:t>V</m:t>
                      </m:r>
                    </m:e>
                    <m:sub>
                      <m:r>
                        <w:rPr>
                          <w:rFonts w:ascii="Cambria Math" w:hAnsi="Cambria Math"/>
                          <w:kern w:val="2"/>
                        </w:rPr>
                        <m:t>y</m:t>
                      </m:r>
                    </m:sub>
                  </m:sSub>
                  <m:r>
                    <w:rPr>
                      <w:rFonts w:ascii="Cambria Math" w:hAnsi="Cambria Math"/>
                      <w:kern w:val="2"/>
                    </w:rPr>
                    <m:t xml:space="preserve"> x </m:t>
                  </m:r>
                  <m:sSub>
                    <m:sSubPr>
                      <m:ctrlPr>
                        <w:rPr>
                          <w:rFonts w:ascii="Cambria Math" w:hAnsi="Cambria Math"/>
                          <w:i/>
                          <w:kern w:val="2"/>
                        </w:rPr>
                      </m:ctrlPr>
                    </m:sSubPr>
                    <m:e>
                      <m:r>
                        <w:rPr>
                          <w:rFonts w:ascii="Cambria Math" w:hAnsi="Cambria Math"/>
                          <w:kern w:val="2"/>
                        </w:rPr>
                        <m:t>k</m:t>
                      </m:r>
                    </m:e>
                    <m:sub>
                      <m:r>
                        <w:rPr>
                          <w:rFonts w:ascii="Cambria Math" w:hAnsi="Cambria Math"/>
                          <w:kern w:val="2"/>
                        </w:rPr>
                        <m:t>y</m:t>
                      </m:r>
                    </m:sub>
                  </m:sSub>
                  <m:r>
                    <w:rPr>
                      <w:rFonts w:ascii="Cambria Math" w:hAnsi="Cambria Math"/>
                      <w:kern w:val="2"/>
                    </w:rPr>
                    <m:t xml:space="preserve"> x</m:t>
                  </m:r>
                  <m:f>
                    <m:fPr>
                      <m:ctrlPr>
                        <w:rPr>
                          <w:rFonts w:ascii="Cambria Math" w:hAnsi="Cambria Math"/>
                          <w:i/>
                          <w:kern w:val="2"/>
                        </w:rPr>
                      </m:ctrlPr>
                    </m:fPr>
                    <m:num>
                      <m:d>
                        <m:dPr>
                          <m:ctrlPr>
                            <w:rPr>
                              <w:rFonts w:ascii="Cambria Math" w:hAnsi="Cambria Math"/>
                              <w:i/>
                              <w:kern w:val="2"/>
                            </w:rPr>
                          </m:ctrlPr>
                        </m:dPr>
                        <m:e>
                          <m:sSub>
                            <m:sSubPr>
                              <m:ctrlPr>
                                <w:rPr>
                                  <w:rFonts w:ascii="Cambria Math" w:hAnsi="Cambria Math"/>
                                  <w:i/>
                                  <w:kern w:val="2"/>
                                </w:rPr>
                              </m:ctrlPr>
                            </m:sSubPr>
                            <m:e>
                              <m:acc>
                                <m:accPr>
                                  <m:chr m:val="̅"/>
                                  <m:ctrlPr>
                                    <w:rPr>
                                      <w:rFonts w:ascii="Cambria Math" w:hAnsi="Cambria Math"/>
                                      <w:i/>
                                      <w:kern w:val="2"/>
                                    </w:rPr>
                                  </m:ctrlPr>
                                </m:accPr>
                                <m:e>
                                  <m:r>
                                    <w:rPr>
                                      <w:rFonts w:ascii="Cambria Math" w:hAnsi="Cambria Math"/>
                                      <w:kern w:val="2"/>
                                    </w:rPr>
                                    <m:t>C</m:t>
                                  </m:r>
                                </m:e>
                              </m:acc>
                            </m:e>
                            <m:sub>
                              <m:r>
                                <w:rPr>
                                  <w:rFonts w:ascii="Cambria Math" w:hAnsi="Cambria Math"/>
                                  <w:kern w:val="2"/>
                                </w:rPr>
                                <m:t>y</m:t>
                              </m:r>
                            </m:sub>
                          </m:sSub>
                          <m:r>
                            <w:rPr>
                              <w:rFonts w:ascii="Cambria Math" w:hAnsi="Cambria Math"/>
                              <w:kern w:val="2"/>
                            </w:rPr>
                            <m:t>-500 ppmw</m:t>
                          </m:r>
                        </m:e>
                      </m:d>
                    </m:num>
                    <m:den>
                      <m:sSup>
                        <m:sSupPr>
                          <m:ctrlPr>
                            <w:rPr>
                              <w:rFonts w:ascii="Cambria Math" w:hAnsi="Cambria Math"/>
                              <w:i/>
                              <w:kern w:val="2"/>
                            </w:rPr>
                          </m:ctrlPr>
                        </m:sSupPr>
                        <m:e>
                          <m:r>
                            <w:rPr>
                              <w:rFonts w:ascii="Cambria Math" w:hAnsi="Cambria Math"/>
                              <w:kern w:val="2"/>
                            </w:rPr>
                            <m:t>10</m:t>
                          </m:r>
                        </m:e>
                        <m:sup>
                          <m:r>
                            <w:rPr>
                              <w:rFonts w:ascii="Cambria Math" w:hAnsi="Cambria Math"/>
                              <w:kern w:val="2"/>
                            </w:rPr>
                            <m:t>6</m:t>
                          </m:r>
                        </m:sup>
                      </m:sSup>
                    </m:den>
                  </m:f>
                </m:e>
              </m:d>
            </m:e>
          </m:nary>
        </m:oMath>
      </m:oMathPara>
    </w:p>
    <w:p w14:paraId="211AAB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73437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494816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6D90363F"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RMR = required organic mass removal rate, kg/hr</w:t>
      </w:r>
    </w:p>
    <w:p w14:paraId="507DFE01" w14:textId="77777777" w:rsidR="006E50FF" w:rsidRPr="006E50FF" w:rsidRDefault="006E50FF" w:rsidP="006E50FF">
      <w:pPr>
        <w:tabs>
          <w:tab w:val="left" w:pos="0"/>
          <w:tab w:val="left" w:pos="180"/>
          <w:tab w:val="left" w:pos="360"/>
          <w:tab w:val="left" w:pos="540"/>
          <w:tab w:val="left" w:pos="720"/>
          <w:tab w:val="left" w:pos="900"/>
          <w:tab w:val="left" w:pos="117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170" w:hanging="270"/>
        <w:outlineLvl w:val="3"/>
        <w:rPr>
          <w:kern w:val="2"/>
          <w:sz w:val="16"/>
        </w:rPr>
      </w:pPr>
      <w:r w:rsidRPr="006E50FF">
        <w:rPr>
          <w:kern w:val="2"/>
          <w:sz w:val="16"/>
        </w:rPr>
        <w:t xml:space="preserve">y = individual hazardous waste stream "y" that has an average VO concentration equal to or greater than 500 ppmw at the point of waste origination as determined in </w:t>
      </w:r>
      <w:r w:rsidRPr="006E50FF">
        <w:rPr>
          <w:kern w:val="2"/>
          <w:sz w:val="16"/>
        </w:rPr>
        <w:lastRenderedPageBreak/>
        <w:t>accordance with the requirements of Subsection A of this Section</w:t>
      </w:r>
    </w:p>
    <w:p w14:paraId="0C865498"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n = total number of "y" hazardous waste streams treated by process</w:t>
      </w:r>
    </w:p>
    <w:p w14:paraId="1867F1BC" w14:textId="77777777" w:rsidR="006E50FF" w:rsidRPr="006E50FF" w:rsidRDefault="006E50FF" w:rsidP="006E50FF">
      <w:pPr>
        <w:tabs>
          <w:tab w:val="left" w:pos="0"/>
          <w:tab w:val="left" w:pos="180"/>
          <w:tab w:val="left" w:pos="360"/>
          <w:tab w:val="left" w:pos="540"/>
          <w:tab w:val="left" w:pos="720"/>
          <w:tab w:val="left" w:pos="900"/>
          <w:tab w:val="left" w:pos="117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170" w:hanging="270"/>
        <w:outlineLvl w:val="3"/>
        <w:rPr>
          <w:kern w:val="2"/>
          <w:sz w:val="16"/>
        </w:rPr>
      </w:pPr>
      <w:r w:rsidRPr="006E50FF">
        <w:rPr>
          <w:kern w:val="2"/>
          <w:sz w:val="16"/>
        </w:rPr>
        <w:t>V</w:t>
      </w:r>
      <w:r w:rsidRPr="006E50FF">
        <w:rPr>
          <w:kern w:val="2"/>
          <w:sz w:val="16"/>
          <w:vertAlign w:val="subscript"/>
        </w:rPr>
        <w:t>y</w:t>
      </w:r>
      <w:r w:rsidRPr="006E50FF">
        <w:rPr>
          <w:kern w:val="2"/>
          <w:sz w:val="16"/>
        </w:rPr>
        <w:t xml:space="preserve"> = average volumetric flow rate of hazardous waste stream "y" at the point of waste origination, m3/hr</w:t>
      </w:r>
    </w:p>
    <w:p w14:paraId="66B17AB5"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k</w:t>
      </w:r>
      <w:r w:rsidRPr="006E50FF">
        <w:rPr>
          <w:kern w:val="2"/>
          <w:sz w:val="16"/>
          <w:vertAlign w:val="subscript"/>
        </w:rPr>
        <w:t>y</w:t>
      </w:r>
      <w:r w:rsidRPr="006E50FF">
        <w:rPr>
          <w:kern w:val="2"/>
          <w:sz w:val="16"/>
        </w:rPr>
        <w:t xml:space="preserve"> = density of hazardous waste stream "y," kg/m3</w:t>
      </w:r>
    </w:p>
    <w:p w14:paraId="41BD618C" w14:textId="77777777" w:rsidR="006E50FF" w:rsidRPr="006E50FF" w:rsidRDefault="004003A7" w:rsidP="006E50FF">
      <w:pPr>
        <w:tabs>
          <w:tab w:val="left" w:pos="0"/>
          <w:tab w:val="left" w:pos="180"/>
          <w:tab w:val="left" w:pos="360"/>
          <w:tab w:val="left" w:pos="540"/>
          <w:tab w:val="left" w:pos="720"/>
          <w:tab w:val="left" w:pos="900"/>
          <w:tab w:val="left" w:pos="117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y</m:t>
            </m:r>
          </m:sub>
        </m:sSub>
      </m:oMath>
      <w:r w:rsidR="006E50FF" w:rsidRPr="006E50FF">
        <w:rPr>
          <w:kern w:val="2"/>
          <w:sz w:val="16"/>
        </w:rPr>
        <w:t xml:space="preserve"> = average VO concentration of hazardous waste stream "y" at the point of waste origination as determined in accordance with the requirements of Subsection A of this Section, ppmw</w:t>
      </w:r>
    </w:p>
    <w:p w14:paraId="195412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Procedure to Determine the Actual Organic Mass Removal Rate (MR) for a Treated Hazardous Waste</w:t>
      </w:r>
    </w:p>
    <w:p w14:paraId="4943512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MR shall be determined based on results for a minimum of three consecutive runs. The sampling time for each run shall be one hour.</w:t>
      </w:r>
    </w:p>
    <w:p w14:paraId="368E40F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waste volatile organic mass flow entering the process (E</w:t>
      </w:r>
      <w:r w:rsidRPr="006E50FF">
        <w:rPr>
          <w:kern w:val="2"/>
          <w:vertAlign w:val="subscript"/>
        </w:rPr>
        <w:t>b</w:t>
      </w:r>
      <w:r w:rsidRPr="006E50FF">
        <w:rPr>
          <w:kern w:val="2"/>
        </w:rPr>
        <w:t>) and the waste volatile organic mass flow exiting the process (E</w:t>
      </w:r>
      <w:r w:rsidRPr="006E50FF">
        <w:rPr>
          <w:kern w:val="2"/>
          <w:vertAlign w:val="subscript"/>
        </w:rPr>
        <w:t>a</w:t>
      </w:r>
      <w:r w:rsidRPr="006E50FF">
        <w:rPr>
          <w:kern w:val="2"/>
        </w:rPr>
        <w:t>) shall be determined in accordance with the requirements of Subparagraph B.5.d of this Section.</w:t>
      </w:r>
    </w:p>
    <w:p w14:paraId="0A5FACE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MR shall be calculated by using the mass flow rate determined in accordance with the requirements of Subparagraph B.8.b of this Section and the following equation.</w:t>
      </w:r>
    </w:p>
    <w:p w14:paraId="13792450" w14:textId="77777777" w:rsidR="006E50FF" w:rsidRPr="006E50FF" w:rsidRDefault="006E50FF" w:rsidP="006E50FF">
      <w:pPr>
        <w:tabs>
          <w:tab w:val="left" w:pos="907"/>
        </w:tabs>
        <w:ind w:firstLine="547"/>
        <w:jc w:val="both"/>
        <w:outlineLvl w:val="5"/>
        <w:rPr>
          <w:kern w:val="2"/>
        </w:rPr>
      </w:pPr>
    </w:p>
    <w:p w14:paraId="2972D759" w14:textId="77777777" w:rsidR="006E50FF" w:rsidRPr="006E50FF" w:rsidRDefault="006E50FF" w:rsidP="006E50FF">
      <w:pPr>
        <w:tabs>
          <w:tab w:val="left" w:pos="907"/>
        </w:tabs>
        <w:ind w:firstLine="547"/>
        <w:jc w:val="center"/>
        <w:outlineLvl w:val="5"/>
        <w:rPr>
          <w:kern w:val="2"/>
        </w:rPr>
      </w:pPr>
      <m:oMathPara>
        <m:oMath>
          <m:r>
            <w:rPr>
              <w:rFonts w:ascii="Cambria Math" w:hAnsi="Cambria Math"/>
              <w:kern w:val="2"/>
            </w:rPr>
            <m:t>MR=</m:t>
          </m:r>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m:t>
          </m:r>
          <m:sSub>
            <m:sSubPr>
              <m:ctrlPr>
                <w:rPr>
                  <w:rFonts w:ascii="Cambria Math" w:hAnsi="Cambria Math"/>
                  <w:i/>
                  <w:kern w:val="2"/>
                </w:rPr>
              </m:ctrlPr>
            </m:sSubPr>
            <m:e>
              <m:r>
                <w:rPr>
                  <w:rFonts w:ascii="Cambria Math" w:hAnsi="Cambria Math"/>
                  <w:kern w:val="2"/>
                </w:rPr>
                <m:t>E</m:t>
              </m:r>
            </m:e>
            <m:sub>
              <m:r>
                <w:rPr>
                  <w:rFonts w:ascii="Cambria Math" w:hAnsi="Cambria Math"/>
                  <w:kern w:val="2"/>
                </w:rPr>
                <m:t>a</m:t>
              </m:r>
            </m:sub>
          </m:sSub>
        </m:oMath>
      </m:oMathPara>
    </w:p>
    <w:p w14:paraId="35BC3358" w14:textId="77777777" w:rsidR="006E50FF" w:rsidRPr="006E50FF" w:rsidRDefault="006E50FF" w:rsidP="006E50FF">
      <w:pPr>
        <w:tabs>
          <w:tab w:val="left" w:pos="907"/>
        </w:tabs>
        <w:ind w:firstLine="547"/>
        <w:jc w:val="both"/>
        <w:outlineLvl w:val="5"/>
        <w:rPr>
          <w:kern w:val="2"/>
        </w:rPr>
      </w:pPr>
    </w:p>
    <w:p w14:paraId="100A91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00878532" w14:textId="77777777" w:rsidR="006E50FF" w:rsidRPr="006E50FF" w:rsidRDefault="006E50FF" w:rsidP="006E50FF">
      <w:pPr>
        <w:tabs>
          <w:tab w:val="left" w:pos="0"/>
          <w:tab w:val="left" w:pos="180"/>
          <w:tab w:val="left" w:pos="360"/>
          <w:tab w:val="left" w:pos="540"/>
          <w:tab w:val="left" w:pos="720"/>
          <w:tab w:val="left" w:pos="90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ind w:left="1440" w:hanging="540"/>
        <w:outlineLvl w:val="3"/>
        <w:rPr>
          <w:kern w:val="2"/>
          <w:sz w:val="16"/>
        </w:rPr>
      </w:pPr>
      <w:r w:rsidRPr="006E50FF">
        <w:rPr>
          <w:kern w:val="2"/>
          <w:sz w:val="16"/>
        </w:rPr>
        <w:t>MR = actual organic mass removal rate, kg/hr</w:t>
      </w:r>
    </w:p>
    <w:p w14:paraId="6A0D72FA" w14:textId="77777777" w:rsidR="006E50FF" w:rsidRPr="006E50FF" w:rsidRDefault="006E50FF" w:rsidP="006E50FF">
      <w:pPr>
        <w:tabs>
          <w:tab w:val="left" w:pos="0"/>
          <w:tab w:val="left" w:pos="180"/>
          <w:tab w:val="left" w:pos="360"/>
          <w:tab w:val="left" w:pos="540"/>
          <w:tab w:val="left" w:pos="720"/>
          <w:tab w:val="left" w:pos="90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ind w:left="1440" w:hanging="540"/>
        <w:outlineLvl w:val="3"/>
        <w:rPr>
          <w:kern w:val="2"/>
          <w:sz w:val="16"/>
        </w:rPr>
      </w:pPr>
      <w:r w:rsidRPr="006E50FF">
        <w:rPr>
          <w:kern w:val="2"/>
          <w:sz w:val="16"/>
        </w:rPr>
        <w:t>E</w:t>
      </w:r>
      <w:r w:rsidRPr="006E50FF">
        <w:rPr>
          <w:kern w:val="2"/>
          <w:sz w:val="16"/>
          <w:vertAlign w:val="subscript"/>
        </w:rPr>
        <w:t>b</w:t>
      </w:r>
      <w:r w:rsidRPr="006E50FF">
        <w:rPr>
          <w:kern w:val="2"/>
          <w:sz w:val="16"/>
        </w:rPr>
        <w:t xml:space="preserve"> = waste volatile organic mass flow entering process as determined in accordance with the requirements of Subparagraph B.5.d of this Section, kg/hr</w:t>
      </w:r>
    </w:p>
    <w:p w14:paraId="2100DA48" w14:textId="77777777" w:rsidR="006E50FF" w:rsidRPr="006E50FF" w:rsidRDefault="006E50FF" w:rsidP="006E50FF">
      <w:pPr>
        <w:tabs>
          <w:tab w:val="left" w:pos="0"/>
          <w:tab w:val="left" w:pos="180"/>
          <w:tab w:val="left" w:pos="360"/>
          <w:tab w:val="left" w:pos="540"/>
          <w:tab w:val="left" w:pos="720"/>
          <w:tab w:val="left" w:pos="90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ind w:left="1440" w:hanging="540"/>
        <w:outlineLvl w:val="3"/>
        <w:rPr>
          <w:kern w:val="2"/>
          <w:sz w:val="16"/>
        </w:rPr>
      </w:pPr>
      <w:r w:rsidRPr="006E50FF">
        <w:rPr>
          <w:kern w:val="2"/>
          <w:sz w:val="16"/>
        </w:rPr>
        <w:t>E</w:t>
      </w:r>
      <w:r w:rsidRPr="006E50FF">
        <w:rPr>
          <w:kern w:val="2"/>
          <w:sz w:val="16"/>
          <w:vertAlign w:val="subscript"/>
        </w:rPr>
        <w:t>a</w:t>
      </w:r>
      <w:r w:rsidRPr="006E50FF">
        <w:rPr>
          <w:kern w:val="2"/>
          <w:sz w:val="16"/>
        </w:rPr>
        <w:t xml:space="preserve"> = waste volatile organic mass flow exiting process as determined in accordance with the requirements of Subparagraph B.5.d of this Section, kg/hr</w:t>
      </w:r>
    </w:p>
    <w:p w14:paraId="38C2CB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Procedure to Determine the Actual Organic Mass Biodegradation Rate (MRbio) for a Treated Hazardous Waste</w:t>
      </w:r>
    </w:p>
    <w:p w14:paraId="24173AA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MRbio shall be determined based on results for a minimum of three consecutive runs. The sampling time for each run shall be one hour.</w:t>
      </w:r>
    </w:p>
    <w:p w14:paraId="2A3167B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waste organic mass flow entering the process (Eb) shall be determined in accordance with the requirements of Subparagraph B.5.d of this Section.</w:t>
      </w:r>
    </w:p>
    <w:p w14:paraId="4465A66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fraction of organic biodegraded (Fbio) shall be determined using the procedure specified in 40 CFR Part 63, Appendix C.</w:t>
      </w:r>
    </w:p>
    <w:p w14:paraId="0AADE17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MRbio shall be calculated by using the mass flow rates and fraction of organic biodegraded determined in accordance with the requirements of Subparagraphs B.9.b and c of this Section, respectively, and the following equation.</w:t>
      </w:r>
    </w:p>
    <w:p w14:paraId="4BAE509E" w14:textId="77777777" w:rsidR="006E50FF" w:rsidRPr="006E50FF" w:rsidRDefault="006E50FF" w:rsidP="006E50FF">
      <w:pPr>
        <w:tabs>
          <w:tab w:val="left" w:pos="907"/>
        </w:tabs>
        <w:ind w:firstLine="547"/>
        <w:jc w:val="both"/>
        <w:outlineLvl w:val="5"/>
        <w:rPr>
          <w:kern w:val="2"/>
        </w:rPr>
      </w:pPr>
    </w:p>
    <w:p w14:paraId="79578973" w14:textId="77777777" w:rsidR="006E50FF" w:rsidRPr="006E50FF" w:rsidRDefault="004003A7" w:rsidP="006E50FF">
      <w:pPr>
        <w:tabs>
          <w:tab w:val="left" w:pos="907"/>
        </w:tabs>
        <w:ind w:firstLine="547"/>
        <w:jc w:val="center"/>
        <w:outlineLvl w:val="5"/>
        <w:rPr>
          <w:kern w:val="2"/>
        </w:rPr>
      </w:pPr>
      <m:oMathPara>
        <m:oMath>
          <m:sSub>
            <m:sSubPr>
              <m:ctrlPr>
                <w:rPr>
                  <w:rFonts w:ascii="Cambria Math" w:hAnsi="Cambria Math"/>
                  <w:i/>
                  <w:kern w:val="2"/>
                </w:rPr>
              </m:ctrlPr>
            </m:sSubPr>
            <m:e>
              <m:r>
                <w:rPr>
                  <w:rFonts w:ascii="Cambria Math" w:hAnsi="Cambria Math"/>
                  <w:kern w:val="2"/>
                </w:rPr>
                <m:t>MR</m:t>
              </m:r>
            </m:e>
            <m:sub>
              <m:r>
                <w:rPr>
                  <w:rFonts w:ascii="Cambria Math" w:hAnsi="Cambria Math"/>
                  <w:kern w:val="2"/>
                </w:rPr>
                <m:t>bio</m:t>
              </m:r>
            </m:sub>
          </m:sSub>
          <m:r>
            <w:rPr>
              <w:rFonts w:ascii="Cambria Math" w:hAnsi="Cambria Math"/>
              <w:kern w:val="2"/>
            </w:rPr>
            <m:t>=</m:t>
          </m:r>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 xml:space="preserve"> x </m:t>
          </m:r>
          <m:sSub>
            <m:sSubPr>
              <m:ctrlPr>
                <w:rPr>
                  <w:rFonts w:ascii="Cambria Math" w:hAnsi="Cambria Math"/>
                  <w:i/>
                  <w:kern w:val="2"/>
                </w:rPr>
              </m:ctrlPr>
            </m:sSubPr>
            <m:e>
              <m:r>
                <w:rPr>
                  <w:rFonts w:ascii="Cambria Math" w:hAnsi="Cambria Math"/>
                  <w:kern w:val="2"/>
                </w:rPr>
                <m:t>F</m:t>
              </m:r>
            </m:e>
            <m:sub>
              <m:r>
                <w:rPr>
                  <w:rFonts w:ascii="Cambria Math" w:hAnsi="Cambria Math"/>
                  <w:kern w:val="2"/>
                </w:rPr>
                <m:t>bio</m:t>
              </m:r>
            </m:sub>
          </m:sSub>
        </m:oMath>
      </m:oMathPara>
    </w:p>
    <w:p w14:paraId="2E40E8A1" w14:textId="77777777" w:rsidR="006E50FF" w:rsidRPr="006E50FF" w:rsidRDefault="006E50FF" w:rsidP="006E50FF">
      <w:pPr>
        <w:tabs>
          <w:tab w:val="left" w:pos="907"/>
        </w:tabs>
        <w:ind w:firstLine="547"/>
        <w:jc w:val="both"/>
        <w:outlineLvl w:val="5"/>
        <w:rPr>
          <w:kern w:val="2"/>
        </w:rPr>
      </w:pPr>
    </w:p>
    <w:p w14:paraId="0B2939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477DF2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MR</w:t>
      </w:r>
      <w:r w:rsidRPr="006E50FF">
        <w:rPr>
          <w:kern w:val="2"/>
          <w:vertAlign w:val="subscript"/>
        </w:rPr>
        <w:t>bio</w:t>
      </w:r>
      <w:r w:rsidRPr="006E50FF">
        <w:rPr>
          <w:kern w:val="2"/>
        </w:rPr>
        <w:t xml:space="preserve"> = actual organic mass biodegradation rate, kg/hr</w:t>
      </w:r>
    </w:p>
    <w:p w14:paraId="45C25A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E</w:t>
      </w:r>
      <w:r w:rsidRPr="006E50FF">
        <w:rPr>
          <w:kern w:val="2"/>
          <w:vertAlign w:val="subscript"/>
        </w:rPr>
        <w:t>b</w:t>
      </w:r>
      <w:r w:rsidRPr="006E50FF">
        <w:rPr>
          <w:kern w:val="2"/>
        </w:rPr>
        <w:t xml:space="preserve"> = waste organic mass flow entering process as determined in accordance with the requirements of Subparagraph B.5.d of this Section, kg/hr</w:t>
      </w:r>
    </w:p>
    <w:p w14:paraId="4C124E1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F</w:t>
      </w:r>
      <w:r w:rsidRPr="006E50FF">
        <w:rPr>
          <w:kern w:val="2"/>
          <w:vertAlign w:val="subscript"/>
        </w:rPr>
        <w:t>bio</w:t>
      </w:r>
      <w:r w:rsidRPr="006E50FF">
        <w:rPr>
          <w:kern w:val="2"/>
        </w:rPr>
        <w:t xml:space="preserve"> = fraction of organic biodegraded as determined in accordance with the requirements of Subparagraph B.9.c of this Section</w:t>
      </w:r>
    </w:p>
    <w:p w14:paraId="754AEF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D.9.</w:t>
      </w:r>
      <w:r w:rsidRPr="006E50FF">
        <w:rPr>
          <w:kern w:val="2"/>
        </w:rPr>
        <w:tab/>
        <w:t>…</w:t>
      </w:r>
    </w:p>
    <w:p w14:paraId="56D3A4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AUTHORITY NOTE</w:t>
      </w:r>
      <w:r w:rsidRPr="006E50FF">
        <w:rPr>
          <w:kern w:val="2"/>
        </w:rPr>
        <w:tab/>
        <w:t>:</w:t>
      </w:r>
      <w:r w:rsidRPr="006E50FF">
        <w:rPr>
          <w:kern w:val="2"/>
        </w:rPr>
        <w:tab/>
        <w:t>Promulgated in accordance with R.S. 30:2180 et seq.</w:t>
      </w:r>
    </w:p>
    <w:p w14:paraId="1055AF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24:1747 (September 1998), amended by the Office of Environmental Assessment, Environmental Planning Division, LR 26:288 (February 2000), amended by the Office of the Secretary, Legal Affairs Division, LR 34:1019 (June 2008), LR 52:</w:t>
      </w:r>
    </w:p>
    <w:p w14:paraId="4238879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51.</w:t>
      </w:r>
      <w:r w:rsidRPr="006E50FF">
        <w:rPr>
          <w:b/>
          <w:kern w:val="2"/>
        </w:rPr>
        <w:tab/>
        <w:t>Fee Schedules</w:t>
      </w:r>
    </w:p>
    <w:p w14:paraId="0DB5E01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7" w:name="TOC_Sect1914"/>
      <w:r w:rsidRPr="006E50FF">
        <w:rPr>
          <w:b/>
          <w:kern w:val="2"/>
        </w:rPr>
        <w:t>§5113.</w:t>
      </w:r>
      <w:bookmarkEnd w:id="537"/>
      <w:r w:rsidRPr="006E50FF">
        <w:rPr>
          <w:b/>
          <w:kern w:val="2"/>
        </w:rPr>
        <w:tab/>
        <w:t>Provision for Collection of Additional Fees Should Application Fees Paid Be Less Than Program Costs</w:t>
      </w:r>
    </w:p>
    <w:p w14:paraId="15632D26"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sz w:val="24"/>
          <w:szCs w:val="24"/>
        </w:rPr>
      </w:pPr>
      <w:r w:rsidRPr="006E50FF">
        <w:rPr>
          <w:kern w:val="2"/>
        </w:rPr>
        <w:t>Repealed.</w:t>
      </w:r>
    </w:p>
    <w:p w14:paraId="18C7CD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30:2014 et seq.</w:t>
      </w:r>
    </w:p>
    <w:p w14:paraId="441A87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11:533 (May 1985), LR 12:676 (October 1986), LR 14:621 (September 1988), repealed by the Office of the Secretary, Legal Affairs Division, LR 52:</w:t>
      </w:r>
    </w:p>
    <w:p w14:paraId="48DED5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8" w:name="TOC_Sect1915"/>
      <w:r w:rsidRPr="006E50FF">
        <w:rPr>
          <w:b/>
          <w:kern w:val="2"/>
        </w:rPr>
        <w:t>§5115.</w:t>
      </w:r>
      <w:r w:rsidRPr="006E50FF">
        <w:rPr>
          <w:b/>
          <w:kern w:val="2"/>
        </w:rPr>
        <w:tab/>
      </w:r>
      <w:bookmarkEnd w:id="538"/>
      <w:r w:rsidRPr="006E50FF">
        <w:rPr>
          <w:b/>
          <w:kern w:val="2"/>
        </w:rPr>
        <w:t>Provision of Funds Collected in Excess of Program Costs</w:t>
      </w:r>
    </w:p>
    <w:p w14:paraId="27B2DB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39DE14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30:2014 et seq.</w:t>
      </w:r>
    </w:p>
    <w:p w14:paraId="2AD842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11:533 (May 1985), LR 12:676 (October 1986), LR 14:621 (September 1988), repealed by the Office of the Secretary, Legal Affairs Division, LR 52:</w:t>
      </w:r>
    </w:p>
    <w:p w14:paraId="458D3C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§5147.</w:t>
      </w:r>
      <w:r w:rsidRPr="006E50FF">
        <w:rPr>
          <w:b/>
          <w:kern w:val="2"/>
        </w:rPr>
        <w:tab/>
        <w:t>Fee for NHEM Determination for Contaminated Environmental Media</w:t>
      </w:r>
    </w:p>
    <w:p w14:paraId="564A19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fee of $3,000 shall be submitted at the time a request for a review of contaminated environmental media for a NHEM determination is made in accordance with </w:t>
      </w:r>
      <w:r w:rsidRPr="006E50FF">
        <w:rPr>
          <w:kern w:val="2"/>
        </w:rPr>
        <w:br/>
        <w:t>LAC 33:V.106.</w:t>
      </w:r>
    </w:p>
    <w:p w14:paraId="73D1B7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 and, in particular, 2186(A)(2).</w:t>
      </w:r>
    </w:p>
    <w:p w14:paraId="4F70BC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Secretary, Legal Affairs Division, LR 33:455 (March 2007), amended by the Office of the Secretary, Legal Division, LR 43:946 (May 2017), amended by the Office of the Secretary, Legal Affairs Division, LR 52:</w:t>
      </w:r>
    </w:p>
    <w:p w14:paraId="330C37BF" w14:textId="77777777" w:rsidR="006E50FF" w:rsidRPr="006E50FF" w:rsidRDefault="006E50FF" w:rsidP="006E50FF">
      <w:pPr>
        <w:keepNext/>
        <w:jc w:val="center"/>
        <w:rPr>
          <w:b/>
          <w:kern w:val="28"/>
        </w:rPr>
      </w:pPr>
      <w:r w:rsidRPr="006E50FF">
        <w:rPr>
          <w:b/>
          <w:kern w:val="28"/>
        </w:rPr>
        <w:t>Family Impact Statement</w:t>
      </w:r>
    </w:p>
    <w:p w14:paraId="76C372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family formation, stability, and autonomy as described in R.S. 49:972.</w:t>
      </w:r>
    </w:p>
    <w:p w14:paraId="431DC8F1" w14:textId="77777777" w:rsidR="006E50FF" w:rsidRPr="006E50FF" w:rsidRDefault="006E50FF" w:rsidP="006E50FF">
      <w:pPr>
        <w:keepNext/>
        <w:jc w:val="center"/>
        <w:rPr>
          <w:b/>
          <w:kern w:val="28"/>
        </w:rPr>
      </w:pPr>
      <w:r w:rsidRPr="006E50FF">
        <w:rPr>
          <w:b/>
          <w:kern w:val="28"/>
        </w:rPr>
        <w:t>Poverty Impact Statement</w:t>
      </w:r>
    </w:p>
    <w:p w14:paraId="68B29858"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 xml:space="preserve">The proposed Rule has no known impact on </w:t>
      </w:r>
      <w:r w:rsidRPr="006E50FF">
        <w:rPr>
          <w:color w:val="000000"/>
          <w:kern w:val="2"/>
        </w:rPr>
        <w:t>poverty as described in R.S. 49:973.</w:t>
      </w:r>
    </w:p>
    <w:p w14:paraId="268B5D29" w14:textId="77777777" w:rsidR="006E50FF" w:rsidRPr="006E50FF" w:rsidRDefault="006E50FF" w:rsidP="006E50FF">
      <w:pPr>
        <w:keepNext/>
        <w:jc w:val="center"/>
        <w:rPr>
          <w:b/>
          <w:kern w:val="28"/>
        </w:rPr>
      </w:pPr>
      <w:r w:rsidRPr="006E50FF">
        <w:rPr>
          <w:b/>
          <w:kern w:val="28"/>
        </w:rPr>
        <w:t>Small Business Analysis</w:t>
      </w:r>
    </w:p>
    <w:p w14:paraId="4B81A4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Small businesses should not be significantly impacted by the proposed Rule as described in R.S. 49:974.1 - 974.8.</w:t>
      </w:r>
    </w:p>
    <w:p w14:paraId="4797057E" w14:textId="77777777" w:rsidR="006E50FF" w:rsidRPr="006E50FF" w:rsidRDefault="006E50FF" w:rsidP="006E50FF">
      <w:pPr>
        <w:keepNext/>
        <w:jc w:val="center"/>
        <w:rPr>
          <w:b/>
          <w:kern w:val="28"/>
        </w:rPr>
      </w:pPr>
      <w:r w:rsidRPr="006E50FF">
        <w:rPr>
          <w:b/>
          <w:kern w:val="28"/>
        </w:rPr>
        <w:t>Provider Impact Statement</w:t>
      </w:r>
    </w:p>
    <w:p w14:paraId="07BA96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providers as described in HCR 170 of 2014.</w:t>
      </w:r>
    </w:p>
    <w:p w14:paraId="1C326361" w14:textId="77777777" w:rsidR="006E50FF" w:rsidRPr="006E50FF" w:rsidRDefault="006E50FF" w:rsidP="006E50FF">
      <w:pPr>
        <w:keepNext/>
        <w:jc w:val="center"/>
        <w:rPr>
          <w:b/>
          <w:kern w:val="28"/>
        </w:rPr>
      </w:pPr>
      <w:r w:rsidRPr="006E50FF">
        <w:rPr>
          <w:b/>
          <w:kern w:val="28"/>
        </w:rPr>
        <w:t>Public Comments</w:t>
      </w:r>
    </w:p>
    <w:p w14:paraId="541B4A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HW142</w:t>
      </w:r>
      <w:r w:rsidRPr="006E50FF">
        <w:rPr>
          <w:kern w:val="2"/>
        </w:rPr>
        <w:t xml:space="preserve">. Such comments must be received no later than </w:t>
      </w:r>
      <w:r w:rsidRPr="006E50FF">
        <w:rPr>
          <w:noProof/>
          <w:kern w:val="2"/>
        </w:rPr>
        <w:t>November 4, 2026</w:t>
      </w:r>
      <w:r w:rsidRPr="006E50FF">
        <w:rPr>
          <w:kern w:val="2"/>
        </w:rPr>
        <w:t xml:space="preserve">, at 4:30 p.m., and should be sent to William Little, Attorney Supervisor, Office of the Secretary, Legal Affairs Division, P.O. Box 4302, Baton </w:t>
      </w:r>
      <w:r w:rsidRPr="006E50FF">
        <w:rPr>
          <w:kern w:val="2"/>
        </w:rPr>
        <w:lastRenderedPageBreak/>
        <w:t xml:space="preserve">Rouge, LA 70821-4302, by fax (225) 219-4068, or by E-mail to DEQ.Reg.Dev.Comments@la.gov. Copies of the proposed Rule can be purchased by contacting the LDEQ Public Records Center at (225) 219-3168. Check or money order is required in advance for each copy of </w:t>
      </w:r>
      <w:r w:rsidRPr="006E50FF">
        <w:rPr>
          <w:noProof/>
          <w:kern w:val="2"/>
        </w:rPr>
        <w:t>SW077</w:t>
      </w:r>
      <w:r w:rsidRPr="006E50FF">
        <w:rPr>
          <w:kern w:val="2"/>
        </w:rPr>
        <w:t xml:space="preserve">. The proposed Rule is available on the Internet at https://www.deq.louisiana.gov/about-ldeq/monthly-regulation-changes-2026. </w:t>
      </w:r>
    </w:p>
    <w:p w14:paraId="36059DD7" w14:textId="77777777" w:rsidR="006E50FF" w:rsidRPr="006E50FF" w:rsidRDefault="006E50FF" w:rsidP="006E50FF">
      <w:pPr>
        <w:keepNext/>
        <w:jc w:val="center"/>
        <w:rPr>
          <w:b/>
          <w:kern w:val="28"/>
        </w:rPr>
      </w:pPr>
      <w:r w:rsidRPr="006E50FF">
        <w:rPr>
          <w:b/>
          <w:kern w:val="28"/>
        </w:rPr>
        <w:t>Public Hearing</w:t>
      </w:r>
    </w:p>
    <w:p w14:paraId="108501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at 1:30 p.m. in the Galvez Building, Oliver Pollock Conference Room, 602 N. Fifth Street, Baton Rouge, LA 70802. Interested persons are invited to attend in person or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w:t>
      </w:r>
    </w:p>
    <w:p w14:paraId="599073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111 New Center Drive, Lafayette, LA 70508; 110 Barataria Street, Lockport, LA 70374; 201 Evans Road, Bldg. 4, Suite 420, New Orleans, LA 70123.</w:t>
      </w:r>
    </w:p>
    <w:p w14:paraId="15B7E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B56ACFB" w14:textId="77777777" w:rsidR="006E50FF" w:rsidRPr="006E50FF" w:rsidRDefault="006E50FF" w:rsidP="006E50FF">
      <w:pPr>
        <w:keepNext/>
        <w:ind w:left="2160"/>
        <w:jc w:val="both"/>
      </w:pPr>
      <w:r w:rsidRPr="006E50FF">
        <w:t>Jill C. Clark</w:t>
      </w:r>
    </w:p>
    <w:p w14:paraId="5736F412" w14:textId="77777777" w:rsidR="006E50FF" w:rsidRPr="006E50FF" w:rsidRDefault="006E50FF" w:rsidP="006E50FF">
      <w:pPr>
        <w:keepNext/>
        <w:ind w:left="2160"/>
        <w:jc w:val="both"/>
      </w:pPr>
      <w:r w:rsidRPr="006E50FF">
        <w:t>General Counsel</w:t>
      </w:r>
    </w:p>
    <w:p w14:paraId="723E3D0A" w14:textId="77777777" w:rsidR="006E50FF" w:rsidRPr="006E50FF" w:rsidRDefault="006E50FF" w:rsidP="006E50FF">
      <w:pPr>
        <w:keepNext/>
        <w:jc w:val="center"/>
        <w:rPr>
          <w:b/>
        </w:rPr>
      </w:pPr>
    </w:p>
    <w:p w14:paraId="58B8950E" w14:textId="77777777" w:rsidR="006E50FF" w:rsidRPr="006E50FF" w:rsidRDefault="006E50FF" w:rsidP="006E50FF">
      <w:pPr>
        <w:keepNext/>
        <w:jc w:val="center"/>
        <w:rPr>
          <w:b/>
        </w:rPr>
      </w:pPr>
      <w:r w:rsidRPr="006E50FF">
        <w:rPr>
          <w:b/>
        </w:rPr>
        <w:t>FISCAL AND ECONOMIC IMPACT STATEMENT FOR ADMINISTRATIVE RULES</w:t>
      </w:r>
    </w:p>
    <w:p w14:paraId="3C3B0DA2" w14:textId="77777777" w:rsidR="006E50FF" w:rsidRPr="006E50FF" w:rsidRDefault="006E50FF" w:rsidP="006E50FF">
      <w:pPr>
        <w:keepNext/>
        <w:jc w:val="center"/>
        <w:rPr>
          <w:b/>
          <w:noProof/>
        </w:rPr>
      </w:pPr>
      <w:r w:rsidRPr="006E50FF">
        <w:rPr>
          <w:b/>
          <w:noProof/>
        </w:rPr>
        <w:t>RULE TITLE:  Hazardous Waste and Hazardous Materials</w:t>
      </w:r>
    </w:p>
    <w:p w14:paraId="4086C7A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0DA56C2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E327633" w14:textId="77777777" w:rsidR="006E50FF" w:rsidRPr="006E50FF" w:rsidRDefault="006E50FF" w:rsidP="006E50FF">
      <w:pPr>
        <w:ind w:left="288" w:firstLine="288"/>
        <w:jc w:val="both"/>
        <w:rPr>
          <w:sz w:val="18"/>
        </w:rPr>
      </w:pPr>
      <w:r w:rsidRPr="006E50FF">
        <w:rPr>
          <w:sz w:val="18"/>
        </w:rPr>
        <w:t>The proposed rule change is not anticipated to impact costs or savings to state or local governmental units. The proposed rule change consolidates duplicative text in the Louisiana Administrative Code (LAC) 33:V.Chapter 43 (Interim Status) by replacing the duplicative text with a cross-reference to the relevant section within LAC 33:V. The rule makes no substantive change. Every requirement that applies under existing rules applies under the proposed rule change. The proposed rule change also makes various technical corrections throughout LAC 33.</w:t>
      </w:r>
    </w:p>
    <w:p w14:paraId="10ED433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9377F45"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state or local governmental units.</w:t>
      </w:r>
    </w:p>
    <w:p w14:paraId="611A7D6A" w14:textId="77777777" w:rsidR="006E50FF" w:rsidRPr="006E50FF" w:rsidRDefault="006E50FF" w:rsidP="006E50FF">
      <w:pPr>
        <w:ind w:left="288" w:hanging="288"/>
        <w:jc w:val="both"/>
        <w:rPr>
          <w:spacing w:val="-10"/>
          <w:sz w:val="18"/>
        </w:rPr>
      </w:pPr>
      <w:r w:rsidRPr="006E50FF">
        <w:rPr>
          <w:spacing w:val="-10"/>
          <w:sz w:val="18"/>
        </w:rPr>
        <w:br w:type="column"/>
      </w:r>
      <w:r w:rsidRPr="006E50FF">
        <w:rPr>
          <w:spacing w:val="-10"/>
          <w:sz w:val="18"/>
        </w:rPr>
        <w:t>III.</w:t>
      </w:r>
      <w:r w:rsidRPr="006E50FF">
        <w:rPr>
          <w:spacing w:val="-10"/>
          <w:sz w:val="18"/>
        </w:rPr>
        <w:tab/>
        <w:t>ESTIMATED COSTS AND/OR ECONOMIC BENEFITS TO DIRECTLY AFFECTED PERSONS, SMALL BUSINESSES, OR NONGOVERNMENTAL GROUPS (Summary)</w:t>
      </w:r>
    </w:p>
    <w:p w14:paraId="504A3561" w14:textId="77777777" w:rsidR="006E50FF" w:rsidRPr="006E50FF" w:rsidRDefault="006E50FF" w:rsidP="006E50FF">
      <w:pPr>
        <w:ind w:left="288" w:firstLine="288"/>
        <w:jc w:val="both"/>
        <w:rPr>
          <w:sz w:val="18"/>
        </w:rPr>
      </w:pPr>
      <w:r w:rsidRPr="006E50FF">
        <w:rPr>
          <w:sz w:val="18"/>
        </w:rPr>
        <w:t>The proposed rule change is not anticipated to impact costs or economic benefits for any directly affected persons, small businesses, or non-governmental groups.</w:t>
      </w:r>
    </w:p>
    <w:p w14:paraId="49EEBD54"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6E2195A"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w:t>
      </w:r>
    </w:p>
    <w:p w14:paraId="0AF389BC" w14:textId="77777777" w:rsidR="006E50FF" w:rsidRPr="006E50FF" w:rsidRDefault="006E50FF" w:rsidP="006E50FF">
      <w:pPr>
        <w:ind w:left="288" w:firstLine="288"/>
        <w:jc w:val="both"/>
        <w:rPr>
          <w:sz w:val="18"/>
        </w:rPr>
      </w:pPr>
    </w:p>
    <w:p w14:paraId="3BF7A453" w14:textId="77777777" w:rsidR="006E50FF" w:rsidRPr="006E50FF" w:rsidRDefault="006E50FF" w:rsidP="006E50FF">
      <w:pPr>
        <w:tabs>
          <w:tab w:val="left" w:pos="2880"/>
          <w:tab w:val="decimal" w:pos="2988"/>
        </w:tabs>
        <w:outlineLvl w:val="8"/>
        <w:rPr>
          <w:kern w:val="2"/>
          <w:sz w:val="18"/>
        </w:rPr>
      </w:pPr>
      <w:r w:rsidRPr="006E50FF">
        <w:rPr>
          <w:kern w:val="2"/>
          <w:sz w:val="18"/>
        </w:rPr>
        <w:t>Jill C. Clark</w:t>
      </w:r>
      <w:r w:rsidRPr="006E50FF">
        <w:rPr>
          <w:kern w:val="2"/>
          <w:sz w:val="18"/>
        </w:rPr>
        <w:tab/>
        <w:t>Patrice Thomas</w:t>
      </w:r>
    </w:p>
    <w:p w14:paraId="2667D261" w14:textId="77777777" w:rsidR="006E50FF" w:rsidRPr="006E50FF" w:rsidRDefault="006E50FF" w:rsidP="006E50FF">
      <w:pPr>
        <w:tabs>
          <w:tab w:val="left" w:pos="2880"/>
          <w:tab w:val="decimal" w:pos="2988"/>
        </w:tabs>
        <w:outlineLvl w:val="8"/>
        <w:rPr>
          <w:kern w:val="2"/>
          <w:sz w:val="18"/>
        </w:rPr>
      </w:pPr>
      <w:r w:rsidRPr="006E50FF">
        <w:rPr>
          <w:kern w:val="2"/>
          <w:sz w:val="18"/>
        </w:rPr>
        <w:t>General Counsel</w:t>
      </w:r>
      <w:r w:rsidRPr="006E50FF">
        <w:rPr>
          <w:kern w:val="2"/>
          <w:sz w:val="18"/>
        </w:rPr>
        <w:tab/>
        <w:t>Deputy Fiscal Officer</w:t>
      </w:r>
    </w:p>
    <w:p w14:paraId="77FE9EFD" w14:textId="77777777" w:rsidR="006E50FF" w:rsidRPr="006E50FF" w:rsidRDefault="006E50FF" w:rsidP="006E50FF">
      <w:pPr>
        <w:tabs>
          <w:tab w:val="left" w:pos="2880"/>
          <w:tab w:val="decimal" w:pos="2988"/>
        </w:tabs>
        <w:outlineLvl w:val="8"/>
        <w:rPr>
          <w:kern w:val="2"/>
          <w:sz w:val="18"/>
        </w:rPr>
      </w:pPr>
      <w:r w:rsidRPr="006E50FF">
        <w:rPr>
          <w:noProof/>
          <w:sz w:val="16"/>
        </w:rPr>
        <w:t>2609#039</w:t>
      </w:r>
      <w:r w:rsidRPr="006E50FF">
        <w:rPr>
          <w:kern w:val="2"/>
        </w:rPr>
        <w:tab/>
      </w:r>
      <w:r w:rsidRPr="006E50FF">
        <w:rPr>
          <w:kern w:val="2"/>
          <w:sz w:val="18"/>
        </w:rPr>
        <w:t>Legislative Fiscal Office</w:t>
      </w:r>
    </w:p>
    <w:p w14:paraId="7E26423F" w14:textId="77777777" w:rsidR="006E50FF" w:rsidRPr="006E50FF" w:rsidRDefault="006E50FF" w:rsidP="006E50FF"/>
    <w:p w14:paraId="1CC87249"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50D516B0" w14:textId="77777777" w:rsidR="006E50FF" w:rsidRPr="006E50FF" w:rsidRDefault="006E50FF" w:rsidP="006E50FF">
      <w:pPr>
        <w:keepNext/>
        <w:jc w:val="center"/>
        <w:rPr>
          <w:b/>
          <w:noProof/>
        </w:rPr>
      </w:pPr>
      <w:r w:rsidRPr="006E50FF">
        <w:rPr>
          <w:b/>
          <w:noProof/>
        </w:rPr>
        <w:t>Department of Environmental Quality</w:t>
      </w:r>
    </w:p>
    <w:p w14:paraId="19D4324F" w14:textId="77777777" w:rsidR="006E50FF" w:rsidRPr="006E50FF" w:rsidRDefault="006E50FF" w:rsidP="006E50FF">
      <w:pPr>
        <w:keepNext/>
        <w:jc w:val="center"/>
        <w:rPr>
          <w:b/>
          <w:noProof/>
        </w:rPr>
      </w:pPr>
      <w:r w:rsidRPr="006E50FF">
        <w:rPr>
          <w:b/>
          <w:noProof/>
        </w:rPr>
        <w:t>Office of the Secretary</w:t>
      </w:r>
    </w:p>
    <w:p w14:paraId="7C9AC867" w14:textId="77777777" w:rsidR="006E50FF" w:rsidRPr="006E50FF" w:rsidRDefault="006E50FF" w:rsidP="006E50FF">
      <w:pPr>
        <w:keepNext/>
        <w:jc w:val="center"/>
        <w:rPr>
          <w:b/>
          <w:noProof/>
        </w:rPr>
      </w:pPr>
      <w:r w:rsidRPr="006E50FF">
        <w:rPr>
          <w:b/>
          <w:noProof/>
        </w:rPr>
        <w:t>Legal Affairs Division</w:t>
      </w:r>
    </w:p>
    <w:p w14:paraId="5907111A" w14:textId="77777777" w:rsidR="006E50FF" w:rsidRPr="006E50FF" w:rsidRDefault="006E50FF" w:rsidP="006E50FF">
      <w:pPr>
        <w:keepNext/>
        <w:spacing w:before="240" w:after="240"/>
        <w:jc w:val="center"/>
        <w:rPr>
          <w:noProof/>
        </w:rPr>
      </w:pPr>
      <w:r w:rsidRPr="006E50FF">
        <w:rPr>
          <w:noProof/>
        </w:rPr>
        <w:t xml:space="preserve">Incorporation by Reference of 40 CFR Part 62, </w:t>
      </w:r>
      <w:r w:rsidRPr="006E50FF">
        <w:rPr>
          <w:noProof/>
        </w:rPr>
        <w:br/>
        <w:t>Subpart IIIa (LAC 33:III.3103)</w:t>
      </w:r>
    </w:p>
    <w:p w14:paraId="7F27EB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the Environmental Quality Act, R.S. 30:2001 et seq., and in accordance with the provisions of the Administrative Procedure Act, R.S. 49:950 et seq., the secretary gives notice that rulemaking procedures have been initiated to amend the </w:t>
      </w:r>
      <w:r w:rsidRPr="006E50FF">
        <w:rPr>
          <w:noProof/>
          <w:kern w:val="2"/>
        </w:rPr>
        <w:t>Air</w:t>
      </w:r>
      <w:r w:rsidRPr="006E50FF">
        <w:rPr>
          <w:kern w:val="2"/>
        </w:rPr>
        <w:t xml:space="preserve"> regulations, </w:t>
      </w:r>
      <w:r w:rsidRPr="006E50FF">
        <w:rPr>
          <w:noProof/>
          <w:kern w:val="2"/>
        </w:rPr>
        <w:t>LAC 33:III.3103</w:t>
      </w:r>
      <w:r w:rsidRPr="006E50FF">
        <w:rPr>
          <w:kern w:val="2"/>
        </w:rPr>
        <w:t xml:space="preserve"> (Log #</w:t>
      </w:r>
      <w:r w:rsidRPr="006E50FF">
        <w:rPr>
          <w:noProof/>
          <w:kern w:val="2"/>
        </w:rPr>
        <w:t>AQ408ft</w:t>
      </w:r>
      <w:r w:rsidRPr="006E50FF">
        <w:rPr>
          <w:kern w:val="2"/>
        </w:rPr>
        <w:t>).</w:t>
      </w:r>
    </w:p>
    <w:p w14:paraId="39897F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is identical to federal regulations found in </w:t>
      </w:r>
      <w:r w:rsidRPr="006E50FF">
        <w:rPr>
          <w:noProof/>
          <w:kern w:val="2"/>
        </w:rPr>
        <w:t>40 CFR Part 62, Subpart IIIa</w:t>
      </w:r>
      <w:r w:rsidRPr="006E50FF">
        <w:rPr>
          <w:kern w:val="2"/>
        </w:rPr>
        <w:t>, which are applicable in Louisiana. For more information regarding the federal requirement, contact William Little at (225) 219-3985. No fiscal or economic impact will result from the rule. This Rule will be promulgated in accordance with the procedures in R.S. 49:963(B)(3) and (4).</w:t>
      </w:r>
    </w:p>
    <w:p w14:paraId="6AE2A8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On December 11, 2024, the Environmental Protection Agency (EPA) issued 40 CFR 62, Subpart IIIa — Federal Plan Requirements for Commercial and Industrial Solid Waste Incineration Units That Commenced Construction On or Before June 4, 2010, and Have Not Been Modified or Reconstructed Since August 7, 2013. In order for Louisiana to maintain equivalency with federal regulations, the most current Code of Federal Regulations must be adopted into the Louisiana Administrative Code. The proposed Rule incorporates by reference the corresponding federal regulations included in 40 CFR Part 62, Subpart IIIa, December 11, 2024, into the Louisiana Administrative Code (LAC), Title 33, Part III, Air, which is necessary to maintain delegation, authorization, etc. granted to Louisiana by EPA. Exceptions to the incorporation by reference are explicitly listed in the proposed Rule.</w:t>
      </w:r>
      <w:r w:rsidRPr="006E50FF">
        <w:rPr>
          <w:kern w:val="2"/>
        </w:rPr>
        <w:t xml:space="preserve"> </w:t>
      </w:r>
      <w:r w:rsidRPr="006E50FF">
        <w:rPr>
          <w:noProof/>
          <w:kern w:val="2"/>
        </w:rPr>
        <w:t>The basis and rationale for the proposed Rule are to mirror the federal regulations as they apply to Louisiana's affected sources.</w:t>
      </w:r>
      <w:r w:rsidRPr="006E50FF">
        <w:rPr>
          <w:kern w:val="2"/>
        </w:rPr>
        <w:t xml:space="preserve"> The proposed Rule meets an exception listed in R.S. 30:2019(D)(2) and R.S. 49:963.B.(3); therefore, no report regarding environmental/health benefits and social/economic costs is required.</w:t>
      </w:r>
    </w:p>
    <w:p w14:paraId="145C1F26" w14:textId="77777777" w:rsidR="006E50FF" w:rsidRPr="006E50FF" w:rsidRDefault="006E50FF" w:rsidP="006E50FF">
      <w:pPr>
        <w:keepNext/>
        <w:jc w:val="center"/>
        <w:rPr>
          <w:b/>
          <w:kern w:val="28"/>
        </w:rPr>
      </w:pPr>
      <w:r w:rsidRPr="006E50FF">
        <w:rPr>
          <w:b/>
          <w:kern w:val="28"/>
        </w:rPr>
        <w:lastRenderedPageBreak/>
        <w:t>Title 33</w:t>
      </w:r>
    </w:p>
    <w:p w14:paraId="2D23AE47" w14:textId="77777777" w:rsidR="006E50FF" w:rsidRPr="006E50FF" w:rsidRDefault="006E50FF" w:rsidP="006E50FF">
      <w:pPr>
        <w:keepNext/>
        <w:jc w:val="center"/>
        <w:rPr>
          <w:b/>
          <w:kern w:val="28"/>
        </w:rPr>
      </w:pPr>
      <w:r w:rsidRPr="006E50FF">
        <w:rPr>
          <w:b/>
          <w:kern w:val="28"/>
        </w:rPr>
        <w:t>ENVIRONMENTAL QUALITY</w:t>
      </w:r>
    </w:p>
    <w:p w14:paraId="4CE1997B" w14:textId="77777777" w:rsidR="006E50FF" w:rsidRPr="006E50FF" w:rsidRDefault="006E50FF" w:rsidP="006E50FF">
      <w:pPr>
        <w:keepNext/>
        <w:jc w:val="center"/>
        <w:rPr>
          <w:b/>
          <w:noProof/>
        </w:rPr>
      </w:pPr>
      <w:r w:rsidRPr="006E50FF">
        <w:rPr>
          <w:b/>
          <w:noProof/>
        </w:rPr>
        <w:t>Part III.  Air</w:t>
      </w:r>
    </w:p>
    <w:p w14:paraId="05C9ECA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31.</w:t>
      </w:r>
      <w:r w:rsidRPr="006E50FF">
        <w:rPr>
          <w:b/>
          <w:kern w:val="2"/>
        </w:rPr>
        <w:tab/>
        <w:t>Incorporation of Federal Plans for Designated Facilities and Pollutants</w:t>
      </w:r>
    </w:p>
    <w:p w14:paraId="2E88D53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Incorporation by Reference</w:t>
      </w:r>
    </w:p>
    <w:p w14:paraId="5268F6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§3103.</w:t>
      </w:r>
      <w:r w:rsidRPr="006E50FF">
        <w:rPr>
          <w:b/>
          <w:kern w:val="2"/>
        </w:rPr>
        <w:tab/>
        <w:t>Incorporation by Reference of 40 CFR Part 62, Subpart IIIa (Federal Plan Requirements for Commercial and Industrial Solid Waste Incineration Units That Commenced Construction On or Before June 4, 2010 and Have Not Been Modified or Reconstructed Since August 7, 2013)</w:t>
      </w:r>
    </w:p>
    <w:p w14:paraId="1FD888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Federal plan requirements published in the </w:t>
      </w:r>
      <w:r w:rsidRPr="006E50FF">
        <w:rPr>
          <w:i/>
          <w:kern w:val="2"/>
        </w:rPr>
        <w:t>Code of Federal Regulations</w:t>
      </w:r>
      <w:r w:rsidRPr="006E50FF">
        <w:rPr>
          <w:kern w:val="2"/>
        </w:rPr>
        <w:t xml:space="preserve"> at 40 CFR 62, Subpart IIIa, December 11, 2024, are hereby incorporated by reference as they apply to sources in the state of Louisiana.</w:t>
      </w:r>
    </w:p>
    <w:p w14:paraId="50ED03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30:2054.</w:t>
      </w:r>
    </w:p>
    <w:p w14:paraId="2FB13D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the Office of the Secretary, Legal Affairs Division, LR 52:</w:t>
      </w:r>
    </w:p>
    <w:p w14:paraId="3D842988" w14:textId="77777777" w:rsidR="006E50FF" w:rsidRPr="006E50FF" w:rsidRDefault="006E50FF" w:rsidP="006E50FF">
      <w:pPr>
        <w:keepNext/>
        <w:jc w:val="center"/>
        <w:rPr>
          <w:b/>
          <w:kern w:val="28"/>
        </w:rPr>
      </w:pPr>
      <w:r w:rsidRPr="006E50FF">
        <w:rPr>
          <w:b/>
          <w:kern w:val="28"/>
        </w:rPr>
        <w:t>Family Impact Statement</w:t>
      </w:r>
    </w:p>
    <w:p w14:paraId="123A25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rPr>
        <w:t>This proposed Rule has no known impact on family formation, stability, and autonomy as described in R.S. 49:972.</w:t>
      </w:r>
    </w:p>
    <w:p w14:paraId="5BCB78DC" w14:textId="77777777" w:rsidR="006E50FF" w:rsidRPr="006E50FF" w:rsidRDefault="006E50FF" w:rsidP="006E50FF">
      <w:pPr>
        <w:keepNext/>
        <w:jc w:val="center"/>
        <w:rPr>
          <w:b/>
          <w:kern w:val="28"/>
        </w:rPr>
      </w:pPr>
      <w:r w:rsidRPr="006E50FF">
        <w:rPr>
          <w:b/>
          <w:kern w:val="28"/>
        </w:rPr>
        <w:t>Poverty Impact Statement</w:t>
      </w:r>
    </w:p>
    <w:p w14:paraId="27E867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poverty as described in R.S. 49:973.</w:t>
      </w:r>
    </w:p>
    <w:p w14:paraId="19C9940A" w14:textId="77777777" w:rsidR="006E50FF" w:rsidRPr="006E50FF" w:rsidRDefault="006E50FF" w:rsidP="006E50FF">
      <w:pPr>
        <w:keepNext/>
        <w:jc w:val="center"/>
        <w:rPr>
          <w:b/>
          <w:kern w:val="28"/>
        </w:rPr>
      </w:pPr>
      <w:r w:rsidRPr="006E50FF">
        <w:rPr>
          <w:b/>
          <w:kern w:val="28"/>
        </w:rPr>
        <w:t>Small Business Analysis</w:t>
      </w:r>
    </w:p>
    <w:p w14:paraId="654113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small business as described in R.S. 49:974.1 - 974.8.</w:t>
      </w:r>
    </w:p>
    <w:p w14:paraId="0CA1AD51" w14:textId="77777777" w:rsidR="006E50FF" w:rsidRPr="006E50FF" w:rsidRDefault="006E50FF" w:rsidP="006E50FF">
      <w:pPr>
        <w:keepNext/>
        <w:jc w:val="center"/>
        <w:rPr>
          <w:b/>
          <w:kern w:val="28"/>
        </w:rPr>
      </w:pPr>
      <w:r w:rsidRPr="006E50FF">
        <w:rPr>
          <w:b/>
          <w:kern w:val="28"/>
        </w:rPr>
        <w:t>Provider Impact Statement</w:t>
      </w:r>
    </w:p>
    <w:p w14:paraId="3182A9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7CBFECCE" w14:textId="77777777" w:rsidR="006E50FF" w:rsidRPr="006E50FF" w:rsidRDefault="006E50FF" w:rsidP="006E50FF">
      <w:pPr>
        <w:keepNext/>
        <w:jc w:val="center"/>
        <w:rPr>
          <w:b/>
          <w:kern w:val="28"/>
        </w:rPr>
      </w:pPr>
      <w:r w:rsidRPr="006E50FF">
        <w:rPr>
          <w:b/>
          <w:kern w:val="28"/>
        </w:rPr>
        <w:t>Public Comments</w:t>
      </w:r>
    </w:p>
    <w:p w14:paraId="69EC86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AQ408ft</w:t>
      </w:r>
      <w:r w:rsidRPr="006E50FF">
        <w:rPr>
          <w:kern w:val="2"/>
        </w:rPr>
        <w:t>. Such comments must be received no later October 28</w:t>
      </w:r>
      <w:r w:rsidRPr="006E50FF">
        <w:rPr>
          <w:noProof/>
          <w:kern w:val="2"/>
        </w:rPr>
        <w:t>, 2026</w:t>
      </w:r>
      <w:r w:rsidRPr="006E50FF">
        <w:rPr>
          <w:kern w:val="2"/>
        </w:rPr>
        <w:t xml:space="preserve">, at 4:30 p.m., and should be sent to William Little, Attorney Supervisor, </w:t>
      </w:r>
      <w:r w:rsidRPr="006E50FF">
        <w:rPr>
          <w:kern w:val="2"/>
          <w:szCs w:val="24"/>
        </w:rPr>
        <w:t xml:space="preserve">Office of the Secretary, </w:t>
      </w:r>
      <w:r w:rsidRPr="006E50FF">
        <w:rPr>
          <w:kern w:val="2"/>
        </w:rPr>
        <w:t>Legal Affairs Division</w:t>
      </w:r>
      <w:r w:rsidRPr="006E50FF">
        <w:rPr>
          <w:kern w:val="2"/>
          <w:szCs w:val="24"/>
        </w:rPr>
        <w:t xml:space="preserve">, P.O. Box 4302, Baton Rouge, LA 70821-4302, by fax </w:t>
      </w:r>
      <w:r w:rsidRPr="006E50FF">
        <w:rPr>
          <w:kern w:val="2"/>
        </w:rPr>
        <w:t xml:space="preserve">(225) 219-4068, or by E-mail to DEQ.Reg.Dev.Comments@la.gov. Copies of the proposed Rule can be purchased by contacting the LDEQ Public Records Center at (225) 219-3168. Check or money order is required in advance for each copy of </w:t>
      </w:r>
      <w:r w:rsidRPr="006E50FF">
        <w:rPr>
          <w:noProof/>
          <w:kern w:val="2"/>
        </w:rPr>
        <w:t>AQ408ft</w:t>
      </w:r>
      <w:r w:rsidRPr="006E50FF">
        <w:rPr>
          <w:kern w:val="2"/>
        </w:rPr>
        <w:t xml:space="preserve">. The proposed Rule is available on the Internet at https://www.deq.louisiana.gov/about-ldeq/monthly-regulation-changes-2026. </w:t>
      </w:r>
    </w:p>
    <w:p w14:paraId="31FF633F" w14:textId="77777777" w:rsidR="006E50FF" w:rsidRPr="006E50FF" w:rsidRDefault="006E50FF" w:rsidP="006E50FF">
      <w:pPr>
        <w:keepNext/>
        <w:jc w:val="center"/>
        <w:rPr>
          <w:b/>
          <w:kern w:val="28"/>
        </w:rPr>
      </w:pPr>
      <w:r w:rsidRPr="006E50FF">
        <w:rPr>
          <w:b/>
          <w:kern w:val="28"/>
        </w:rPr>
        <w:t>Public Hearing</w:t>
      </w:r>
    </w:p>
    <w:p w14:paraId="2D8F24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xml:space="preserve">, at 1:30 p.m. in the Galvez Building, Oliver Pollock Conference Room, 602 N. Fifth Street, Baton Rouge, LA 70802. Interested persons are invited to attend in person or online via Microsoft Teams at </w:t>
      </w:r>
      <w:r w:rsidRPr="006E50FF">
        <w:rPr>
          <w:kern w:val="2"/>
          <w:szCs w:val="24"/>
        </w:rPr>
        <w:t>https://teams.microsoft.com/meet/225581962557365?p=WA1olUFploGq8u2YOV Meeting ID: 225 581 962 557 365 Passcode: A2NL2hJ9</w:t>
      </w:r>
      <w:r w:rsidRPr="006E50FF">
        <w:rPr>
          <w:kern w:val="2"/>
        </w:rPr>
        <w:t xml:space="preserve"> or by phone (872) 239-6160 using phone conference ID: 833 450 698#. Should individuals with a disability need an accommodation to participate, contact Doug Bordelon at the address given below or at (225) 219-1325.</w:t>
      </w:r>
    </w:p>
    <w:p w14:paraId="6786A0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 xml:space="preserve">111 New Center Drive, Lafayette, LA 70508; 110 Barataria Street, Lockport, LA 70374; </w:t>
      </w:r>
      <w:r w:rsidRPr="006E50FF">
        <w:rPr>
          <w:kern w:val="2"/>
          <w:szCs w:val="24"/>
        </w:rPr>
        <w:t>201 Evans Road, Bldg. 4, Suite 420, New Orleans, LA 70123</w:t>
      </w:r>
      <w:r w:rsidRPr="006E50FF">
        <w:rPr>
          <w:kern w:val="2"/>
        </w:rPr>
        <w:t>.</w:t>
      </w:r>
    </w:p>
    <w:p w14:paraId="32B63A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3DC362C" w14:textId="77777777" w:rsidR="006E50FF" w:rsidRPr="006E50FF" w:rsidRDefault="006E50FF" w:rsidP="006E50FF">
      <w:pPr>
        <w:keepNext/>
        <w:ind w:left="2160"/>
        <w:jc w:val="both"/>
      </w:pPr>
      <w:r w:rsidRPr="006E50FF">
        <w:t>Jill C. Clark</w:t>
      </w:r>
    </w:p>
    <w:p w14:paraId="0216E87D" w14:textId="77777777" w:rsidR="006E50FF" w:rsidRPr="006E50FF" w:rsidRDefault="006E50FF" w:rsidP="006E50FF">
      <w:pPr>
        <w:keepNext/>
        <w:ind w:left="2160"/>
        <w:jc w:val="both"/>
      </w:pPr>
      <w:r w:rsidRPr="006E50FF">
        <w:t>General Counsel</w:t>
      </w:r>
    </w:p>
    <w:p w14:paraId="43E1C738" w14:textId="77777777" w:rsidR="006E50FF" w:rsidRPr="006E50FF" w:rsidRDefault="006E50FF" w:rsidP="006E50FF">
      <w:pPr>
        <w:rPr>
          <w:noProof/>
          <w:sz w:val="16"/>
        </w:rPr>
      </w:pPr>
      <w:r w:rsidRPr="006E50FF">
        <w:rPr>
          <w:noProof/>
          <w:sz w:val="16"/>
        </w:rPr>
        <w:t>2609#038</w:t>
      </w:r>
    </w:p>
    <w:p w14:paraId="47A497F2" w14:textId="77777777" w:rsidR="006E50FF" w:rsidRPr="006E50FF" w:rsidRDefault="006E50FF" w:rsidP="006E50FF"/>
    <w:p w14:paraId="1065FF46"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3FEEA89" w14:textId="77777777" w:rsidR="006E50FF" w:rsidRPr="006E50FF" w:rsidRDefault="006E50FF" w:rsidP="006E50FF">
      <w:pPr>
        <w:keepNext/>
        <w:jc w:val="center"/>
        <w:rPr>
          <w:b/>
          <w:noProof/>
        </w:rPr>
      </w:pPr>
      <w:r w:rsidRPr="006E50FF">
        <w:rPr>
          <w:b/>
          <w:noProof/>
        </w:rPr>
        <w:t>Department of Environmental Quality</w:t>
      </w:r>
    </w:p>
    <w:p w14:paraId="557855E5" w14:textId="77777777" w:rsidR="006E50FF" w:rsidRPr="006E50FF" w:rsidRDefault="006E50FF" w:rsidP="006E50FF">
      <w:pPr>
        <w:keepNext/>
        <w:jc w:val="center"/>
        <w:rPr>
          <w:b/>
          <w:noProof/>
        </w:rPr>
      </w:pPr>
      <w:r w:rsidRPr="006E50FF">
        <w:rPr>
          <w:b/>
          <w:noProof/>
        </w:rPr>
        <w:t>Office of the Secretary</w:t>
      </w:r>
    </w:p>
    <w:p w14:paraId="04842104" w14:textId="77777777" w:rsidR="006E50FF" w:rsidRPr="006E50FF" w:rsidRDefault="006E50FF" w:rsidP="006E50FF">
      <w:pPr>
        <w:keepNext/>
        <w:jc w:val="center"/>
        <w:rPr>
          <w:b/>
          <w:noProof/>
        </w:rPr>
      </w:pPr>
      <w:r w:rsidRPr="006E50FF">
        <w:rPr>
          <w:b/>
          <w:noProof/>
        </w:rPr>
        <w:t>Legal Affairs Division</w:t>
      </w:r>
    </w:p>
    <w:p w14:paraId="5BF33C5E" w14:textId="77777777" w:rsidR="006E50FF" w:rsidRPr="006E50FF" w:rsidRDefault="006E50FF" w:rsidP="006E50FF">
      <w:pPr>
        <w:keepNext/>
        <w:spacing w:before="240" w:after="240"/>
        <w:jc w:val="center"/>
        <w:rPr>
          <w:noProof/>
        </w:rPr>
      </w:pPr>
      <w:r w:rsidRPr="006E50FF">
        <w:rPr>
          <w:noProof/>
        </w:rPr>
        <w:t>Solid Waste Regulatory Permits</w:t>
      </w:r>
      <w:r w:rsidRPr="006E50FF">
        <w:rPr>
          <w:noProof/>
        </w:rPr>
        <w:br/>
        <w:t>(LAC 33:VII.Chapter 5 and Chapter 15)</w:t>
      </w:r>
    </w:p>
    <w:p w14:paraId="1D5FB8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the Louisiana Environmental Quality Act, R.S. 30:2001 et seq., and in accordance with the provisions of the Administrative Procedure Act, R.S. 49:950 et seq., the secretary gives notice that rulemaking procedures have been initiated to amend the </w:t>
      </w:r>
      <w:r w:rsidRPr="006E50FF">
        <w:rPr>
          <w:noProof/>
          <w:kern w:val="2"/>
        </w:rPr>
        <w:t>Solid Waste</w:t>
      </w:r>
      <w:r w:rsidRPr="006E50FF">
        <w:rPr>
          <w:kern w:val="2"/>
        </w:rPr>
        <w:t xml:space="preserve"> regulations, </w:t>
      </w:r>
      <w:r w:rsidRPr="006E50FF">
        <w:rPr>
          <w:noProof/>
          <w:kern w:val="2"/>
        </w:rPr>
        <w:t>LAC 33:VII.509, 1501, and 1505</w:t>
      </w:r>
      <w:r w:rsidRPr="006E50FF">
        <w:rPr>
          <w:kern w:val="2"/>
        </w:rPr>
        <w:t xml:space="preserve"> (</w:t>
      </w:r>
      <w:r w:rsidRPr="006E50FF">
        <w:rPr>
          <w:noProof/>
          <w:kern w:val="2"/>
        </w:rPr>
        <w:t>SW079</w:t>
      </w:r>
      <w:r w:rsidRPr="006E50FF">
        <w:rPr>
          <w:kern w:val="2"/>
        </w:rPr>
        <w:t>).</w:t>
      </w:r>
    </w:p>
    <w:p w14:paraId="7C377087"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 xml:space="preserve">The proposed Rule will create a framework and standards to review and issue solid waste regulatory permits as well as define standards for four types of regulatory permits (air curtain destructors, grease processing facilities, separaton facilities, and injection well processing facilities). Regulatory permits are designed for facilities that conduct specific processes that would otherwise require a standard permit, but the requirements of a standard permit would be overly burdensome. </w:t>
      </w:r>
    </w:p>
    <w:p w14:paraId="75E4E8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Regulatory permits are written authorizations promulgated into the solid waste regulations for the construction, installation, modification, operation, closure or post-closure of a facility used or intended to be used to process or dispose of solid waste.</w:t>
      </w:r>
      <w:r w:rsidRPr="006E50FF">
        <w:rPr>
          <w:kern w:val="2"/>
        </w:rPr>
        <w:t xml:space="preserve"> </w:t>
      </w:r>
      <w:r w:rsidRPr="006E50FF">
        <w:rPr>
          <w:noProof/>
          <w:kern w:val="2"/>
        </w:rPr>
        <w:t>The basis and rationale for the proposed Rule are to create a comprehensive regulatory framework for regulatory permits and define the requirements for air curtain destructors, grease processing facilities, nonputrescuble separation facilities, and injection well processing facilities. These permits will provide a less burdensome permitting process for specific minor processing, storing, and disposal facilities.</w:t>
      </w:r>
      <w:r w:rsidRPr="006E50FF">
        <w:rPr>
          <w:kern w:val="2"/>
        </w:rPr>
        <w:t xml:space="preserve"> The proposed Rule meets an exception listed in R.S. 30:2019(D)(2) and R.S. 49:963.B(3); therefore, no report regarding environmental/health benefits and social/economic costs is required.</w:t>
      </w:r>
    </w:p>
    <w:p w14:paraId="69BA2649" w14:textId="77777777" w:rsidR="006E50FF" w:rsidRPr="006E50FF" w:rsidRDefault="006E50FF" w:rsidP="006E50FF">
      <w:pPr>
        <w:keepNext/>
        <w:jc w:val="center"/>
        <w:rPr>
          <w:b/>
          <w:kern w:val="28"/>
        </w:rPr>
      </w:pPr>
      <w:r w:rsidRPr="006E50FF">
        <w:rPr>
          <w:b/>
          <w:kern w:val="28"/>
        </w:rPr>
        <w:t>Title 33</w:t>
      </w:r>
    </w:p>
    <w:p w14:paraId="255BC039" w14:textId="77777777" w:rsidR="006E50FF" w:rsidRPr="006E50FF" w:rsidRDefault="006E50FF" w:rsidP="006E50FF">
      <w:pPr>
        <w:keepNext/>
        <w:jc w:val="center"/>
        <w:rPr>
          <w:b/>
          <w:kern w:val="28"/>
        </w:rPr>
      </w:pPr>
      <w:r w:rsidRPr="006E50FF">
        <w:rPr>
          <w:b/>
          <w:kern w:val="28"/>
        </w:rPr>
        <w:t>ENVIRONMENTAL QUALITY</w:t>
      </w:r>
    </w:p>
    <w:p w14:paraId="4BEA0E4B" w14:textId="77777777" w:rsidR="006E50FF" w:rsidRPr="006E50FF" w:rsidRDefault="006E50FF" w:rsidP="006E50FF">
      <w:pPr>
        <w:keepNext/>
        <w:jc w:val="center"/>
        <w:rPr>
          <w:b/>
          <w:noProof/>
        </w:rPr>
      </w:pPr>
      <w:r w:rsidRPr="006E50FF">
        <w:rPr>
          <w:b/>
          <w:noProof/>
        </w:rPr>
        <w:t>Part VII.  Solid Waste</w:t>
      </w:r>
    </w:p>
    <w:p w14:paraId="6D3326F0" w14:textId="77777777" w:rsidR="006E50FF" w:rsidRPr="006E50FF" w:rsidRDefault="006E50FF" w:rsidP="006E50FF">
      <w:pPr>
        <w:keepNext/>
        <w:jc w:val="center"/>
        <w:rPr>
          <w:b/>
          <w:noProof/>
        </w:rPr>
      </w:pPr>
      <w:r w:rsidRPr="006E50FF">
        <w:rPr>
          <w:b/>
          <w:noProof/>
        </w:rPr>
        <w:t>Subpart 1.  Solid Waste Regulations</w:t>
      </w:r>
    </w:p>
    <w:p w14:paraId="5E69C14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Solid Waste Management System</w:t>
      </w:r>
    </w:p>
    <w:p w14:paraId="1A28461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B.</w:t>
      </w:r>
      <w:r w:rsidRPr="006E50FF">
        <w:rPr>
          <w:b/>
          <w:kern w:val="2"/>
        </w:rPr>
        <w:tab/>
        <w:t>Permit Administration</w:t>
      </w:r>
    </w:p>
    <w:p w14:paraId="16169C6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Permit System</w:t>
      </w:r>
    </w:p>
    <w:p w14:paraId="7C7AFB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150B6C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Regulatory Permit. Regulatory permits may be issued by the administrative authority when it is determined </w:t>
      </w:r>
      <w:r w:rsidRPr="006E50FF">
        <w:rPr>
          <w:kern w:val="2"/>
        </w:rPr>
        <w:lastRenderedPageBreak/>
        <w:t>to be appropriate considering the type of operations or facilities that would be covered. Regulatory permits shall be promulgated in accordance with the procedures provided in R.S. 30:2019. Regulatory permits are not subject to the requirements of LAC 33:VII.Chapter 13.</w:t>
      </w:r>
    </w:p>
    <w:p w14:paraId="723CC2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B.5. - G.</w:t>
      </w:r>
      <w:r w:rsidRPr="006E50FF">
        <w:rPr>
          <w:kern w:val="2"/>
        </w:rPr>
        <w:tab/>
        <w:t>…</w:t>
      </w:r>
    </w:p>
    <w:p w14:paraId="200746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w:t>
      </w:r>
    </w:p>
    <w:p w14:paraId="522913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19:187 (February 1993), amended by the Office of Environmental Assessment, Environmental Planning Division, LR 26:2518, 2519 (November 2000), amended by the Office of Environmental Assessment, LR 30:2032 (September 2004), amended by the Office of the Secretary, Legal Affairs Division, LR 31:2488 (October 2005), LR 33:1035 (June 2007), LR 33:2143 (October 2007), LR 37:3236 (November 2011) repromulgated LR 37:3509 (December 2011), amended by the Office of the Secretary, Legal Affairs Division, LR 52:677 (May 2026), LR 52:</w:t>
      </w:r>
    </w:p>
    <w:p w14:paraId="0CF0A92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F.</w:t>
      </w:r>
      <w:r w:rsidRPr="006E50FF">
        <w:rPr>
          <w:b/>
          <w:kern w:val="2"/>
        </w:rPr>
        <w:tab/>
        <w:t>Regulatory Permits</w:t>
      </w:r>
    </w:p>
    <w:p w14:paraId="0796FC2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§531.</w:t>
      </w:r>
      <w:r w:rsidRPr="006E50FF">
        <w:rPr>
          <w:b/>
          <w:kern w:val="2"/>
        </w:rPr>
        <w:tab/>
        <w:t>Applicability</w:t>
      </w:r>
    </w:p>
    <w:p w14:paraId="4653AD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Regulatory permits apply only to:</w:t>
      </w:r>
    </w:p>
    <w:p w14:paraId="1343FD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air curtain destructors that process only untreated woodwaste;</w:t>
      </w:r>
    </w:p>
    <w:p w14:paraId="32514A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processors of grease not mixed with domestic sewage and not managed under LAC 33:IX. Chapter 73;</w:t>
      </w:r>
    </w:p>
    <w:p w14:paraId="73AB8B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separation facilities that only segregate recyclables from nonputrescible residential and commercial waste and construction and demolition debris; and</w:t>
      </w:r>
    </w:p>
    <w:p w14:paraId="171BF1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injection well processing/storage facilities that operate class I nonhazardous waste disposal wells.</w:t>
      </w:r>
    </w:p>
    <w:p w14:paraId="26163F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regulatory permit is valid for up to five years. To renew, the permit holder shall submit a regulatory permit application form to the Office of Environmental Services at least 180 calendar days before the permit expires, following the application process in LAC 33:VII.535. If the permit holder submits the renewal application by that deadline and the administrative authority has not issued a final decision before the permit expires, the existing permit shall remain in effect until the administrative authority issues a final decision.</w:t>
      </w:r>
    </w:p>
    <w:p w14:paraId="3E994D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separate application shall be submitted for each regulatory permit and proposed modifications.</w:t>
      </w:r>
    </w:p>
    <w:p w14:paraId="1A3BE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 modification shall be instituted without the written approval of the administrative authority.</w:t>
      </w:r>
    </w:p>
    <w:p w14:paraId="083746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applicable requirements of LAC 33:VII.535 and the conditions listed in LAC 33:VII.529 shall apply to all facilities operating under a regulatory permit.</w:t>
      </w:r>
    </w:p>
    <w:p w14:paraId="4B96D5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Regulatory permits shall not apply to:</w:t>
      </w:r>
    </w:p>
    <w:p w14:paraId="748708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 air curtain destructor that processes waste resulting from land or right-of-way clearing and disposed of on the site where generated in accordance with LAC 33:VII.303.A.1;</w:t>
      </w:r>
    </w:p>
    <w:p w14:paraId="7B6B3A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 air curtain destructor that combusts any type of solid waste other than untreated woodwaste;</w:t>
      </w:r>
    </w:p>
    <w:p w14:paraId="5BB15B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 facility that processes grease that has been commingled with domestic sewage; or </w:t>
      </w:r>
    </w:p>
    <w:p w14:paraId="3E03E3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facility that receives waste for any injection well other than a class I nonhazardous waste disposal well.</w:t>
      </w:r>
    </w:p>
    <w:p w14:paraId="363E85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17A2A5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55B182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§533.</w:t>
      </w:r>
      <w:r w:rsidRPr="006E50FF">
        <w:rPr>
          <w:b/>
          <w:kern w:val="2"/>
        </w:rPr>
        <w:tab/>
        <w:t>Definitions</w:t>
      </w:r>
    </w:p>
    <w:p w14:paraId="15FA30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For all purposes of this Subchapter, the terms defined in this Section shall have the following meanings.</w:t>
      </w:r>
    </w:p>
    <w:p w14:paraId="3A1BA30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Domestic Sewage</w:t>
      </w:r>
      <w:r w:rsidRPr="006E50FF">
        <w:rPr>
          <w:kern w:val="2"/>
        </w:rPr>
        <w:t>—waste and wastewater from humans or household operations that is discharged to, or otherwise enters, a treatment works.</w:t>
      </w:r>
    </w:p>
    <w:p w14:paraId="514A586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Food Service Facility</w:t>
      </w:r>
      <w:r w:rsidRPr="006E50FF">
        <w:rPr>
          <w:kern w:val="2"/>
        </w:rPr>
        <w:t>—any facility, other than a private residence, that prepares and/or packages food or beverages for sale or consumption, on or off-site. Examples include, but are not limited to: food courts, food manufacturers, food packagers, restaurants, grocery stores, bakeries, lounges, hospitals, hotels, nursing homes, churches, schools, and other similar facilities.</w:t>
      </w:r>
    </w:p>
    <w:p w14:paraId="2C2F245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Grease</w:t>
      </w:r>
      <w:r w:rsidRPr="006E50FF">
        <w:rPr>
          <w:kern w:val="2"/>
        </w:rPr>
        <w:t>—a material, either liquid or solid, composed primarily of a fatty or oily substance from animal or vegetable sources. The terms fats, oils, and grease; oil and grease; and oil and grease substances shall all be included within this definition. Grease includes only material removed from a grease trap at a food service facility that has not been commingled with domestic sewage. Grease does not include used cooking oil.</w:t>
      </w:r>
    </w:p>
    <w:p w14:paraId="2792EAA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Grease Trap</w:t>
      </w:r>
      <w:r w:rsidRPr="006E50FF">
        <w:rPr>
          <w:kern w:val="2"/>
        </w:rPr>
        <w:t>—a plumbing device designed to intercept grease and solids before they enter a domestic sewage system.</w:t>
      </w:r>
    </w:p>
    <w:p w14:paraId="4A413E4B"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i/>
          <w:kern w:val="2"/>
        </w:rPr>
        <w:t>Injection Well Processing Facility</w:t>
      </w:r>
      <w:r w:rsidRPr="006E50FF">
        <w:rPr>
          <w:kern w:val="2"/>
        </w:rPr>
        <w:t>—any facility that processes nonhazardous residential, commercial, and/or industrial waste prior to being disposed in a solid waste injection well. The facility may conduct nonthermal and nondestructive incidental processing of the waste prior to injection. The facility may also process exploration and production waste regulated by the Louisiana Department of Conservation and Energy prior to disposal in a class I injection well.</w:t>
      </w:r>
    </w:p>
    <w:p w14:paraId="43FFA87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Used Cooking Oil</w:t>
      </w:r>
      <w:r w:rsidRPr="006E50FF">
        <w:rPr>
          <w:kern w:val="2"/>
        </w:rPr>
        <w:t>—a material, either liquid or solid, composed primarily of fat, oil, or grease from animal or vegetable sources that is source separated by the generator for reclamation and/or reuse and not destined for disposal.</w:t>
      </w:r>
    </w:p>
    <w:p w14:paraId="41EF13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0BB9008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53561B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§535.</w:t>
      </w:r>
      <w:r w:rsidRPr="006E50FF">
        <w:rPr>
          <w:b/>
          <w:kern w:val="2"/>
        </w:rPr>
        <w:tab/>
        <w:t>Standards Governing All Regulatory Permits</w:t>
      </w:r>
    </w:p>
    <w:p w14:paraId="297747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Regulatory Permit Application</w:t>
      </w:r>
    </w:p>
    <w:p w14:paraId="600844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completed application form shall be submitted to the Office of Environmental Services for a:</w:t>
      </w:r>
    </w:p>
    <w:p w14:paraId="382B56DF" w14:textId="77777777" w:rsidR="006E50FF" w:rsidRPr="006E50FF" w:rsidRDefault="006E50FF" w:rsidP="006E50FF">
      <w:pPr>
        <w:tabs>
          <w:tab w:val="left" w:pos="907"/>
        </w:tabs>
        <w:ind w:firstLine="547"/>
        <w:jc w:val="both"/>
        <w:outlineLvl w:val="5"/>
        <w:rPr>
          <w:kern w:val="2"/>
        </w:rPr>
      </w:pPr>
      <w:r w:rsidRPr="006E50FF">
        <w:rPr>
          <w:rFonts w:eastAsia="Calibri"/>
          <w:kern w:val="2"/>
        </w:rPr>
        <w:t>a.</w:t>
      </w:r>
      <w:r w:rsidRPr="006E50FF">
        <w:rPr>
          <w:rFonts w:eastAsia="Calibri"/>
          <w:kern w:val="2"/>
        </w:rPr>
        <w:tab/>
        <w:t>proposed</w:t>
      </w:r>
      <w:r w:rsidRPr="006E50FF">
        <w:rPr>
          <w:kern w:val="2"/>
        </w:rPr>
        <w:t xml:space="preserve"> facility;</w:t>
      </w:r>
    </w:p>
    <w:p w14:paraId="71B0868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proposed modification to the facility;</w:t>
      </w:r>
    </w:p>
    <w:p w14:paraId="1C25908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closure of the facility; or</w:t>
      </w:r>
    </w:p>
    <w:p w14:paraId="682680C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facility seeking renewal.</w:t>
      </w:r>
    </w:p>
    <w:p w14:paraId="282653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Certification. The person who prepared the regulatory permit application shall provide the following certification:</w:t>
      </w:r>
    </w:p>
    <w:p w14:paraId="61647BA5" w14:textId="77777777" w:rsidR="006E50FF" w:rsidRPr="006E50FF" w:rsidRDefault="006E50FF" w:rsidP="006E50FF">
      <w:pPr>
        <w:ind w:left="432" w:right="432"/>
        <w:jc w:val="both"/>
        <w:rPr>
          <w:noProof/>
          <w:sz w:val="16"/>
          <w:szCs w:val="16"/>
        </w:rPr>
      </w:pPr>
      <w:r w:rsidRPr="006E50FF">
        <w:rPr>
          <w:noProof/>
          <w:sz w:val="16"/>
          <w:szCs w:val="16"/>
        </w:rPr>
        <w:t>"I certify under penalty of law that I have personally examined and I am familiar with the information submitted in this permit application and that the facility as described in this permit application meets the requirements of LAC 33:VII.Subpart 1. I am aware that there are significant penalties for knowingly submitting false information, including the possibility of fine and imprisonment."</w:t>
      </w:r>
    </w:p>
    <w:p w14:paraId="66E84F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Location Characteristics. If the facility is located in, or within 1,000 feet of, a wetland, estuary, wildlife-hatchery area, habitat of an endangered species, archaeological site, historic site, publicly-owned recreation area, or similar </w:t>
      </w:r>
      <w:r w:rsidRPr="006E50FF">
        <w:rPr>
          <w:kern w:val="2"/>
        </w:rPr>
        <w:br w:type="page"/>
      </w:r>
      <w:r w:rsidRPr="006E50FF">
        <w:rPr>
          <w:kern w:val="2"/>
        </w:rPr>
        <w:lastRenderedPageBreak/>
        <w:t>critical environmental area, the permit holder shall isolate the facility from that area with effective barriers that eliminate probable adverse impacts from facility operations. The permit holder shall describe in the regulatory permit application form the measures used to protect the listed areas from the adverse impacts of facility operations.</w:t>
      </w:r>
    </w:p>
    <w:p w14:paraId="793C8E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Characteristics</w:t>
      </w:r>
    </w:p>
    <w:p w14:paraId="23328B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have a perimeter barrier that prevents unauthorized entry and exit, except by willful entry.</w:t>
      </w:r>
    </w:p>
    <w:p w14:paraId="651BBB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entry point to the facility shall be continuously monitored, manned, or locked during operating hours.</w:t>
      </w:r>
    </w:p>
    <w:p w14:paraId="740539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entry point shall be locked during nonoperating hours.</w:t>
      </w:r>
    </w:p>
    <w:p w14:paraId="076BA7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owner or operator shall enter into a written agreement with the local fire department for fire protection at the facility.</w:t>
      </w:r>
    </w:p>
    <w:p w14:paraId="47F78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owner or operator shall develop and implement a fire protection and safety plan to protect personnel and minimize the impact on the environment.</w:t>
      </w:r>
    </w:p>
    <w:p w14:paraId="7E3716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Discharge from a facility operating under a regulatory permit shall be controlled and shall conform to applicable state and federal laws, including the Clean Water Act and Louisiana Water Pollution Control Law.</w:t>
      </w:r>
    </w:p>
    <w:p w14:paraId="226427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Additional Authorization</w:t>
      </w:r>
    </w:p>
    <w:p w14:paraId="77557D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may be required to obtain an additional permit from other local, state, and federal agencies. Typical permits that may be needed include, but are not limited to, the following:</w:t>
      </w:r>
    </w:p>
    <w:p w14:paraId="25B359F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National Pollutant Discharge Elimination System/Louisiana Pollutant Discharge Elimination System (Section 402 of the Clean Water Act);</w:t>
      </w:r>
    </w:p>
    <w:p w14:paraId="6C90396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Louisiana Water Discharge Permit;</w:t>
      </w:r>
    </w:p>
    <w:p w14:paraId="73F7970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Louisiana Coastal Use Permit issued by the Department of Conservation and Energy, Office of Permitting and Compliance;</w:t>
      </w:r>
    </w:p>
    <w:p w14:paraId="7C6A141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Louisiana Air Emissions Permit;</w:t>
      </w:r>
    </w:p>
    <w:p w14:paraId="0C920F93"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U.S. Army Corps of Engineers Permit (Dredge and Fill, Section 404 of the Clean Water Act); or</w:t>
      </w:r>
    </w:p>
    <w:p w14:paraId="5A6C440E"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appropriate local permit, license, certification, registration, or approval.</w:t>
      </w:r>
    </w:p>
    <w:p w14:paraId="067BBC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It is the responsibility of the applicant to identify the other applicable permits that may be required. A listing of the permits that the applicant intends to apply for shall be included in the regulatory permit application form.</w:t>
      </w:r>
    </w:p>
    <w:p w14:paraId="53ED1F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shall provide appropriate documentation to the Office of Environmental Services that the proposed use does not violate zoning or other land-use regulations that exist at the time of the submittal of the regulatory permit application form.</w:t>
      </w:r>
    </w:p>
    <w:p w14:paraId="4AD1A5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applicant of an injection well processing/storage facility regulatory permit shall provide a copy of the order approving the drilling, constructing and operating for the Class I injection well issued by the Louisiana Department of Conservation and Energy. </w:t>
      </w:r>
    </w:p>
    <w:p w14:paraId="67B44F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Fees. All applicable requirements of LAC 33:VII.Chapter 15 shall apply to regulatory permits.</w:t>
      </w:r>
    </w:p>
    <w:p w14:paraId="0B5F06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578D80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6A9851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§537.</w:t>
      </w:r>
      <w:r w:rsidRPr="006E50FF">
        <w:rPr>
          <w:b/>
          <w:kern w:val="2"/>
        </w:rPr>
        <w:tab/>
        <w:t>Regulatory Permit Standards Governing Air Curtain Destructors</w:t>
      </w:r>
    </w:p>
    <w:p w14:paraId="706C2B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Buffer Zones</w:t>
      </w:r>
    </w:p>
    <w:p w14:paraId="00BDC0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Buffer zones of not less than 300 feet shall be provided between the facility and the property line for any new facility. A reduction in this requirement shall be allowed only with permission, in the form of a notarized affidavit, from all landowners having an ownership interest in property located less than 300 feet from the facility. The facility’s owner or operator shall enter a copy of the notarized affidavit(s) in the mortgage and conveyance records of the parish or parishes where the landowners’ properties are located. In addition, air curtain destructors shall maintain at least a 1,000-foot buffer from any dwelling, other than a dwelling or structure located on the property on which the burning is conducted unless the appropriate notarized affidavit waivers are obtained. The affidavits, if applicable, shall be maintained on-site and shall be accessible for inspections by the department. </w:t>
      </w:r>
    </w:p>
    <w:p w14:paraId="0A8599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storage, processing, or disposal of solid waste shall occur within the buffer zone.</w:t>
      </w:r>
    </w:p>
    <w:p w14:paraId="424EDD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Methods for Receiving and Monitoring Incoming Waste</w:t>
      </w:r>
    </w:p>
    <w:p w14:paraId="66953E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air curtain destructor facilities shall have a method to determine the quantity, by volume, of incoming untreated woodwaste, and sources of all incoming waste, whether the waste was generated in-state or out-of-state. All facilities shall also have a method to control entry of the waste and prevent entry of unrecorded or unauthorized deliverables (i.e., hazardous, unauthorized, or unpermitted solid waste). A record of the quantities of incoming waste and of unauthorized deliverables shall be kept on-site according to Paragraph C.1 of this Section.</w:t>
      </w:r>
    </w:p>
    <w:p w14:paraId="06923E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or be found on the site, shall be segregated and stored in a closed container. All unacceptable waste shall be removed from the site at least every 14 days. A record of the shipment to properly permitted facilities shall be kept on-site in accordance with Subsection C.1 of this Section. Additional storage time may be granted by the administrative authority on a case-by-case basis upon request.</w:t>
      </w:r>
    </w:p>
    <w:p w14:paraId="337B45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Administrative Procedures</w:t>
      </w:r>
    </w:p>
    <w:p w14:paraId="1B3159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4F43A51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7122686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500B54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5DB3289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3D2A571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br w:type="page"/>
      </w:r>
    </w:p>
    <w:p w14:paraId="1C5C0CD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iv.</w:t>
      </w:r>
      <w:r w:rsidRPr="006E50FF">
        <w:rPr>
          <w:kern w:val="2"/>
        </w:rPr>
        <w:tab/>
        <w:t>daily log that shall include:</w:t>
      </w:r>
    </w:p>
    <w:p w14:paraId="126439E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volume of waste received at the facility;</w:t>
      </w:r>
    </w:p>
    <w:p w14:paraId="2A0EA23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a description of ash management activities, including the volume of ash removed from the site or used in accordance with Paragraph D.5 of this Section; and </w:t>
      </w:r>
    </w:p>
    <w:p w14:paraId="0E73155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 up of the facility, including equipment and waste handling areas; and</w:t>
      </w:r>
    </w:p>
    <w:p w14:paraId="70077FC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6ABCE9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air curtain destructor facilities operating under a regulatory permit shall have the personnel necessary to achieve the operational requirements of the facility.</w:t>
      </w:r>
    </w:p>
    <w:p w14:paraId="6C5009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Operational Standard</w:t>
      </w:r>
    </w:p>
    <w:p w14:paraId="558FA9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solid waste shall be stored long enough to cause a nuisance, health hazard, or detriment to the environment.</w:t>
      </w:r>
    </w:p>
    <w:p w14:paraId="0375F9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Air curtain destructors shall adhere to the following operating requirements.</w:t>
      </w:r>
    </w:p>
    <w:p w14:paraId="5FF29E7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Ash shall be removed on a regular basis so as to not cause a hazard or nuisance.</w:t>
      </w:r>
    </w:p>
    <w:p w14:paraId="79B6F13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Water shall be applied to the ash before removal.</w:t>
      </w:r>
    </w:p>
    <w:p w14:paraId="7A50694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Smoldering of woodwaste shall be prevented during nonoperating hours.</w:t>
      </w:r>
    </w:p>
    <w:p w14:paraId="79E2A4C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Only untreated </w:t>
      </w:r>
      <w:r w:rsidRPr="006E50FF">
        <w:rPr>
          <w:i/>
          <w:iCs/>
          <w:kern w:val="2"/>
        </w:rPr>
        <w:t>woodwaste</w:t>
      </w:r>
      <w:r w:rsidRPr="006E50FF">
        <w:rPr>
          <w:kern w:val="2"/>
        </w:rPr>
        <w:t xml:space="preserve">, as defined in LAC 33:VII.115, may be accepted. No burning of treated woodwaste or other solid waste is permitted. </w:t>
      </w:r>
    </w:p>
    <w:p w14:paraId="06D828C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All emissions and burning operations are subject to the Louisiana air quality regulations. These regulations and any other permit requirements shall be followed.</w:t>
      </w:r>
    </w:p>
    <w:p w14:paraId="2DA0527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Only clean fuels (</w:t>
      </w:r>
      <w:r w:rsidRPr="006E50FF">
        <w:rPr>
          <w:iCs/>
          <w:kern w:val="2"/>
        </w:rPr>
        <w:t>i.e.</w:t>
      </w:r>
      <w:r w:rsidRPr="006E50FF">
        <w:rPr>
          <w:kern w:val="2"/>
        </w:rPr>
        <w:t>, diesel fuel, No. 2 fuel oil, kerosene, etc.) shall be used to ignite waste.</w:t>
      </w:r>
    </w:p>
    <w:p w14:paraId="7A87D38D"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Burning shall be conducted between the hours of 8 a.m. and 5 p.m.</w:t>
      </w:r>
    </w:p>
    <w:p w14:paraId="47CBB6E4"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Incoming woodwaste shall be inspected at the gate before unloading. If any waste other than woodwaste is detected, the entire load shall be rejected. All rejected loads shall be recorded in the daily log.</w:t>
      </w:r>
    </w:p>
    <w:p w14:paraId="6D342D9B"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Storage of woodwaste and yard trash shall be in a designated area.</w:t>
      </w:r>
    </w:p>
    <w:p w14:paraId="05C678EA"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The volume of woodwaste and yard trash stored on-site shall not exceed 10 days of the processing capacity of the air curtain destructor, unless otherwise approved by the administrative authority.</w:t>
      </w:r>
    </w:p>
    <w:p w14:paraId="2A19682D"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No waste or combustible material shall be stored within 50 feet of the air curtain destructor.</w:t>
      </w:r>
    </w:p>
    <w:p w14:paraId="2BBE3E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owner or operator shall maintain the air curtain destructor to design standards and shall not operate it if it is malfunctioning.</w:t>
      </w:r>
    </w:p>
    <w:p w14:paraId="3C723D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the air curtain destructor is a trench burner, the approximate dimensions of the trench (i.e., burn pit) shall be specified on the regulatory permit application form.</w:t>
      </w:r>
    </w:p>
    <w:p w14:paraId="05A1C9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At least every three months, ash shall either be removed and taken to an authorized and/or permitted facility, or used in an application approved by Louisiana Department of Agriculture and Forestry and LDEQ. These requirements also apply if the air curtain destructor becomes inoperable. Additional storage time may be granted by the administrative authority on a case-by-case basis upon request.</w:t>
      </w:r>
    </w:p>
    <w:p w14:paraId="2AC1F1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Burning shall not take place during rain events.</w:t>
      </w:r>
    </w:p>
    <w:p w14:paraId="6D5A69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owner or operator shall use care to minimize the amount of dirt on the material being burned.</w:t>
      </w:r>
    </w:p>
    <w:p w14:paraId="4082E8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Material shall not be added to the air curtain destructor so as to be stacked above the air curtain.</w:t>
      </w:r>
    </w:p>
    <w:p w14:paraId="791C67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An operator shall remain with the air curtain destructor at all times when it is operating. Personnel shall remain on-site until burning activities, including smoldering, are completed for the day.</w:t>
      </w:r>
    </w:p>
    <w:p w14:paraId="51C176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Closure Requirements</w:t>
      </w:r>
    </w:p>
    <w:p w14:paraId="05F521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an air curtain destructor facility by submitting a regulatory permit application form in accordance with LAC 33:VII.535.A.</w:t>
      </w:r>
    </w:p>
    <w:p w14:paraId="280A7A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or prior to moving an air curtain destructor, remaining woodwaste shall be processed or removed to a permitted facility for disposal. If woodwaste is removed from the facility, documentation that the woodwaste was properly disposed of shall be provided with a regulatory permit application form in accordance with LAC 33:VII.535.A.</w:t>
      </w:r>
    </w:p>
    <w:p w14:paraId="35180A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At closure or prior to moving an air curtain destructor, all remaining ash shall be removed or used in accordance with Paragraph D.5 of this Section.</w:t>
      </w:r>
    </w:p>
    <w:p w14:paraId="7649AD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Within 30 days of completion of closure activities, the permit holder shall submit a written notice to the Office of Environmental Services that the closure requirements of Paragraphs 1 through 3 of this Subsection have been met and request a closure inspection in accordance with LAC 33:VII.407.E. The administrative authority reserves the right to determine if a facility has been closed properly.</w:t>
      </w:r>
    </w:p>
    <w:p w14:paraId="039B21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Aptos"/>
          <w:kern w:val="2"/>
          <w:sz w:val="18"/>
        </w:rPr>
        <w:t>AUTHORITY NOTE:</w:t>
      </w:r>
      <w:r w:rsidRPr="006E50FF">
        <w:rPr>
          <w:rFonts w:eastAsia="Aptos"/>
          <w:kern w:val="2"/>
          <w:sz w:val="18"/>
        </w:rPr>
        <w:tab/>
        <w:t xml:space="preserve">Promulgated in accordance with R.S. 30:2001 et seq., and in particular R.S. 30:2 </w:t>
      </w:r>
      <w:r w:rsidRPr="006E50FF">
        <w:rPr>
          <w:kern w:val="2"/>
          <w:sz w:val="18"/>
        </w:rPr>
        <w:t>154(B)(9).</w:t>
      </w:r>
    </w:p>
    <w:p w14:paraId="715C21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76701D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§539.</w:t>
      </w:r>
      <w:r w:rsidRPr="006E50FF">
        <w:rPr>
          <w:b/>
          <w:kern w:val="2"/>
        </w:rPr>
        <w:tab/>
        <w:t>Regulatory Permit Standards Governing Grease Processing Facilities</w:t>
      </w:r>
    </w:p>
    <w:p w14:paraId="462B4C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Buffer Zones</w:t>
      </w:r>
    </w:p>
    <w:p w14:paraId="062551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comply with a buffer zone requirement of not less than 200 feet between the facility and the property line. Buffer zones of not less than 300 feet shall be provided between the facility and the property line when the property line is adjacent to a structure currently being used as a church and having been used as a church prior to the submittal of a permit application. A reduction in this requirement shall be allowed only with permission, in the form of a notarized affidavit, from all landowners having an ownership interest in property located less than 200 feet from the facility, or 300 feet for a church. The facility’s owner or operator shall enter a copy of the notarized affidavit(s) in the mortgage and conveyance records of the parish or parishes in which the landowners’ properties are located.</w:t>
      </w:r>
    </w:p>
    <w:p w14:paraId="60B3D0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storage, processing, or disposal of solid waste shall occur within the buffer zone.</w:t>
      </w:r>
    </w:p>
    <w:p w14:paraId="6D5B18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facility shall not be located within 10,000 feet of the end of any public-use airport runway used by turbojet aircraft, or within 5,000 feet of the end of any public-use airport runway used only by piston-type aircraft.</w:t>
      </w:r>
    </w:p>
    <w:p w14:paraId="5AC427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Methods for Receiving and Monitoring Incoming Waste</w:t>
      </w:r>
    </w:p>
    <w:p w14:paraId="322830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facility shall have a method to determine the quantity by volume of grease from in-state or out-of-state generators. The facility shall also have a method to control </w:t>
      </w:r>
      <w:r w:rsidRPr="006E50FF">
        <w:rPr>
          <w:kern w:val="2"/>
        </w:rPr>
        <w:br w:type="page"/>
      </w:r>
      <w:r w:rsidRPr="006E50FF">
        <w:rPr>
          <w:kern w:val="2"/>
        </w:rPr>
        <w:lastRenderedPageBreak/>
        <w:t>entry of the waste and prevent entry of unrecorded or unauthorized deliverables (i.e., hazardous, unauthorized, or unpermitted solid waste). Records of the quantities of incoming waste and of unauthorized deliverables shall be kept on-site in accordance with Paragraph C.1 of this Section.</w:t>
      </w:r>
    </w:p>
    <w:p w14:paraId="4AE5CE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or be found on the site, shall be segregated and stored in closed containers. All unacceptable waste shall be removed from the site at least every 10 days. A record of the shipment to properly permitted facilities shall be kept on-site in accordance with Paragraph C.1 of this Section. Additional storage time may be granted by the administrative authority on a case-by-case basis upon request.</w:t>
      </w:r>
    </w:p>
    <w:p w14:paraId="6D1E49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Administrative Procedures</w:t>
      </w:r>
    </w:p>
    <w:p w14:paraId="3DE71A6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65EC9E7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on-site shall include, but not be limited to:</w:t>
      </w:r>
    </w:p>
    <w:p w14:paraId="4188D64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399277A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4306260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5DEDAFE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daily log that shall include:</w:t>
      </w:r>
    </w:p>
    <w:p w14:paraId="02816D09"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volume of waste received at the facility;</w:t>
      </w:r>
    </w:p>
    <w:p w14:paraId="3A40B66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volume of waste sent off site for disposal and/or recovery; and</w:t>
      </w:r>
    </w:p>
    <w:p w14:paraId="5FA18559"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 up of the facility, including equipment and waste handling areas; and</w:t>
      </w:r>
    </w:p>
    <w:p w14:paraId="52859D9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6AFAB5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grease facilities operating under a regulatory permit shall have the personnel necessary to achieve the operational requirements of the facility.</w:t>
      </w:r>
    </w:p>
    <w:p w14:paraId="2F1738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Operational Plan</w:t>
      </w:r>
    </w:p>
    <w:p w14:paraId="28F1DE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waste shall be stored and/or processed in a container or tank that meets the standards of LAC 33:VII.503.</w:t>
      </w:r>
    </w:p>
    <w:p w14:paraId="61EA50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facility shall provide an operational plan that describes in specific detail how the grease waste will be managed during all phases of the processing operation. At a minimum, the plan shall address the:</w:t>
      </w:r>
    </w:p>
    <w:p w14:paraId="751DE84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route the waste will follow after receipt;</w:t>
      </w:r>
    </w:p>
    <w:p w14:paraId="1764E01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sequence in which the waste will be processed within the unit;</w:t>
      </w:r>
    </w:p>
    <w:p w14:paraId="13F55BE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method of discharge, treatment, and/or off-site disposal of wastewater generated during processing of grease waste;</w:t>
      </w:r>
    </w:p>
    <w:p w14:paraId="46D2567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method and operational changes that will be used during wet weather (including maintenance of roads and water management); and</w:t>
      </w:r>
    </w:p>
    <w:p w14:paraId="0E4C3F58"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recordkeeping procedures to be employed to ensure all pertinent activities are properly documented.</w:t>
      </w:r>
    </w:p>
    <w:p w14:paraId="1E26CF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Operational Standard</w:t>
      </w:r>
    </w:p>
    <w:p w14:paraId="51E825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operator shall review and maintain the documentation that all waste received meets the definition of </w:t>
      </w:r>
      <w:r w:rsidRPr="006E50FF">
        <w:rPr>
          <w:i/>
          <w:iCs/>
          <w:kern w:val="2"/>
        </w:rPr>
        <w:t>grease</w:t>
      </w:r>
      <w:r w:rsidRPr="006E50FF">
        <w:rPr>
          <w:kern w:val="2"/>
        </w:rPr>
        <w:t xml:space="preserve"> as defined in this Subchapter, and has not been commingled with other waste streams, including but not limited to, domestic sewage and hazardous waste.</w:t>
      </w:r>
    </w:p>
    <w:p w14:paraId="5204EB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containers and tanks shall provide containment of the waste and meet the requirements of LAC 33:VII.503.</w:t>
      </w:r>
    </w:p>
    <w:p w14:paraId="21CED3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shall be made for at least daily cleanup of the facility, including equipment and waste handling areas. The facility shall control litter, odor, and other pollution of adjoining areas.</w:t>
      </w:r>
    </w:p>
    <w:p w14:paraId="16969D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No solid waste shall be stored long enough to cause a nuisance, health hazard, or detriment to the environment.</w:t>
      </w:r>
    </w:p>
    <w:p w14:paraId="2B35F8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Treatment facilities for wash-down and other contaminated water shall be provided.</w:t>
      </w:r>
    </w:p>
    <w:p w14:paraId="508EDB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Each loading and unloading area shall be constructed and operated to prevent litter from leaving the tipping area. This area shall be constructed of sufficiently low permeable material (</w:t>
      </w:r>
      <w:r w:rsidRPr="006E50FF">
        <w:rPr>
          <w:iCs/>
          <w:kern w:val="2"/>
        </w:rPr>
        <w:t>i.e.,</w:t>
      </w:r>
      <w:r w:rsidRPr="006E50FF">
        <w:rPr>
          <w:kern w:val="2"/>
        </w:rPr>
        <w:t xml:space="preserve"> concrete or asphalt) to prevent soil and groundwater contamination.</w:t>
      </w:r>
    </w:p>
    <w:p w14:paraId="1385AA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Sufficient equipment shall be provided and maintained at all facilities to meet the facilities' operational needs.</w:t>
      </w:r>
    </w:p>
    <w:p w14:paraId="09F4C8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Facility Closure Requirements</w:t>
      </w:r>
    </w:p>
    <w:p w14:paraId="0EBB5D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 grease processing facility by submitting a regulatory permit application form in accordance with LAC 33:VII.535.A.</w:t>
      </w:r>
    </w:p>
    <w:p w14:paraId="451093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all remaining grease shall be processed and/or removed to an authorized facility. Documentation that the grease was properly removed to an authorized facility shall be provided with a regulatory permit application form in accordance with LAC 33:VII.535.A.</w:t>
      </w:r>
    </w:p>
    <w:p w14:paraId="27F041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Within 30 days of completion of closure activities, the permit holder shall submit a written notice to the Office of Environmental Services that the closure requirements of Paragraphs 1 and 2 of this Subsection have been met and request a closure inspection in accordance with LAC 33:VII.407.E.</w:t>
      </w:r>
    </w:p>
    <w:p w14:paraId="471ED1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045C08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59B8D40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§541.</w:t>
      </w:r>
      <w:r w:rsidRPr="006E50FF">
        <w:rPr>
          <w:b/>
          <w:kern w:val="2"/>
        </w:rPr>
        <w:tab/>
        <w:t>Regulatory Permit Standards Governing Separation Facilities</w:t>
      </w:r>
    </w:p>
    <w:p w14:paraId="22AC37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Buffer Zones</w:t>
      </w:r>
    </w:p>
    <w:p w14:paraId="43CF04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maintain a buffer zone of at least 200 feet between the facility and the property line. The buffer zone shall be at least 300 feet where the property line is adjacent to a structure currently being used as a church and used as a church before the permit application was submitted. The owner or operator may reduce the required buffer only with a notarized affidavit from each landowner having an ownership interest in property located less than 200 feet from the facility (or less than 300 feet for a church). The owner or operator shall record a copy of each notarized affidavit in the mortgage and conveyance records of the parish in which the landowner’s property is located.</w:t>
      </w:r>
    </w:p>
    <w:p w14:paraId="77F84C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solid waste shall be stored, processed, or disposed of within the buffer zone.</w:t>
      </w:r>
    </w:p>
    <w:p w14:paraId="0B8E04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Methods for Receiving and Monitoring Incoming Waste</w:t>
      </w:r>
    </w:p>
    <w:p w14:paraId="624413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have a method to determine the quantity, by volume of nonputrescible waste from in-state or out-of-state generators. The facility shall also have a method to control entry of the waste and prevent entry of unrecorded or unauthorized deliverables (i.e., hazardous, unauthorized, or unpermitted solid waste). Records of the quantities of incoming waste and of unauthorized deliverables shall be kept on-site in accordance with Paragraph C.1 of this Section.</w:t>
      </w:r>
    </w:p>
    <w:p w14:paraId="68BD97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or be found on the site, shall be segregated and stored in closed containers. All unacceptable waste shall be removed from the site at least every ten days. A record of the shipment to properly permitted facilities shall be kept on-site in accordance with Paragraph C.1 of this Section. Additional storage time may be granted by the administrative authority on a case-by-case basis upon request.</w:t>
      </w:r>
    </w:p>
    <w:p w14:paraId="4C788D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Administrative Procedures</w:t>
      </w:r>
    </w:p>
    <w:p w14:paraId="47E0C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1489E4C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0919741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308858A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79BCAEA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5685A6F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daily log that shall include:</w:t>
      </w:r>
    </w:p>
    <w:p w14:paraId="606351A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volume of waste received at the facility;</w:t>
      </w:r>
    </w:p>
    <w:p w14:paraId="5D3F900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volume of waste sent off site for disposal and/or recovery; and</w:t>
      </w:r>
    </w:p>
    <w:p w14:paraId="6A84ACF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cleanup of the facility, including equipment and waste handling areas; and</w:t>
      </w:r>
    </w:p>
    <w:p w14:paraId="7EEC4C7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4A3DFE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separation facilities operating under a regulatory permit shall have the personnel necessary to achieve the operational requirements of the facility.</w:t>
      </w:r>
    </w:p>
    <w:p w14:paraId="475347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Operational Plan</w:t>
      </w:r>
    </w:p>
    <w:p w14:paraId="60F317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waste and recovered material shall be stored in accordance with LAC 33:VII.503.</w:t>
      </w:r>
    </w:p>
    <w:p w14:paraId="68E65D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facility shall provide an operational plan that describes in specific detail how the nonputrescible waste will be managed during all phases of the processing operations. At a minimum, the plan shall address the:</w:t>
      </w:r>
    </w:p>
    <w:p w14:paraId="6892ACB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route the waste will follow after receipt;</w:t>
      </w:r>
    </w:p>
    <w:p w14:paraId="5DF9E3D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sequence in which the waste will be segregated on-site;</w:t>
      </w:r>
    </w:p>
    <w:p w14:paraId="56A6A1B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method of separation;</w:t>
      </w:r>
    </w:p>
    <w:p w14:paraId="5197F2C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management of waste generated during separation;</w:t>
      </w:r>
    </w:p>
    <w:p w14:paraId="4D49A6B1"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method and operational changes that will be used during wet weather, including maintenance of roads and water management; and</w:t>
      </w:r>
    </w:p>
    <w:p w14:paraId="1D8CAB72"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recordkeeping procedures to be employed to ensure all pertinent activities are properly documented.</w:t>
      </w:r>
    </w:p>
    <w:p w14:paraId="3899F1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Operational Standard</w:t>
      </w:r>
    </w:p>
    <w:p w14:paraId="04CEF7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operator shall review and maintain the documentation that all waste received is nonputrescible residential and commercial waste, and/or construction and demolition debris.</w:t>
      </w:r>
    </w:p>
    <w:p w14:paraId="12E97B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containers shall provide containment of the wastes and meet the requirements of LAC 33:VII.503.</w:t>
      </w:r>
    </w:p>
    <w:p w14:paraId="2220AC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shall be made for at least daily cleanup of the facility, including equipment and waste handling areas. The facility shall control litter, odor, and other pollution of adjoining areas.</w:t>
      </w:r>
    </w:p>
    <w:p w14:paraId="5A9233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Provisions shall be made for wash-down and other contaminated water.</w:t>
      </w:r>
    </w:p>
    <w:p w14:paraId="35D644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Each loading and unloading area shall be constructed and operated to prevent litter from leaving the tipping area. This area shall be constructed of sufficiently low permeable material (</w:t>
      </w:r>
      <w:r w:rsidRPr="006E50FF">
        <w:rPr>
          <w:iCs/>
          <w:kern w:val="2"/>
        </w:rPr>
        <w:t>i.e.,</w:t>
      </w:r>
      <w:r w:rsidRPr="006E50FF">
        <w:rPr>
          <w:kern w:val="2"/>
        </w:rPr>
        <w:t xml:space="preserve"> concrete or asphalt) to prevent soil and groundwater contamination.</w:t>
      </w:r>
    </w:p>
    <w:p w14:paraId="780341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Sufficient equipment shall be provided and maintained at all facilities to meet the facilities' operational needs.</w:t>
      </w:r>
    </w:p>
    <w:p w14:paraId="2FE658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Facility Closure Requirements</w:t>
      </w:r>
    </w:p>
    <w:p w14:paraId="32D7FB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 separation facility by submitting a regulatory permit application form in accordance with LAC 33:VII.535.A.</w:t>
      </w:r>
    </w:p>
    <w:p w14:paraId="22CD3F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all remaining solid waste and reclaimed materials shall be processed and/or removed to an authorized facility. Documentation that the waste was properly removed to an authorized facility shall be provided with a regulatory permit application form in accordance with LAC 33:VII.535.A.</w:t>
      </w:r>
    </w:p>
    <w:p w14:paraId="370065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Within 30 days of completion of closure activities, the permit holder shall submit a written notice to the Office of Environmental Services that the closure requirements of Paragraphs 1and 2 of this Subsection have been met and request a closure inspection in accordance with LAC 33:VII.407.E.</w:t>
      </w:r>
    </w:p>
    <w:p w14:paraId="25306A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4D7E09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7734A5D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§543.</w:t>
      </w:r>
      <w:r w:rsidRPr="006E50FF">
        <w:rPr>
          <w:b/>
          <w:kern w:val="2"/>
        </w:rPr>
        <w:tab/>
        <w:t>Regulatory Permit Standards Governing Injection Well Processing/Storage Facilities</w:t>
      </w:r>
    </w:p>
    <w:p w14:paraId="39CC57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Injection Well Order</w:t>
      </w:r>
    </w:p>
    <w:p w14:paraId="6F53C3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comply with all provisions of their class I injection well order requirements issued by the Louisiana Department of Conservation and Energy.</w:t>
      </w:r>
    </w:p>
    <w:p w14:paraId="7B7571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Buffer Zones</w:t>
      </w:r>
    </w:p>
    <w:p w14:paraId="63873E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facility shall comply with a buffer zone requirement of not less than 200 feet between the facility and the property line. A buffer zone of not less than 300 feet shall be provided between the facility and the property line when the property line is adjacent to a structure currently being used as a church and having been used as a church prior to the </w:t>
      </w:r>
      <w:r w:rsidRPr="006E50FF">
        <w:rPr>
          <w:kern w:val="2"/>
        </w:rPr>
        <w:br w:type="page"/>
      </w:r>
      <w:r w:rsidRPr="006E50FF">
        <w:rPr>
          <w:kern w:val="2"/>
        </w:rPr>
        <w:lastRenderedPageBreak/>
        <w:t>submittal of a permit application. A reduction in this requirement shall be allowed only with permission, in the form of a notarized affidavit, from all landowners having an ownership interest in property located less than 200 feet from the facility, or 300 feet for a church. The facility’s owner or operator shall enter a copy of the notarized affidavit(s) in the mortgage and conveyance records of the parish or parishes in which the landowners’ properties are located.2.</w:t>
      </w:r>
      <w:r w:rsidRPr="006E50FF">
        <w:rPr>
          <w:kern w:val="2"/>
        </w:rPr>
        <w:tab/>
        <w:t>No storage or processing of solid waste shall occur within the buffer zone.</w:t>
      </w:r>
    </w:p>
    <w:p w14:paraId="56813D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Methods for Receiving and Monitoring Incoming Waste</w:t>
      </w:r>
    </w:p>
    <w:p w14:paraId="372046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have a method to determine the quantity, by volume of waste from in-state or out-of-state generators. The facility shall also have a method to control entry of the waste and prevent entry of unrecorded or unauthorized deliverables (i.e., hazardous, unauthorized, or unpermitted solid waste). Records of the quantities and generators of incoming waste, and of unauthorized deliverables shall be kept on-site in accordance with Paragraph D.1 of this Section.</w:t>
      </w:r>
    </w:p>
    <w:p w14:paraId="6C40DD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shall be rejected and documented in the daily log.</w:t>
      </w:r>
    </w:p>
    <w:p w14:paraId="0F7C99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Administrative Procedures</w:t>
      </w:r>
    </w:p>
    <w:p w14:paraId="3A229F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5D3BD8A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5BF3B4A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2F66E5D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198BCA7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22E2DF8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daily log that shall include:</w:t>
      </w:r>
    </w:p>
    <w:p w14:paraId="74A6A6B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name of the generator and volume of waste received at the facility;</w:t>
      </w:r>
    </w:p>
    <w:p w14:paraId="3855D44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the volume of waste sent off site for disposal and/or recovery; and </w:t>
      </w:r>
    </w:p>
    <w:p w14:paraId="4FBD8AE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cleanup of the facility, including equipment and waste handling areas; and</w:t>
      </w:r>
    </w:p>
    <w:p w14:paraId="3587657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264D39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injection well processing/storage facilities operating under a regulatory permit shall have the personnel necessary to achieve the operational requirements of the facility.</w:t>
      </w:r>
    </w:p>
    <w:p w14:paraId="7BA42C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Injection Well</w:t>
      </w:r>
    </w:p>
    <w:p w14:paraId="645BA3B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operate the injection well in accordance with the Louisiana Department of Conservation and Energy order and shall:</w:t>
      </w:r>
    </w:p>
    <w:p w14:paraId="2AA4587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submit a copy of reports required as scheduled by the injection well order to the Office of Environmental Services; and</w:t>
      </w:r>
    </w:p>
    <w:p w14:paraId="7DE2441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notify the Office of Environmental Compliance within seven days of any compliance action being taken by the Louisiana Department of Conservation and Energy pertaining to the operation of the injection well.</w:t>
      </w:r>
    </w:p>
    <w:p w14:paraId="6C5AFA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Operational Plan</w:t>
      </w:r>
    </w:p>
    <w:p w14:paraId="79379A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waste received and stored shall be stored in accordance with LAC 33:VII.503.</w:t>
      </w:r>
    </w:p>
    <w:p w14:paraId="652F93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facility shall provide an operational plan that describes in specific detail how the waste will be managed during all phases of the processing operations. At a minimum, the plan shall address the:</w:t>
      </w:r>
    </w:p>
    <w:p w14:paraId="6D28E5C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route the waste will follow after receipt;</w:t>
      </w:r>
    </w:p>
    <w:p w14:paraId="5504333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processing of received material prior to injection, if necessary;</w:t>
      </w:r>
    </w:p>
    <w:p w14:paraId="1D2DFE6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management of waste generated during on-site storage and processing;</w:t>
      </w:r>
    </w:p>
    <w:p w14:paraId="08868AF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method and operational changes that will be used during wet weather, including maintenance of roads and water management; and</w:t>
      </w:r>
    </w:p>
    <w:p w14:paraId="2C8D163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recordkeeping procedures to be employed to ensure all pertinent activities are properly documented.</w:t>
      </w:r>
    </w:p>
    <w:p w14:paraId="3B9B28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Facility Operational Standard</w:t>
      </w:r>
    </w:p>
    <w:p w14:paraId="4A6AF0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operator shall review and maintain the documentation that all waste received is residential, commercial, and/or industrial solid waste or exploration and production waste managed under Louisiana Department of Conservation and Energy.</w:t>
      </w:r>
    </w:p>
    <w:p w14:paraId="03ABB2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containers and tanks shall provide containment of the waste and meet the requirements of LAC 33:VII.503. Solid waste and exploration and production waste shall be stored in separate tank units.</w:t>
      </w:r>
    </w:p>
    <w:p w14:paraId="6CD9EF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shall be made for at least daily cleanup of the facility, including equipment and waste handling areas. The facility shall control litter, odor, and other pollution of adjoining areas.</w:t>
      </w:r>
    </w:p>
    <w:p w14:paraId="7FD2EC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Provisions shall be made for wash-down and other contaminated water.</w:t>
      </w:r>
    </w:p>
    <w:p w14:paraId="59C83C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Each loading and unloading area shall be constructed and operated to contain waste from leaving. This area shall be constructed of sufficiently low permeable material (i.e., concrete or asphalt) to prevent soil and groundwater contamination.</w:t>
      </w:r>
    </w:p>
    <w:p w14:paraId="71C6BF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Sufficient equipment shall be provided and maintained at all facilities to meet the facilities' operational needs.</w:t>
      </w:r>
    </w:p>
    <w:p w14:paraId="70BD48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Facility Closure Requirements</w:t>
      </w:r>
    </w:p>
    <w:p w14:paraId="2899F8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an injection well receiving facility by submitting a regulatory permit application form in accordance with LAC 33:VII.535.A.</w:t>
      </w:r>
    </w:p>
    <w:p w14:paraId="35E216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all remaining solid waste shall be processed and/or removed to an authorized facility. Documentation that the solid waste was properly removed to an authorized facility shall be provided with a regulatory permit application form in accordance with LAC 33:VII.535.A.</w:t>
      </w:r>
    </w:p>
    <w:p w14:paraId="3D8A5E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Within 30 days of completion of closure activities, the permit holder shall submit a written notice to the Office of Environmental Services that the closure requirements of Paragraphs 1 and 2 of this Subsection have been met and request a closure inspection in accordance with LAC 33:VII.407.E.</w:t>
      </w:r>
    </w:p>
    <w:p w14:paraId="005829B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5144594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462284F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 xml:space="preserve">Solid Waste Fees </w:t>
      </w:r>
    </w:p>
    <w:p w14:paraId="3553BD1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§1501.</w:t>
      </w:r>
      <w:r w:rsidRPr="006E50FF">
        <w:rPr>
          <w:b/>
          <w:kern w:val="2"/>
        </w:rPr>
        <w:tab/>
        <w:t>Permit Application Review Fee</w:t>
      </w:r>
    </w:p>
    <w:p w14:paraId="688AE3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3333F6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Applicants for type III standard permits, beneficial-use plans, or regulatory permits shall pay a permit application review fee of $1,325 for each facility. The fee shall accompany each permit application submitted.</w:t>
      </w:r>
    </w:p>
    <w:p w14:paraId="6B7EDC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Standard permit holders providing permit modifications for type I, I-A, II, and II-A facilities shall pay a $2,650 permit-modification review fee. The fee shall accompany each modification submitted. Permit holders providing mandatory modifications in response to these regulations shall pay a $825 permit-modification fee. The fee shall accompany each mandatory modification submitted. Permit modifications required by LAC 33:VII.805.A will not be subject to a permit modification fee.</w:t>
      </w:r>
    </w:p>
    <w:p w14:paraId="7CCE79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Permit holders providing permit modifications for type III facilities, beneficial-use facilities, or regulatory permits shall pay a $813 modification review fee. The fee shall accompany each modification submitted.</w:t>
      </w:r>
    </w:p>
    <w:p w14:paraId="180AD7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E.2.</w:t>
      </w:r>
      <w:r w:rsidRPr="006E50FF">
        <w:rPr>
          <w:kern w:val="2"/>
        </w:rPr>
        <w:tab/>
        <w:t>…</w:t>
      </w:r>
    </w:p>
    <w:p w14:paraId="7307F5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w:t>
      </w:r>
    </w:p>
    <w:p w14:paraId="1354B8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19:187 (February 1993), amended by the Office of Environmental Assessment, Environmental Planning Division, LR 29:688 (May 2003), LR 29:2051 (October 2003), repromulgated by the Office of the Secretary, Legal Affairs Division, LR 33:1108 (June 2007), amended LR 37:3258 (November 2011), amended by the Office of the Secretary, Legal Division, LR 43:946 (May 2017), amended by the Office of the Secretary, Legal Affairs and Criminal Investigations Division, LR 48: LR 48:1500 (June 2022), amended by the Office of the Secretary, Legal Affairs Division, LR 52:</w:t>
      </w:r>
    </w:p>
    <w:p w14:paraId="3424BC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§1505.</w:t>
      </w:r>
      <w:r w:rsidRPr="006E50FF">
        <w:rPr>
          <w:b/>
          <w:kern w:val="2"/>
        </w:rPr>
        <w:tab/>
        <w:t>Annual Fee</w:t>
      </w:r>
    </w:p>
    <w:p w14:paraId="006F09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B.1.b.</w:t>
      </w:r>
      <w:r w:rsidRPr="006E50FF">
        <w:rPr>
          <w:kern w:val="2"/>
        </w:rPr>
        <w:tab/>
        <w:t>…</w:t>
      </w:r>
    </w:p>
    <w:p w14:paraId="3EDA1C0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$825 for type I-A, II-A, III, beneficial-use facilities and regulatory permits.</w:t>
      </w:r>
    </w:p>
    <w:p w14:paraId="50713F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- 2.e.</w:t>
      </w:r>
      <w:r w:rsidRPr="006E50FF">
        <w:rPr>
          <w:kern w:val="2"/>
        </w:rPr>
        <w:tab/>
        <w:t>…</w:t>
      </w:r>
    </w:p>
    <w:p w14:paraId="239C62CB"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for Type I-A, II-A, III (except construction or demolition debris disposal facilities), beneficial use facilities and regulatory permits, no tonnage fee.</w:t>
      </w:r>
    </w:p>
    <w:p w14:paraId="4186BF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B.2.g. - F.</w:t>
      </w:r>
      <w:r w:rsidRPr="006E50FF">
        <w:rPr>
          <w:kern w:val="2"/>
        </w:rPr>
        <w:tab/>
        <w:t>…</w:t>
      </w:r>
    </w:p>
    <w:p w14:paraId="697985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 and R.S. 49:316.1(A)(2)(a) and (c).</w:t>
      </w:r>
    </w:p>
    <w:p w14:paraId="761676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Solid Waste Division, LR 19:187 (February 1993), amended by the Office of Management and Finance, Fiscal Services Division, LR 22:18 </w:t>
      </w:r>
      <w:r w:rsidRPr="006E50FF">
        <w:rPr>
          <w:kern w:val="2"/>
          <w:sz w:val="18"/>
        </w:rPr>
        <w:br w:type="column"/>
      </w:r>
      <w:r w:rsidRPr="006E50FF">
        <w:rPr>
          <w:kern w:val="2"/>
          <w:sz w:val="18"/>
        </w:rPr>
        <w:t>(January 1996), LR 25:427 (March 1999), amended by the Office of Environmental Assessment, Environmental Planning Division, LR 29:689 (May 2003), LR 29:2051 (October 2003), amended by the Office of the Secretary, Legal Affairs Division, LR 32:2241 (December 2006), repromulgated LR 33:1108 (June 2007), amended LR 35:2180 (October 2009), amended by the Office of the Secretary, Legal Division, LR 43:947 (May 2017), amended by the Office of the Secretary, Legal Affairs and Criminal Investigations Division, LR 48: LR 48:1500 (June 2022), amended by the Office of the Secretary, Legal Affairs Division, LR 52:</w:t>
      </w:r>
    </w:p>
    <w:p w14:paraId="56B9F38E" w14:textId="77777777" w:rsidR="006E50FF" w:rsidRPr="006E50FF" w:rsidRDefault="006E50FF" w:rsidP="006E50FF">
      <w:pPr>
        <w:keepNext/>
        <w:jc w:val="center"/>
        <w:rPr>
          <w:b/>
          <w:kern w:val="28"/>
        </w:rPr>
      </w:pPr>
      <w:r w:rsidRPr="006E50FF">
        <w:rPr>
          <w:b/>
          <w:kern w:val="28"/>
        </w:rPr>
        <w:t>Family Impact Statement</w:t>
      </w:r>
    </w:p>
    <w:p w14:paraId="36C17D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family formation, stability, and autonomy as described in R.S. 49:972.</w:t>
      </w:r>
    </w:p>
    <w:p w14:paraId="38004A8B" w14:textId="77777777" w:rsidR="006E50FF" w:rsidRPr="006E50FF" w:rsidRDefault="006E50FF" w:rsidP="006E50FF">
      <w:pPr>
        <w:keepNext/>
        <w:jc w:val="center"/>
        <w:rPr>
          <w:b/>
          <w:kern w:val="28"/>
        </w:rPr>
      </w:pPr>
      <w:r w:rsidRPr="006E50FF">
        <w:rPr>
          <w:b/>
          <w:kern w:val="28"/>
        </w:rPr>
        <w:t>Poverty Impact Statement</w:t>
      </w:r>
    </w:p>
    <w:p w14:paraId="7E387C67"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 xml:space="preserve">The proposed Rule has no known impact on </w:t>
      </w:r>
      <w:r w:rsidRPr="006E50FF">
        <w:rPr>
          <w:color w:val="000000"/>
          <w:kern w:val="2"/>
        </w:rPr>
        <w:t>poverty as described in R.S. 49:973.</w:t>
      </w:r>
    </w:p>
    <w:p w14:paraId="58096750" w14:textId="77777777" w:rsidR="006E50FF" w:rsidRPr="006E50FF" w:rsidRDefault="006E50FF" w:rsidP="006E50FF">
      <w:pPr>
        <w:keepNext/>
        <w:jc w:val="center"/>
        <w:rPr>
          <w:b/>
          <w:kern w:val="28"/>
        </w:rPr>
      </w:pPr>
      <w:r w:rsidRPr="006E50FF">
        <w:rPr>
          <w:b/>
          <w:kern w:val="28"/>
        </w:rPr>
        <w:t>Small Business Analysis</w:t>
      </w:r>
    </w:p>
    <w:p w14:paraId="7BCD57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adverse impact on small business as described in R.S. 49:974.1 - 974.8.</w:t>
      </w:r>
    </w:p>
    <w:p w14:paraId="0FA1E759" w14:textId="77777777" w:rsidR="006E50FF" w:rsidRPr="006E50FF" w:rsidRDefault="006E50FF" w:rsidP="006E50FF">
      <w:pPr>
        <w:keepNext/>
        <w:jc w:val="center"/>
        <w:rPr>
          <w:b/>
          <w:kern w:val="28"/>
        </w:rPr>
      </w:pPr>
      <w:r w:rsidRPr="006E50FF">
        <w:rPr>
          <w:b/>
          <w:kern w:val="28"/>
        </w:rPr>
        <w:t>Provider Impact Statement</w:t>
      </w:r>
    </w:p>
    <w:p w14:paraId="5134F6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providers as described in HCR 170 of 2014.</w:t>
      </w:r>
    </w:p>
    <w:p w14:paraId="77F0F73F" w14:textId="77777777" w:rsidR="006E50FF" w:rsidRPr="006E50FF" w:rsidRDefault="006E50FF" w:rsidP="006E50FF">
      <w:pPr>
        <w:keepNext/>
        <w:jc w:val="center"/>
        <w:rPr>
          <w:b/>
          <w:kern w:val="28"/>
        </w:rPr>
      </w:pPr>
      <w:r w:rsidRPr="006E50FF">
        <w:rPr>
          <w:b/>
          <w:kern w:val="28"/>
        </w:rPr>
        <w:t>Public Comments</w:t>
      </w:r>
    </w:p>
    <w:p w14:paraId="724A2B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SW079</w:t>
      </w:r>
      <w:r w:rsidRPr="006E50FF">
        <w:rPr>
          <w:kern w:val="2"/>
        </w:rPr>
        <w:t xml:space="preserve">. Such comments must be received no later than </w:t>
      </w:r>
      <w:r w:rsidRPr="006E50FF">
        <w:rPr>
          <w:noProof/>
          <w:kern w:val="2"/>
        </w:rPr>
        <w:t>November 4, 2026</w:t>
      </w:r>
      <w:r w:rsidRPr="006E50FF">
        <w:rPr>
          <w:kern w:val="2"/>
        </w:rPr>
        <w:t xml:space="preserve">, at 4:30 p.m., and should be sent to William Little, Attorney Supervisor, </w:t>
      </w:r>
      <w:r w:rsidRPr="006E50FF">
        <w:rPr>
          <w:kern w:val="2"/>
          <w:szCs w:val="24"/>
        </w:rPr>
        <w:t xml:space="preserve">Office of the Secretary, </w:t>
      </w:r>
      <w:r w:rsidRPr="006E50FF">
        <w:rPr>
          <w:kern w:val="2"/>
        </w:rPr>
        <w:t>Legal Affairs Division</w:t>
      </w:r>
      <w:r w:rsidRPr="006E50FF">
        <w:rPr>
          <w:kern w:val="2"/>
          <w:szCs w:val="24"/>
        </w:rPr>
        <w:t xml:space="preserve">, P.O. Box 4302, Baton Rouge, LA 70821-4302, by fax </w:t>
      </w:r>
      <w:r w:rsidRPr="006E50FF">
        <w:rPr>
          <w:kern w:val="2"/>
        </w:rPr>
        <w:t xml:space="preserve">(225) 219-4068, or by E-mail to DEQ.Reg.Dev.Comments@la.gov. Copies of the proposed Rule can be purchased by contacting the LDEQ Public Records Center at (225) 219-3168. Check or money order is required in advance for each copy of </w:t>
      </w:r>
      <w:r w:rsidRPr="006E50FF">
        <w:rPr>
          <w:noProof/>
          <w:kern w:val="2"/>
        </w:rPr>
        <w:t>SW079</w:t>
      </w:r>
      <w:r w:rsidRPr="006E50FF">
        <w:rPr>
          <w:kern w:val="2"/>
        </w:rPr>
        <w:t xml:space="preserve">. The proposed Rule is available on the Internet at https://www.deq.louisiana.gov/about-ldeq/monthly-regulation-changes-2026. </w:t>
      </w:r>
    </w:p>
    <w:p w14:paraId="226D8166" w14:textId="77777777" w:rsidR="006E50FF" w:rsidRPr="006E50FF" w:rsidRDefault="006E50FF" w:rsidP="006E50FF">
      <w:pPr>
        <w:keepNext/>
        <w:jc w:val="center"/>
        <w:rPr>
          <w:b/>
          <w:kern w:val="28"/>
        </w:rPr>
      </w:pPr>
      <w:r w:rsidRPr="006E50FF">
        <w:rPr>
          <w:b/>
          <w:kern w:val="28"/>
        </w:rPr>
        <w:t>Public Hearing</w:t>
      </w:r>
    </w:p>
    <w:p w14:paraId="5E09E2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xml:space="preserve">, at 1:30 p.m. in the Galvez Building, Oliver Pollock Conference Room, 602 N. Fifth Street, Baton Rouge, LA 70802. Interested persons are invited to attend in person or online via Microsoft Teams at </w:t>
      </w:r>
      <w:r w:rsidRPr="006E50FF">
        <w:rPr>
          <w:kern w:val="2"/>
          <w:szCs w:val="24"/>
        </w:rPr>
        <w:t>https://teams.microsoft.com/meet/225581962557365?p=WA1olUFploGq8u2YOV Meeting ID: 225 581 962 557 365 Passcode: A2NL2hJ9</w:t>
      </w:r>
      <w:r w:rsidRPr="006E50FF">
        <w:rPr>
          <w:kern w:val="2"/>
        </w:rPr>
        <w:t xml:space="preserve"> or by phone (872) 239-6160 using phone conference ID: 833 450 698#. Should individuals with a disability need an accommodation in order to participate, contact Doug Bordelon at the address given below or at (225) 219-1325.</w:t>
      </w:r>
    </w:p>
    <w:p w14:paraId="3C5537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 xml:space="preserve">111 New Center Drive, Lafayette, LA 70508; 110 Barataria Street, Lockport, LA 70374; </w:t>
      </w:r>
      <w:r w:rsidRPr="006E50FF">
        <w:rPr>
          <w:kern w:val="2"/>
          <w:szCs w:val="24"/>
        </w:rPr>
        <w:t>201 Evans Road, Bldg. 4, Suite 420, New Orleans, LA 70123</w:t>
      </w:r>
      <w:r w:rsidRPr="006E50FF">
        <w:rPr>
          <w:kern w:val="2"/>
        </w:rPr>
        <w:t>.</w:t>
      </w:r>
    </w:p>
    <w:p w14:paraId="2C49DE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8F834CF" w14:textId="77777777" w:rsidR="006E50FF" w:rsidRPr="006E50FF" w:rsidRDefault="006E50FF" w:rsidP="006E50FF">
      <w:pPr>
        <w:keepNext/>
        <w:ind w:left="2160"/>
        <w:jc w:val="both"/>
      </w:pPr>
      <w:r w:rsidRPr="006E50FF">
        <w:lastRenderedPageBreak/>
        <w:t>Jill C. Clark</w:t>
      </w:r>
    </w:p>
    <w:p w14:paraId="550E9F39" w14:textId="77777777" w:rsidR="006E50FF" w:rsidRPr="006E50FF" w:rsidRDefault="006E50FF" w:rsidP="006E50FF">
      <w:pPr>
        <w:keepNext/>
        <w:ind w:left="2160"/>
        <w:jc w:val="both"/>
      </w:pPr>
      <w:r w:rsidRPr="006E50FF">
        <w:t>General Counsel</w:t>
      </w:r>
    </w:p>
    <w:p w14:paraId="2CFF2620" w14:textId="77777777" w:rsidR="006E50FF" w:rsidRPr="006E50FF" w:rsidRDefault="006E50FF" w:rsidP="006E50FF">
      <w:pPr>
        <w:keepNext/>
        <w:jc w:val="center"/>
        <w:rPr>
          <w:b/>
        </w:rPr>
      </w:pPr>
    </w:p>
    <w:p w14:paraId="536659FD" w14:textId="77777777" w:rsidR="006E50FF" w:rsidRPr="006E50FF" w:rsidRDefault="006E50FF" w:rsidP="006E50FF">
      <w:pPr>
        <w:keepNext/>
        <w:jc w:val="center"/>
        <w:rPr>
          <w:b/>
        </w:rPr>
      </w:pPr>
      <w:r w:rsidRPr="006E50FF">
        <w:rPr>
          <w:b/>
        </w:rPr>
        <w:t>FISCAL AND ECONOMIC IMPACT STATEMENT FOR ADMINISTRATIVE RULES</w:t>
      </w:r>
    </w:p>
    <w:p w14:paraId="189719E0" w14:textId="77777777" w:rsidR="006E50FF" w:rsidRPr="006E50FF" w:rsidRDefault="006E50FF" w:rsidP="006E50FF">
      <w:pPr>
        <w:keepNext/>
        <w:jc w:val="center"/>
        <w:rPr>
          <w:b/>
          <w:noProof/>
        </w:rPr>
      </w:pPr>
      <w:r w:rsidRPr="006E50FF">
        <w:rPr>
          <w:b/>
          <w:noProof/>
        </w:rPr>
        <w:t>RULE TITLE:  Solid Waste Regulatory Permits</w:t>
      </w:r>
    </w:p>
    <w:p w14:paraId="77C86D7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F1CEFF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742F6A64" w14:textId="77777777" w:rsidR="006E50FF" w:rsidRPr="006E50FF" w:rsidRDefault="006E50FF" w:rsidP="006E50FF">
      <w:pPr>
        <w:ind w:left="288" w:firstLine="288"/>
        <w:jc w:val="both"/>
        <w:rPr>
          <w:sz w:val="18"/>
        </w:rPr>
      </w:pPr>
      <w:r w:rsidRPr="006E50FF">
        <w:rPr>
          <w:sz w:val="18"/>
        </w:rPr>
        <w:t>The proposed rule change may result in nominal savings for the Louisiana Department of Environmental Quality (LDEQ) due to a decrease in workload requirements to review permits. The proposed rule change implements four new types of regulatory permits for the following facilities: air curtain destructor facilities, grease processing facilities, separation facilities, and injection well processing facilities. Currently, these facilities use a Type III standard permit; by switching these facilities over, LDEQ anticipates a decrease in workload to review and approve regulatory permits over standard Type III permits.</w:t>
      </w:r>
    </w:p>
    <w:p w14:paraId="5A1161FB"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7E8CA80"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state or local governmental units. Both the regulatory permits and the Type III permits have the same application, modification, and annual fee schedules. This will result in no new revenue to LDEQ.</w:t>
      </w:r>
    </w:p>
    <w:p w14:paraId="68AD750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1706AC8" w14:textId="77777777" w:rsidR="006E50FF" w:rsidRPr="006E50FF" w:rsidRDefault="006E50FF" w:rsidP="006E50FF">
      <w:pPr>
        <w:ind w:left="288" w:firstLine="288"/>
        <w:jc w:val="both"/>
        <w:rPr>
          <w:sz w:val="18"/>
        </w:rPr>
      </w:pPr>
      <w:r w:rsidRPr="006E50FF">
        <w:rPr>
          <w:sz w:val="18"/>
        </w:rPr>
        <w:t>The proposed rule change will likely provide an economic benefit to facilities that will now be eligible to be approved under regulatory permitting. The proposed regulatory permit system provides a more streamlined permitting system for minor solid waste processing and/or disposal facilities. The application process is not as complex as the standard permitting process and does not require costly public notice requirements, financial assurance, certifications or complex standard permit application.</w:t>
      </w:r>
    </w:p>
    <w:p w14:paraId="30BD6C8C"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DFA144B" w14:textId="77777777" w:rsidR="006E50FF" w:rsidRPr="006E50FF" w:rsidRDefault="006E50FF" w:rsidP="006E50FF">
      <w:pPr>
        <w:ind w:left="288" w:firstLine="288"/>
        <w:jc w:val="both"/>
        <w:rPr>
          <w:sz w:val="18"/>
        </w:rPr>
      </w:pPr>
      <w:r w:rsidRPr="006E50FF">
        <w:rPr>
          <w:sz w:val="18"/>
        </w:rPr>
        <w:t>The proposed rule change may moderately improve competition and employment. The proposed regulatory permits lower the barrier to entry for minor processing facilities to open and operate in Louisiana. Lowering the regulatory barrier may allow for new facilities to operate, providing potential employment opportunities.</w:t>
      </w:r>
    </w:p>
    <w:p w14:paraId="2DE96E7E" w14:textId="77777777" w:rsidR="006E50FF" w:rsidRPr="006E50FF" w:rsidRDefault="006E50FF" w:rsidP="006E50FF">
      <w:pPr>
        <w:ind w:left="288" w:firstLine="288"/>
        <w:jc w:val="both"/>
        <w:rPr>
          <w:sz w:val="18"/>
        </w:rPr>
      </w:pPr>
    </w:p>
    <w:p w14:paraId="6F40AB51" w14:textId="77777777" w:rsidR="006E50FF" w:rsidRPr="006E50FF" w:rsidRDefault="006E50FF" w:rsidP="006E50FF">
      <w:pPr>
        <w:tabs>
          <w:tab w:val="left" w:pos="2880"/>
          <w:tab w:val="decimal" w:pos="2988"/>
        </w:tabs>
        <w:outlineLvl w:val="8"/>
        <w:rPr>
          <w:kern w:val="2"/>
          <w:sz w:val="18"/>
        </w:rPr>
      </w:pPr>
      <w:r w:rsidRPr="006E50FF">
        <w:rPr>
          <w:kern w:val="2"/>
          <w:sz w:val="18"/>
        </w:rPr>
        <w:t>Jill C. Clark</w:t>
      </w:r>
      <w:r w:rsidRPr="006E50FF">
        <w:rPr>
          <w:kern w:val="2"/>
          <w:sz w:val="18"/>
        </w:rPr>
        <w:tab/>
        <w:t>Patrice Thomas</w:t>
      </w:r>
    </w:p>
    <w:p w14:paraId="1EF93093" w14:textId="77777777" w:rsidR="006E50FF" w:rsidRPr="006E50FF" w:rsidRDefault="006E50FF" w:rsidP="006E50FF">
      <w:pPr>
        <w:tabs>
          <w:tab w:val="left" w:pos="2880"/>
          <w:tab w:val="decimal" w:pos="2988"/>
        </w:tabs>
        <w:outlineLvl w:val="8"/>
        <w:rPr>
          <w:kern w:val="2"/>
          <w:sz w:val="18"/>
        </w:rPr>
      </w:pPr>
      <w:r w:rsidRPr="006E50FF">
        <w:rPr>
          <w:kern w:val="2"/>
          <w:sz w:val="18"/>
        </w:rPr>
        <w:t>General Counsel</w:t>
      </w:r>
      <w:r w:rsidRPr="006E50FF">
        <w:rPr>
          <w:kern w:val="2"/>
          <w:sz w:val="18"/>
        </w:rPr>
        <w:tab/>
        <w:t>Deputy Fiscal Officer</w:t>
      </w:r>
    </w:p>
    <w:p w14:paraId="58C92B7A" w14:textId="77777777" w:rsidR="006E50FF" w:rsidRPr="006E50FF" w:rsidRDefault="006E50FF" w:rsidP="006E50FF">
      <w:pPr>
        <w:tabs>
          <w:tab w:val="left" w:pos="2880"/>
          <w:tab w:val="decimal" w:pos="2988"/>
        </w:tabs>
        <w:outlineLvl w:val="8"/>
        <w:rPr>
          <w:kern w:val="2"/>
          <w:sz w:val="18"/>
        </w:rPr>
      </w:pPr>
      <w:r w:rsidRPr="006E50FF">
        <w:rPr>
          <w:kern w:val="2"/>
          <w:sz w:val="18"/>
          <w:szCs w:val="18"/>
        </w:rPr>
        <w:t>2609#041</w:t>
      </w:r>
      <w:r w:rsidRPr="006E50FF">
        <w:rPr>
          <w:kern w:val="2"/>
          <w:sz w:val="18"/>
          <w:szCs w:val="18"/>
        </w:rPr>
        <w:tab/>
      </w:r>
      <w:r w:rsidRPr="006E50FF">
        <w:rPr>
          <w:kern w:val="2"/>
          <w:sz w:val="18"/>
        </w:rPr>
        <w:t>Legislative Fiscal Office</w:t>
      </w:r>
    </w:p>
    <w:p w14:paraId="3895CA60" w14:textId="77777777" w:rsidR="006E50FF" w:rsidRPr="006E50FF" w:rsidRDefault="006E50FF" w:rsidP="006E50FF"/>
    <w:p w14:paraId="6581A3A8" w14:textId="77777777" w:rsidR="006E50FF" w:rsidRPr="006E50FF" w:rsidRDefault="006E50FF" w:rsidP="006E50FF">
      <w:pPr>
        <w:keepNext/>
        <w:tabs>
          <w:tab w:val="left" w:pos="-1440"/>
        </w:tabs>
        <w:spacing w:after="120"/>
        <w:jc w:val="center"/>
        <w:rPr>
          <w:b/>
          <w:noProof/>
        </w:rPr>
      </w:pPr>
      <w:bookmarkStart w:id="539" w:name="TOC_Sect225"/>
      <w:r w:rsidRPr="006E50FF">
        <w:rPr>
          <w:b/>
          <w:noProof/>
        </w:rPr>
        <w:t>NOTICE OF INTENT</w:t>
      </w:r>
    </w:p>
    <w:p w14:paraId="39705B9E" w14:textId="77777777" w:rsidR="006E50FF" w:rsidRPr="006E50FF" w:rsidRDefault="006E50FF" w:rsidP="006E50FF">
      <w:pPr>
        <w:keepNext/>
        <w:jc w:val="center"/>
        <w:rPr>
          <w:b/>
          <w:noProof/>
        </w:rPr>
      </w:pPr>
      <w:r w:rsidRPr="006E50FF">
        <w:rPr>
          <w:b/>
          <w:noProof/>
        </w:rPr>
        <w:t>Department of Environmental Quality</w:t>
      </w:r>
    </w:p>
    <w:p w14:paraId="26779258" w14:textId="77777777" w:rsidR="006E50FF" w:rsidRPr="006E50FF" w:rsidRDefault="006E50FF" w:rsidP="006E50FF">
      <w:pPr>
        <w:keepNext/>
        <w:jc w:val="center"/>
        <w:rPr>
          <w:b/>
          <w:noProof/>
        </w:rPr>
      </w:pPr>
      <w:r w:rsidRPr="006E50FF">
        <w:rPr>
          <w:b/>
          <w:noProof/>
        </w:rPr>
        <w:t>Office of the Secretary</w:t>
      </w:r>
    </w:p>
    <w:p w14:paraId="5435FA8E" w14:textId="77777777" w:rsidR="006E50FF" w:rsidRPr="006E50FF" w:rsidRDefault="006E50FF" w:rsidP="006E50FF">
      <w:pPr>
        <w:keepNext/>
        <w:jc w:val="center"/>
        <w:rPr>
          <w:b/>
          <w:noProof/>
        </w:rPr>
      </w:pPr>
      <w:r w:rsidRPr="006E50FF">
        <w:rPr>
          <w:b/>
          <w:noProof/>
        </w:rPr>
        <w:t>Legal Affairs Division</w:t>
      </w:r>
    </w:p>
    <w:p w14:paraId="35DA0974" w14:textId="77777777" w:rsidR="006E50FF" w:rsidRPr="006E50FF" w:rsidRDefault="006E50FF" w:rsidP="006E50FF">
      <w:pPr>
        <w:keepNext/>
        <w:spacing w:before="240" w:after="240"/>
        <w:jc w:val="center"/>
        <w:rPr>
          <w:noProof/>
        </w:rPr>
      </w:pPr>
      <w:r w:rsidRPr="006E50FF">
        <w:rPr>
          <w:noProof/>
        </w:rPr>
        <w:t>Waste Tire Regulation Revisions</w:t>
      </w:r>
      <w:r w:rsidRPr="006E50FF">
        <w:rPr>
          <w:noProof/>
        </w:rPr>
        <w:br/>
        <w:t>(LAC 33:VII.Chapters 105 and 111)</w:t>
      </w:r>
    </w:p>
    <w:p w14:paraId="08A988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the Louisiana Environmental Quality Act, R.S. 30:2001 et seq., and in accordance with the provisions of the Administrative Procedure Act, R.S. 49:950 et seq., the secretary gives notice that rulemaking procedures have been initiated to amend the </w:t>
      </w:r>
      <w:r w:rsidRPr="006E50FF">
        <w:rPr>
          <w:noProof/>
          <w:kern w:val="2"/>
        </w:rPr>
        <w:t>Solid Waste</w:t>
      </w:r>
      <w:r w:rsidRPr="006E50FF">
        <w:rPr>
          <w:kern w:val="2"/>
        </w:rPr>
        <w:t xml:space="preserve"> regulations, </w:t>
      </w:r>
      <w:r w:rsidRPr="006E50FF">
        <w:rPr>
          <w:noProof/>
          <w:kern w:val="2"/>
        </w:rPr>
        <w:t>LAC 33:VII.Chapter 105 and 111</w:t>
      </w:r>
      <w:r w:rsidRPr="006E50FF">
        <w:rPr>
          <w:kern w:val="2"/>
        </w:rPr>
        <w:t xml:space="preserve"> (</w:t>
      </w:r>
      <w:r w:rsidRPr="006E50FF">
        <w:rPr>
          <w:noProof/>
          <w:kern w:val="2"/>
        </w:rPr>
        <w:t>SW077</w:t>
      </w:r>
      <w:r w:rsidRPr="006E50FF">
        <w:rPr>
          <w:kern w:val="2"/>
        </w:rPr>
        <w:t>).</w:t>
      </w:r>
    </w:p>
    <w:p w14:paraId="6ADCC24F"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The proposed Rule raises financial safeguards, updates permitting procedures, eliminates outdated provisions, and strengthens environmental protections for the handling, processing, and end use of waste tires in Louisiana. The proposed revisions to Louisiana's waste tire regulations include several updates that strengthen oversight, clarify responsibilities, and modernize procedures. Key definitions were added or clarified. Permit terms for processing and collection facilities were extended from five to ten years, but modification requests now require more detailed submittals, including drawings and narratives. Major modifications, such as increasing waste tire volume or expanding facility boundaries, will now trigger public notice and hearing requirements, which align with the public trust doctrine.</w:t>
      </w:r>
    </w:p>
    <w:p w14:paraId="32174058"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Applicants for new or renewal permits will now provide proof of zoning and have an emergergency response plan approved by the state fire marshal prior to submittal, which aligns with similar permits approved by the department.</w:t>
      </w:r>
    </w:p>
    <w:p w14:paraId="410C3C52"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The expired land reclamation pilot study was removed, and land reclamation projects will instead be reviewed on a case-by-case basis with engineering, soil, and groundwater protection requirements. End-market users and permitted facilities will be required to have written fire protection agreements and updated safety and evacuation plans. End-market projects will be designed, constructed, and operated to prevent adverse environmental impacts by identifying and protecting nearby sensitive areas, ensuring proper soil and groundwater conditions, and installing certified protective soil covers and barriers according to Louisiana engineering and environmental standards. End-market slope stabililization/erosion control projects will be subject to boring requirements.</w:t>
      </w:r>
    </w:p>
    <w:p w14:paraId="0D72F327"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Because closure costs have not been updated since 1994, financial assurance requirements were increased. Storage and recordkeeping requirements were expanded to prevent long-term accumulation and environmental risks.</w:t>
      </w:r>
    </w:p>
    <w:p w14:paraId="0DE6DF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Finally, property owners with more than 20 waste tires stored, deposited, or abandoned but were not generated by a waste tire generator may request a waiver to remove more than the limited number of tires per day, per person.</w:t>
      </w:r>
      <w:r w:rsidRPr="006E50FF">
        <w:rPr>
          <w:kern w:val="2"/>
        </w:rPr>
        <w:t xml:space="preserve"> </w:t>
      </w:r>
      <w:r w:rsidRPr="006E50FF">
        <w:rPr>
          <w:noProof/>
          <w:kern w:val="2"/>
        </w:rPr>
        <w:t>The basis and rationale for this proposed Rule are to revise and update the waste tire regulations to current industry practices, enhance public safety, and streamline administrative procedures.</w:t>
      </w:r>
      <w:r w:rsidRPr="006E50FF">
        <w:rPr>
          <w:kern w:val="2"/>
        </w:rPr>
        <w:t xml:space="preserve"> This proposed Rule meets an exception listed in R.S. 30:2019(D)(2) and R.S. 49:963.B(3); therefore, no report regarding environmental/health benefits and social/economic costs is required.</w:t>
      </w:r>
    </w:p>
    <w:p w14:paraId="6D090025" w14:textId="77777777" w:rsidR="006E50FF" w:rsidRPr="006E50FF" w:rsidRDefault="006E50FF" w:rsidP="006E50FF">
      <w:pPr>
        <w:keepNext/>
        <w:jc w:val="center"/>
        <w:rPr>
          <w:b/>
          <w:kern w:val="28"/>
        </w:rPr>
      </w:pPr>
      <w:r w:rsidRPr="006E50FF">
        <w:rPr>
          <w:b/>
          <w:kern w:val="28"/>
        </w:rPr>
        <w:t>Title 33</w:t>
      </w:r>
    </w:p>
    <w:p w14:paraId="0D576B47" w14:textId="77777777" w:rsidR="006E50FF" w:rsidRPr="006E50FF" w:rsidRDefault="006E50FF" w:rsidP="006E50FF">
      <w:pPr>
        <w:keepNext/>
        <w:jc w:val="center"/>
        <w:rPr>
          <w:b/>
          <w:kern w:val="28"/>
        </w:rPr>
      </w:pPr>
      <w:r w:rsidRPr="006E50FF">
        <w:rPr>
          <w:b/>
          <w:kern w:val="28"/>
        </w:rPr>
        <w:t>ENVIRONMENTAL QUALITY</w:t>
      </w:r>
    </w:p>
    <w:p w14:paraId="6DBB428E" w14:textId="77777777" w:rsidR="006E50FF" w:rsidRPr="006E50FF" w:rsidRDefault="006E50FF" w:rsidP="006E50FF">
      <w:pPr>
        <w:keepNext/>
        <w:jc w:val="center"/>
        <w:rPr>
          <w:b/>
          <w:noProof/>
        </w:rPr>
      </w:pPr>
      <w:r w:rsidRPr="006E50FF">
        <w:rPr>
          <w:b/>
          <w:noProof/>
        </w:rPr>
        <w:t>Part VII.  Solid Waste</w:t>
      </w:r>
    </w:p>
    <w:p w14:paraId="43F53187" w14:textId="77777777" w:rsidR="006E50FF" w:rsidRPr="006E50FF" w:rsidRDefault="006E50FF" w:rsidP="006E50FF">
      <w:pPr>
        <w:keepNext/>
        <w:jc w:val="center"/>
        <w:rPr>
          <w:b/>
          <w:noProof/>
        </w:rPr>
      </w:pPr>
      <w:r w:rsidRPr="006E50FF">
        <w:rPr>
          <w:b/>
          <w:noProof/>
        </w:rPr>
        <w:t>Subpart 2.  Recycling</w:t>
      </w:r>
    </w:p>
    <w:p w14:paraId="3079F04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105.</w:t>
      </w:r>
      <w:r w:rsidRPr="006E50FF">
        <w:rPr>
          <w:b/>
          <w:kern w:val="2"/>
        </w:rPr>
        <w:tab/>
        <w:t>Waste Tires</w:t>
      </w:r>
    </w:p>
    <w:p w14:paraId="510353F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§10505.</w:t>
      </w:r>
      <w:r w:rsidRPr="006E50FF">
        <w:rPr>
          <w:b/>
          <w:kern w:val="2"/>
        </w:rPr>
        <w:tab/>
        <w:t>Definitions</w:t>
      </w:r>
      <w:bookmarkEnd w:id="539"/>
    </w:p>
    <w:p w14:paraId="07B82C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words, terms, and phrases shall have the meanings ascribed to them in this Section, except where the context clearly indicates a different meaning.</w:t>
      </w:r>
    </w:p>
    <w:p w14:paraId="3F895B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3992D0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Civil Engineering Project</w:t>
      </w:r>
      <w:r w:rsidRPr="006E50FF">
        <w:rPr>
          <w:kern w:val="2"/>
        </w:rPr>
        <w:t xml:space="preserve">—generally a project that requires designs and/or calculations for the construction or maintenance of the physical environment, such as roads, bridges, canals, dams, and buildings. For purposes of these </w:t>
      </w:r>
      <w:r w:rsidRPr="006E50FF">
        <w:rPr>
          <w:kern w:val="2"/>
        </w:rPr>
        <w:br w:type="page"/>
      </w:r>
      <w:r w:rsidRPr="006E50FF">
        <w:rPr>
          <w:kern w:val="2"/>
        </w:rPr>
        <w:lastRenderedPageBreak/>
        <w:t>regulations, civil engineering projects, include but are not limited to, lightweight backfill, leachate collection systems in landfill cell construction, or erosion control. Waste tire material used in civil engineering projects shall provide comparable or improved performance to traditional materials.</w:t>
      </w:r>
    </w:p>
    <w:p w14:paraId="766239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13BD4F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Collector</w:t>
      </w:r>
      <w:r w:rsidRPr="006E50FF">
        <w:rPr>
          <w:kern w:val="2"/>
        </w:rPr>
        <w:t>—a person who operates a waste tire collection center.</w:t>
      </w:r>
    </w:p>
    <w:p w14:paraId="5F66244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Customary End-Market Uses</w:t>
      </w:r>
      <w:r w:rsidRPr="006E50FF">
        <w:rPr>
          <w:kern w:val="2"/>
        </w:rPr>
        <w:t>—Repealed.</w:t>
      </w:r>
    </w:p>
    <w:p w14:paraId="6C89BC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B15953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Emergency Response Plan</w:t>
      </w:r>
      <w:r w:rsidRPr="006E50FF">
        <w:rPr>
          <w:kern w:val="2"/>
        </w:rPr>
        <w:t>—an organized, planned, coordinated course of action to be followed in the event of a fire, explosion, natural disaster, or discharge or release of waste into the environment that could endanger human health or the environment.</w:t>
      </w:r>
    </w:p>
    <w:p w14:paraId="060987F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End-Market Use Project</w:t>
      </w:r>
      <w:r w:rsidRPr="006E50FF">
        <w:rPr>
          <w:kern w:val="2"/>
        </w:rPr>
        <w:t>—the utilization of waste tires and/or waste tire material in a manner approved by the administrative authority.</w:t>
      </w:r>
    </w:p>
    <w:p w14:paraId="36B2D33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End-Market User</w:t>
      </w:r>
      <w:r w:rsidRPr="006E50FF">
        <w:rPr>
          <w:kern w:val="2"/>
        </w:rPr>
        <w:t>—any person who uses waste tires and/or waste tire material in an end-market use project as approved by the administrative authority. For the purposes of international and out-of-state end-market use projects, end-market user includes a port at which waste tires and/or waste tire material is loaded for transportation by water destined for out-of-state markets.</w:t>
      </w:r>
    </w:p>
    <w:p w14:paraId="055EE5A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Extended Storage</w:t>
      </w:r>
      <w:r w:rsidRPr="006E50FF">
        <w:rPr>
          <w:kern w:val="2"/>
        </w:rPr>
        <w:t>—any project which requires storage of more than 5,000 waste tires or 2,000,000 pounds of waste tire material at the end of any operational day.</w:t>
      </w:r>
    </w:p>
    <w:p w14:paraId="249D731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Facility</w:t>
      </w:r>
      <w:r w:rsidRPr="006E50FF">
        <w:rPr>
          <w:kern w:val="2"/>
        </w:rPr>
        <w:t>—any land and appurtenances thereto used for collection, storage, processing, or recycling of waste tires and/or waste tire material.</w:t>
      </w:r>
    </w:p>
    <w:p w14:paraId="4754118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Generator</w:t>
      </w:r>
      <w:r w:rsidRPr="006E50FF">
        <w:rPr>
          <w:kern w:val="2"/>
        </w:rPr>
        <w:sym w:font="Symbol" w:char="F0BE"/>
      </w:r>
      <w:r w:rsidRPr="006E50FF">
        <w:rPr>
          <w:kern w:val="2"/>
        </w:rPr>
        <w:t>a person whose activities, whether authorized or unauthorized, result in the production of waste tires. This may include, but is not limited to, new and used tire dealers, salvage yards, etc.</w:t>
      </w:r>
    </w:p>
    <w:p w14:paraId="7F30D3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F320B2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High Volume End Use Facility</w:t>
      </w:r>
      <w:r w:rsidRPr="006E50FF">
        <w:rPr>
          <w:kern w:val="2"/>
        </w:rPr>
        <w:t>—a facility at which waste tires and/or waste tire material is utilized for projects that require extended storage and have been approved by the administrative authority. This definition also includes ports where extended storage is necessary to facilitate transportation on water to out-of-state and/or international approved end-market use projects.</w:t>
      </w:r>
    </w:p>
    <w:p w14:paraId="0DE2426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C1AAA4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Major Modification</w:t>
      </w:r>
      <w:r w:rsidRPr="006E50FF">
        <w:rPr>
          <w:kern w:val="2"/>
        </w:rPr>
        <w:t>—any change in a site, facility, process, or operation that substantially deviates from the permit or tends to substantially increase the impact of the site, facility, process, or operation.</w:t>
      </w:r>
    </w:p>
    <w:p w14:paraId="66037A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E8BD55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Minor Modification</w:t>
      </w:r>
      <w:r w:rsidRPr="006E50FF">
        <w:rPr>
          <w:kern w:val="2"/>
        </w:rPr>
        <w:t>—any modification that does not meet the criteria for a major modification.</w:t>
      </w:r>
    </w:p>
    <w:p w14:paraId="4584E2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5F989F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Processing—</w:t>
      </w:r>
      <w:r w:rsidRPr="006E50FF">
        <w:rPr>
          <w:kern w:val="2"/>
        </w:rPr>
        <w:t>any method or activity that alters waste tires so that they are no longer whole; such as, cutting, slicing, chipping, shredding, distilling, freezing, or other processes as determined by the administrative authority. At a minimum, a tire is considered processed only if its volume has been reduced by more than half.</w:t>
      </w:r>
    </w:p>
    <w:p w14:paraId="212E0D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EC74E1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Program Eligible Waste Tires—</w:t>
      </w:r>
      <w:r w:rsidRPr="006E50FF">
        <w:rPr>
          <w:kern w:val="2"/>
        </w:rPr>
        <w:t xml:space="preserve">those waste tires generated within Louisiana for which a processor will be reimbursed by the waste tire management fund. These tires </w:t>
      </w:r>
      <w:r w:rsidRPr="006E50FF">
        <w:rPr>
          <w:kern w:val="2"/>
        </w:rPr>
        <w:t>may include, but are not limited to: passenger/light truck/small farm service tires, medium truck tires, off-road tires, golf cart tires, lawn mower tires, and bicycle tires. These tires are only program eligible if they are:</w:t>
      </w:r>
    </w:p>
    <w:p w14:paraId="3F0AD91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i/>
          <w:kern w:val="2"/>
        </w:rPr>
        <w:t xml:space="preserve"> </w:t>
      </w:r>
      <w:r w:rsidRPr="006E50FF">
        <w:rPr>
          <w:iCs/>
          <w:kern w:val="2"/>
        </w:rPr>
        <w:t>-</w:t>
      </w:r>
      <w:r w:rsidRPr="006E50FF">
        <w:rPr>
          <w:kern w:val="2"/>
        </w:rPr>
        <w:t xml:space="preserve"> b.</w:t>
      </w:r>
      <w:r w:rsidRPr="006E50FF">
        <w:rPr>
          <w:kern w:val="2"/>
        </w:rPr>
        <w:tab/>
        <w:t>…</w:t>
      </w:r>
    </w:p>
    <w:p w14:paraId="1E37050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accepted by an authorized government collection center, except those waste tires defined as program ineligible waste tires;</w:t>
      </w:r>
    </w:p>
    <w:p w14:paraId="3FC87D76" w14:textId="77777777" w:rsidR="006E50FF" w:rsidRPr="006E50FF" w:rsidRDefault="006E50FF" w:rsidP="006E50FF">
      <w:pPr>
        <w:tabs>
          <w:tab w:val="left" w:pos="907"/>
        </w:tabs>
        <w:ind w:firstLine="547"/>
        <w:jc w:val="both"/>
        <w:outlineLvl w:val="5"/>
        <w:rPr>
          <w:kern w:val="2"/>
        </w:rPr>
      </w:pPr>
      <w:r w:rsidRPr="006E50FF">
        <w:rPr>
          <w:kern w:val="2"/>
        </w:rPr>
        <w:t xml:space="preserve">d. </w:t>
      </w:r>
      <w:r w:rsidRPr="006E50FF">
        <w:rPr>
          <w:iCs/>
          <w:kern w:val="2"/>
        </w:rPr>
        <w:t>-</w:t>
      </w:r>
      <w:r w:rsidRPr="006E50FF">
        <w:rPr>
          <w:kern w:val="2"/>
        </w:rPr>
        <w:t xml:space="preserve"> g.</w:t>
      </w:r>
      <w:r w:rsidRPr="006E50FF">
        <w:rPr>
          <w:kern w:val="2"/>
        </w:rPr>
        <w:tab/>
        <w:t>…</w:t>
      </w:r>
    </w:p>
    <w:p w14:paraId="098200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B50255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Standard Industrial Classification (SIC) Code</w:t>
      </w:r>
      <w:r w:rsidRPr="006E50FF">
        <w:rPr>
          <w:kern w:val="2"/>
        </w:rPr>
        <w:t>—a four-digit number that classifies businesses by their primary economic activity.</w:t>
      </w:r>
    </w:p>
    <w:p w14:paraId="2CB533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E90237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Tire</w:t>
      </w:r>
      <w:r w:rsidRPr="006E50FF">
        <w:rPr>
          <w:kern w:val="2"/>
        </w:rPr>
        <w:t>—a continuous solid or pneumatic rubber covering encircling the wheel of a motor vehicle or off-road vehicle,</w:t>
      </w:r>
      <w:r w:rsidRPr="006E50FF">
        <w:rPr>
          <w:kern w:val="2"/>
          <w:shd w:val="clear" w:color="auto" w:fill="FFFFFF"/>
        </w:rPr>
        <w:t xml:space="preserve"> including the spare tire of such vehicles</w:t>
      </w:r>
      <w:r w:rsidRPr="006E50FF">
        <w:rPr>
          <w:kern w:val="2"/>
        </w:rPr>
        <w:t>.</w:t>
      </w:r>
    </w:p>
    <w:p w14:paraId="3AADAC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3AE596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Waste Tire Material</w:t>
      </w:r>
      <w:r w:rsidRPr="006E50FF">
        <w:rPr>
          <w:kern w:val="2"/>
        </w:rPr>
        <w:t>—recovered material produced from waste tires which have been processed, unless abandoned or otherwise improperly disposed of in a manner that subjects the material to the solid waste regulations.</w:t>
      </w:r>
    </w:p>
    <w:p w14:paraId="42A950E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Waste Tire Transfer Station</w:t>
      </w:r>
      <w:r w:rsidRPr="006E50FF">
        <w:rPr>
          <w:kern w:val="2"/>
        </w:rPr>
        <w:t>—an authorized facility where waste tires are stored for longer than 24 hours and at which the tires are accumulated as part of the transportation process and are transferred directly or indirectly from transportation vehicles to other vehicles and/or storage containers, for transportation without processing.</w:t>
      </w:r>
    </w:p>
    <w:p w14:paraId="7490E7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607A4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18:37 (January 1992), amended LR 20:1001 (September 1994), LR 22:1213 (December 1996), amended by the Office of Environmental Assessment, Environmental Planning Division, LR 26:2773 (December 2000), LR 27:829 (June 2001), LR 27:2226 (December 2001), LR 28:1953 (September 2002), LR 29:2779 (December 2003), amended by the Office of Environmental Assessment, LR 31:1323 (June 2005), amended by the Office of the Secretary, Legal Affairs Division, LR 31:3158 (December 2005), LR 33:89 (January 2007), amended by the Office of the Secretary, Legal Division, LR 42:244 (February 2016), amended by the Office of the Secretary, Legal Affairs Division, LR 52:</w:t>
      </w:r>
    </w:p>
    <w:p w14:paraId="1E2CC6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§10506.</w:t>
      </w:r>
      <w:r w:rsidRPr="006E50FF">
        <w:rPr>
          <w:b/>
          <w:kern w:val="2"/>
        </w:rPr>
        <w:tab/>
        <w:t>Conditions Applicable to All Permitted Facilities</w:t>
      </w:r>
    </w:p>
    <w:p w14:paraId="36C290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conditions apply to all waste tire standard permits.</w:t>
      </w:r>
    </w:p>
    <w:p w14:paraId="61234A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permit holder shall comply with all conditions of a permit except the conditions of a permit to the extent and for the duration such noncompliance is authorized in an emergency permit or order. Any permit noncompliance constitutes a violation of the Act and any amendment to the Act. It is grounds for enforcement action, permit suspension, revocation, modification, or denial of a permit renewal application.</w:t>
      </w:r>
    </w:p>
    <w:p w14:paraId="21FA47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It shall not be a defense for a permit holder in an enforcement action that it would have been necessary to halt or reduce the permitted activity in order to maintain compliance with the conditions of a permit.</w:t>
      </w:r>
    </w:p>
    <w:p w14:paraId="198307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permit holder shall take all necessary steps to minimize and/or correct any adverse impact on the environment resulting from noncompliance with a permit.</w:t>
      </w:r>
    </w:p>
    <w:p w14:paraId="52B314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permit holder shall at all times properly operate and maintain all facilities and systems, which are installed or used by the permit holder to achieve compliance with the </w:t>
      </w:r>
      <w:r w:rsidRPr="006E50FF">
        <w:rPr>
          <w:kern w:val="2"/>
        </w:rPr>
        <w:lastRenderedPageBreak/>
        <w:t>conditions of a permit. Proper operation and maintenance includes effective performance, adequate funding, adequate operator staffing and training, and process controls, including appropriate quality assurance procedures. This provision requires the operation of back-up or auxiliary facilities, or similar systems, only when necessary to achieve compliance with the conditions of a permit.</w:t>
      </w:r>
    </w:p>
    <w:p w14:paraId="3B1BFB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filing of a request by the permit holder for a permit modification, termination, or a notification of planned changes or anticipated noncompliance, does not stay any permit condition.</w:t>
      </w:r>
    </w:p>
    <w:p w14:paraId="3B8625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permit does not convey any property rights of any sort, or any exclusive privilege.</w:t>
      </w:r>
    </w:p>
    <w:p w14:paraId="245E4F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permit holder shall furnish to the administrative authority, within a reasonable time, any information that may be requested to determine whether cause exists for modifying, revoking, suspending, or terminating an effective permit, or to determine compliance with an effective permit. The permit holder shall also furnish, upon request, copies of records required to be kept by a permit.</w:t>
      </w:r>
    </w:p>
    <w:p w14:paraId="512F16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The permit holder shall allow the administrative authority, or an authorized representative, after the presentation of credentials and other documents as may be required by law, to:</w:t>
      </w:r>
    </w:p>
    <w:p w14:paraId="167ADBB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enter upon the permit holder's premises where a regulated facility or activity is located or conducted, or where records shall be kept under the conditions of its permit;</w:t>
      </w:r>
    </w:p>
    <w:p w14:paraId="024C9A3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have access to and copy, at reasonable times, any records that shall be kept under the conditions of its permit;</w:t>
      </w:r>
    </w:p>
    <w:p w14:paraId="4FC5A89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inspect, at reasonable times, any facilities, equipment (including monitoring and control equipment), practices, or operations regulated or required under its permit; and</w:t>
      </w:r>
    </w:p>
    <w:p w14:paraId="6CE19CE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sample or monitor any substances or parameters at any location, at reasonable times, for the purposes of assuring permit compliance.</w:t>
      </w:r>
    </w:p>
    <w:p w14:paraId="264DE2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The permit holder shall report any fire, explosion, and/or unplanned sudden or nonsudden release to air, soil, or water, which may endanger health or the environment, as required by the </w:t>
      </w:r>
      <w:r w:rsidRPr="006E50FF">
        <w:rPr>
          <w:i/>
          <w:kern w:val="2"/>
        </w:rPr>
        <w:t>Notification Regulations and Procedures for Unauthorized Discharges</w:t>
      </w:r>
      <w:r w:rsidRPr="006E50FF">
        <w:rPr>
          <w:kern w:val="2"/>
        </w:rPr>
        <w:t xml:space="preserve"> in accordance with LAC 33:I.Chapter 39.</w:t>
      </w:r>
    </w:p>
    <w:p w14:paraId="14E6D2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If the permit holder determines that incorrect or incomplete information was submitted in a permit application or in any report to the administrative authority, the permit holder shall promptly submit the facts or information to the Office of Environmental Services.</w:t>
      </w:r>
    </w:p>
    <w:p w14:paraId="762F5C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 permit issued under these regulations does not authorize noncompliance with any other federal, state, or local regulation, law, or statute.</w:t>
      </w:r>
    </w:p>
    <w:p w14:paraId="11F6AB4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540" w:name="TOC_Sect226"/>
      <w:r w:rsidRPr="006E50FF">
        <w:rPr>
          <w:kern w:val="2"/>
          <w:sz w:val="18"/>
        </w:rPr>
        <w:t>AUTHORITY NOTE:</w:t>
      </w:r>
      <w:r w:rsidRPr="006E50FF">
        <w:rPr>
          <w:kern w:val="2"/>
          <w:sz w:val="18"/>
        </w:rPr>
        <w:tab/>
        <w:t>Promulgated in accordance with R.S. 30:2001 et seq.</w:t>
      </w:r>
    </w:p>
    <w:p w14:paraId="3F16BB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6628153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1" w:name="TOC_Sect196"/>
      <w:bookmarkStart w:id="542" w:name="TOC_Sect229"/>
      <w:bookmarkEnd w:id="540"/>
      <w:r w:rsidRPr="006E50FF">
        <w:rPr>
          <w:b/>
          <w:kern w:val="2"/>
        </w:rPr>
        <w:t>§10509.</w:t>
      </w:r>
      <w:r w:rsidRPr="006E50FF">
        <w:rPr>
          <w:b/>
          <w:kern w:val="2"/>
        </w:rPr>
        <w:tab/>
        <w:t>Prohibitions and Mandatory Provisions</w:t>
      </w:r>
      <w:bookmarkEnd w:id="541"/>
    </w:p>
    <w:p w14:paraId="2AC25B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7D35C3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Except for waste tires stored at the facilities listed in Paragraphs 2 and 3 of this Subsection, all waste tires shall be stored in accordance with LAC 33:VII.10519.I. No person shall store more than 20 waste tires unless the tires are:</w:t>
      </w:r>
    </w:p>
    <w:p w14:paraId="12947C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D.</w:t>
      </w:r>
      <w:r w:rsidRPr="006E50FF">
        <w:rPr>
          <w:kern w:val="2"/>
        </w:rPr>
        <w:tab/>
        <w:t>…</w:t>
      </w:r>
    </w:p>
    <w:p w14:paraId="656DEA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 processor shall receive payment from the Waste Tire Management Fund without a standard processing permit issued by the administrative authority, an effective Processor’s Agreement, and an approved end-market use project in which waste tires and/or waste tire material are utilized.</w:t>
      </w:r>
    </w:p>
    <w:p w14:paraId="44D2A3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No generator, collector, or processor shall store any waste tires for longer than 365 days, unless given prior written approval by the administrative authority.</w:t>
      </w:r>
    </w:p>
    <w:p w14:paraId="5FD786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J.</w:t>
      </w:r>
      <w:r w:rsidRPr="006E50FF">
        <w:rPr>
          <w:kern w:val="2"/>
        </w:rPr>
        <w:tab/>
        <w:t>…</w:t>
      </w:r>
    </w:p>
    <w:p w14:paraId="6A3F44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Access to Facilities. The administrative authority or representative shall have access to the premises of all facilities used for the management of waste tires for all purposes authorized under R.S. 30:2001 et seq., particularly R.S. 30:2012. The inspection may be conducted during normal operating hours. The department reserves the right to conduct inspections before and after operating hours. Upon request of the operator or permit holder, the administrative authority or his representative shall discuss the preliminary findings of any investigation before leaving the premises.</w:t>
      </w:r>
    </w:p>
    <w:p w14:paraId="1827FB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 xml:space="preserve">Notice of Fire or Damage to Structures in a Waste Tire Facility. Notification shall be made in accordance with LAC 33:I.3915. In the case of an </w:t>
      </w:r>
      <w:r w:rsidRPr="006E50FF">
        <w:rPr>
          <w:i/>
          <w:kern w:val="2"/>
        </w:rPr>
        <w:t>emergency condition</w:t>
      </w:r>
      <w:r w:rsidRPr="006E50FF">
        <w:rPr>
          <w:kern w:val="2"/>
        </w:rPr>
        <w:t>, as defined in LAC 33:I.3905, or in accordance with LAC 33:I.3923 in all other cases, when damage to, or degradation of, any structure occurs that would impair the ability of the facility to meet the conditions of its permit, or when any fire occurs at a waste tire facility.</w:t>
      </w:r>
    </w:p>
    <w:p w14:paraId="50FA2F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Compliance with Other Regulations. All facilities may be subject to applicable federal and state laws and regulations including, but not limited to, Sections 402 and 404 of the Clean Water Act; the Coastal Zone Management Act and Federal Aviation Administration regulations; the National Historic Preservation Act of 1966, as amended; the Endangered Species Act; the Wild and Scenic Rivers Act; the Fish and Wildlife Coordination Act; the Clean Air Act; the Toxic Substances Control Act; the Marine Protection Research and Sanctuary Act; the Resource Recovery and Conservation Act; and the Federal Insecticide, Fungicide, and Rodenticide Act.</w:t>
      </w:r>
    </w:p>
    <w:p w14:paraId="290532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475E343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6E50FF">
        <w:rPr>
          <w:kern w:val="2"/>
          <w:sz w:val="18"/>
        </w:rPr>
        <w:t>HISTORICAL NOTE:</w:t>
      </w:r>
      <w:r w:rsidRPr="006E50FF">
        <w:rPr>
          <w:kern w:val="2"/>
          <w:sz w:val="18"/>
        </w:rPr>
        <w:tab/>
        <w:t>Promulgated by the Department of Environmental Quality, Office of Solid and Hazardous Waste, Solid Waste Division, LR 18:38 (January 1992), amended LR 20:1001 (September 1994), amended by the Office of Environmental Assessment, Environmental Planning Division, LR 26:2774 (December 2000), amended by the Office of Environmental Assessment, LR 31:1323 (June 2005), amended by the Office of the Secretary, Legal Division, LR 42:248 (February 2016), amended by the Office of the Secretary, Legal Affairs Division, LR 52:</w:t>
      </w:r>
    </w:p>
    <w:p w14:paraId="0406798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3" w:name="TOC_Sect228"/>
      <w:r w:rsidRPr="006E50FF">
        <w:rPr>
          <w:b/>
          <w:kern w:val="2"/>
        </w:rPr>
        <w:t>§10511.</w:t>
      </w:r>
      <w:r w:rsidRPr="006E50FF">
        <w:rPr>
          <w:b/>
          <w:kern w:val="2"/>
        </w:rPr>
        <w:tab/>
        <w:t>Permit System</w:t>
      </w:r>
      <w:bookmarkEnd w:id="543"/>
    </w:p>
    <w:p w14:paraId="0771DF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A.2.b.</w:t>
      </w:r>
      <w:r w:rsidRPr="006E50FF">
        <w:rPr>
          <w:kern w:val="2"/>
        </w:rPr>
        <w:tab/>
        <w:t>…</w:t>
      </w:r>
    </w:p>
    <w:p w14:paraId="36A963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Permit Provisions</w:t>
      </w:r>
    </w:p>
    <w:p w14:paraId="1B52EAF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Permit Duration. A standard permit issued to a processing and/or collection facility shall be valid for 10 years from the date of issuance. Permit renewal applications shall be submitted no less than 365 calendar days before the expiration date of the standard permit, unless written permission for later filing is granted by the administrative authority. If the renewal application is submitted on or before the deadline above, and the administrative authority does not issue a final decision on the renewal application on or before </w:t>
      </w:r>
      <w:r w:rsidRPr="006E50FF">
        <w:rPr>
          <w:kern w:val="2"/>
        </w:rPr>
        <w:lastRenderedPageBreak/>
        <w:t>the expiration date of the standard permit, the standard permit shall remain in effect until the administrative authority issues a final decision.</w:t>
      </w:r>
    </w:p>
    <w:p w14:paraId="570C105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t>
      </w:r>
    </w:p>
    <w:p w14:paraId="04DADB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hd w:val="clear" w:color="auto" w:fill="FFFFFF"/>
        </w:rPr>
        <w:t>B.</w:t>
      </w:r>
      <w:r w:rsidRPr="006E50FF">
        <w:rPr>
          <w:kern w:val="2"/>
          <w:shd w:val="clear" w:color="auto" w:fill="FFFFFF"/>
        </w:rPr>
        <w:tab/>
      </w:r>
      <w:r w:rsidRPr="006E50FF">
        <w:rPr>
          <w:kern w:val="2"/>
        </w:rPr>
        <w:t>Modifications</w:t>
      </w:r>
    </w:p>
    <w:p w14:paraId="5B20C2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permit holder shall submit a permit modification request to the Office of Environmental Services for any changes in a facility or deviation from a permit. All permit modification requests shall detail the proposed modifications and shall include an assessment of the effects of the modification on the environment and/or the operation. Modification details shall include, but not be limited to, a summary detailing the modification request and all appropriate drawings, narratives, etc., which shall illustrate and describe the originally-permitted representations and the proposed modifications. New language requested in the permit narrative and existing language requested to be deleted from the permit shall be identified.</w:t>
      </w:r>
    </w:p>
    <w:p w14:paraId="12E3189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Modification requests shall be submitted using the appropriate permit application form. Only those sections that are proposed for modification shall be completed. The administrative authority may request further information so that a proper determination may be made. Six paper copies of all modification requests shall be provided to the Office of Environmental Services. The modification request shall incorporate, in the appropriate sections, all required plans and narratives. The modification request shall include appropriate tabbing, if applicable, for all attachments. A facility seeking to modify its permit to include changes that constitute a physical expansion of the facility’s existing boundaries, as in the facility’s existing permit, shall follow the pre-application requirements listed at LAC 33:VII.10513.B.</w:t>
      </w:r>
    </w:p>
    <w:p w14:paraId="2D33944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Each permit modification request, where a permit modification review fee is prescribed, shall be accompanied by remittance of the fee. No permit modification requests shall be accepted or processed prior to payment in full of the amount specified.</w:t>
      </w:r>
    </w:p>
    <w:p w14:paraId="2ECB3F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proposed changes in ownership shall comply with the provisions specified in LAC 33:I.Chapter 19.</w:t>
      </w:r>
    </w:p>
    <w:p w14:paraId="46615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major modification requests shall address the additional supplemental information required according to LAC 33:VII.10517.A.22 in relation to the proposed permit modification activity.</w:t>
      </w:r>
    </w:p>
    <w:p w14:paraId="1E9E31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Public Notice of Modifications</w:t>
      </w:r>
    </w:p>
    <w:p w14:paraId="35CDAA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Major modifications require public notice after a draft permit decision is prepared. Modifications to a permit that require public notice include, but are not limited to:</w:t>
      </w:r>
    </w:p>
    <w:p w14:paraId="2E10E3F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an increase in the volume of waste tires to be received at a facility;</w:t>
      </w:r>
    </w:p>
    <w:p w14:paraId="5906E4B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physical expansion of the service area;</w:t>
      </w:r>
    </w:p>
    <w:p w14:paraId="7881BDE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expansion of the facility boundaries;</w:t>
      </w:r>
    </w:p>
    <w:p w14:paraId="245E932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 extension of the operating hours or days of operation;</w:t>
      </w:r>
    </w:p>
    <w:p w14:paraId="5B3FB8A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change to the facility that may have an impact on traffic patterns; or</w:t>
      </w:r>
    </w:p>
    <w:p w14:paraId="369B99B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other changes in the permit that tend to make the permit requirements less stringent.</w:t>
      </w:r>
    </w:p>
    <w:p w14:paraId="0A64BA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Once an application for a permit modification that requires public notice has been determined to be technically complete by the Office of Environmental Services, the application shall be accepted for public review. The applicant </w:t>
      </w:r>
      <w:r w:rsidRPr="006E50FF">
        <w:rPr>
          <w:kern w:val="2"/>
        </w:rPr>
        <w:br w:type="column"/>
      </w:r>
      <w:r w:rsidRPr="006E50FF">
        <w:rPr>
          <w:kern w:val="2"/>
        </w:rPr>
        <w:t>shall provide additional copies as directed by the administrative authority. The department shall prepare a draft permit decision following the procedures in LAC 33:VII.10513.F.</w:t>
      </w:r>
    </w:p>
    <w:p w14:paraId="554263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 modification shall be instituted without the written approval of the administrative authority as follows.</w:t>
      </w:r>
    </w:p>
    <w:p w14:paraId="6EFEA2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major modifications, the administrative authority shall issue a final permit decision after the public notice period required in LAC 33:VII.10513.H.5. Final permit decisions shall follow the procedures outlined in LAC 33:VII.10513.I.</w:t>
      </w:r>
    </w:p>
    <w:p w14:paraId="39B87A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For minor modifications, the administrative authority shall issue a final permit decision after review of the requested modification.</w:t>
      </w:r>
    </w:p>
    <w:p w14:paraId="7533D2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Suspension, Modification, or Revocation of Permit. The administrative authority may review a permit at any time. After review of a permit, the administrative authority may, for cause, suspend, modify, or revoke a permit in whole or in part in accordance with the Administrative Procedure Act.</w:t>
      </w:r>
    </w:p>
    <w:p w14:paraId="602B2D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37BCE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18:38 (January 1992), amended LR 20:1001 (September 1994), amended by the Office of Environmental Assessment, Environmental Planning Division, LR 26:2775 (December 2000), amended by the Office of the Secretary, Legal Division, LR 42:249 (February 2016), amended by the Office of the Secretary, Legal Affairs Division, LR 52:</w:t>
      </w:r>
    </w:p>
    <w:p w14:paraId="6FBA4F0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§10513.</w:t>
      </w:r>
      <w:r w:rsidRPr="006E50FF">
        <w:rPr>
          <w:b/>
          <w:kern w:val="2"/>
        </w:rPr>
        <w:tab/>
        <w:t>Permit Process for Existing and Proposed Facilities</w:t>
      </w:r>
      <w:bookmarkEnd w:id="542"/>
    </w:p>
    <w:p w14:paraId="597628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Applicability. All waste tire standard permit applications and modification applications submitted after promulgation of these regulations shall follow the procedures of LAC 33:VII.10513.B-J, as applicable.</w:t>
      </w:r>
    </w:p>
    <w:p w14:paraId="2503D8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Pre-Application Requirements</w:t>
      </w:r>
    </w:p>
    <w:p w14:paraId="1FA319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prospective applicants for waste tire standard permits, except for those applicants exempted under Subparagraphs d.-f. of this Subsection, shall comply with the following requirements prior to submitting a permit application.</w:t>
      </w:r>
    </w:p>
    <w:p w14:paraId="4F08037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prospective applicant shall obtain written confirmation from the appropriate municipal or parish governing authority where the facility is proposed to be located indicating that the facility is or will be in compliance with all existing local zoning and land use restrictions. The written confirmation may be submitted on a form provided in the application. The prospective applicant shall forward a copy of the written confirmation to the administrative authority for review. If the municipal or parish governing authority fails to provide to the applicant the requested written confirmation within 90 days of the request by the applicant, the applicant shall provide all information submitted to the municipal or parish governing authority regarding the request to the administrative authority and may submit the permit application without the written confirmation. Failure to include the written confirmation with applications submitted after the 90 day time frame above shall not constitute grounds for the application to be deemed administratively incomplete in accordance with LAC 33:I.1505. The administrative authority shall request that the municipal or parish governing authority provide a response within 60 days. If the municipal </w:t>
      </w:r>
      <w:r w:rsidRPr="006E50FF">
        <w:rPr>
          <w:kern w:val="2"/>
        </w:rPr>
        <w:br w:type="page"/>
      </w:r>
      <w:r w:rsidRPr="006E50FF">
        <w:rPr>
          <w:kern w:val="2"/>
        </w:rPr>
        <w:lastRenderedPageBreak/>
        <w:t>or parish governing authority fails to provide a response to the department within the 60 days, the administrative authority shall consider the applicant in compliance with all existing local zoning and land use restrictions.</w:t>
      </w:r>
    </w:p>
    <w:p w14:paraId="0178FAF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prospective applicant shall file an </w:t>
      </w:r>
      <w:r w:rsidRPr="006E50FF">
        <w:rPr>
          <w:i/>
          <w:kern w:val="2"/>
        </w:rPr>
        <w:t>emergency response plan</w:t>
      </w:r>
      <w:r w:rsidRPr="006E50FF">
        <w:rPr>
          <w:kern w:val="2"/>
        </w:rPr>
        <w:t>, as defined in LAC 33:VII.10505.A, with the Louisiana Office of State Fire Marshal as a special structures plan prior to submittal of a new or renewal application for a waste tire standard permit. The content of the plan shall be in accordance with applicable sections of LAC 33:VII.Chapter 105. A copy of the plan shall also be sent to the Office of Environmental Services. No application for a permit to process or collect waste tires shall be filed with nor accepted by the administrative authority until the plan is approved by the Louisiana Office of State Fire Marshal except as provided for in LAC 33:VII.10513.B.1.c or d. The prospective applicant shall forward a copy of the approval to the Office of Environmental Services. The approved emergency response plan shall be considered applicable to subsequent permit applications submitted by the same applicant, unless a revised plan is filed with the Louisiana Office of State Fire Marshal.</w:t>
      </w:r>
    </w:p>
    <w:p w14:paraId="193FB0D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Any emergency response plan approved by the fire marshal before June 20, 2011, shall be revised and submitted to the Louisiana Office of State Fire Marshal as a special structures plan, prior to submittal of a permit application or permit renewal application for a waste tire standard permit. The content of the revised plan shall be in accordance with applicable Sections of LAC 33:VII.Chapter 105. A copy of the revised plan shall also be sent to the Office of Environmental Services. After promulgation of these regulations, no application for a waste tire standard permit shall be filed with nor accepted by the administrative authority unless the plan has been approved by the Louisiana Office of State Fire Marshal subsequent to the promulgation of these regulations, except as provided for in LAC 33:VII.10513.B.1.c or d. The prospective applicant shall forward a copy of the approval to the Office of Environmental Services. Any revised emergency response plan approved after promulgation of these regulations, shall be considered applicable to subsequent permit applications submitted by the same applicant, unless a revised plan is filed with the Louisiana Office of State Fire Marshal.</w:t>
      </w:r>
    </w:p>
    <w:p w14:paraId="3B6EFD6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requirements of Subparagraph b of this Subsection shall not apply if the prospective applicant can demonstrate that he has the ability to meet the emergency response requirements listed below. The prospective applicant shall provide this demonstration to the Office of Environmental Services and the Louisiana Office of State Fire Marshal, at least 30 days prior to submittal of a new or renewal waste tire application.</w:t>
      </w:r>
    </w:p>
    <w:p w14:paraId="2BFCDF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Requirements for Demonstration</w:t>
      </w:r>
    </w:p>
    <w:p w14:paraId="1F20C43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prospective applicant shall describe arrangements (including contracts, where applicable) for providing their own emergency response services.</w:t>
      </w:r>
    </w:p>
    <w:p w14:paraId="4714F27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minimum qualification for firefighters/emergency responders shall be that of operations level responder from the National Fire Protection Association, Standard 472, or other appropriate requirement from an applicable National Fire Protection Association standard. At least one person trained to this level shall respond in any incident requiring activation of emergency response services.</w:t>
      </w:r>
    </w:p>
    <w:p w14:paraId="09A6695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The demonstration shall include a list of all emergency equipment at the facility, such as fire extinguishing systems, spill control equipment, communications, internal and external alarm systems, and decontamination equipment.</w:t>
      </w:r>
    </w:p>
    <w:p w14:paraId="50240B9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requirements of Subparagraph b of this Subsection shall not apply to permit modification requests, or to applications for permits (initial or renewal), deemed technically complete prior to promulgation of these regulations, except as directed by the administrative authority.</w:t>
      </w:r>
    </w:p>
    <w:p w14:paraId="11DD89A8"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Minor modification requests are exempt from Subparagraphs a-d of this Subsection.</w:t>
      </w:r>
    </w:p>
    <w:p w14:paraId="7AF6B7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hd w:val="clear" w:color="auto" w:fill="FFFFFF"/>
        </w:rPr>
        <w:t>C.</w:t>
      </w:r>
      <w:r w:rsidRPr="006E50FF">
        <w:rPr>
          <w:kern w:val="2"/>
          <w:shd w:val="clear" w:color="auto" w:fill="FFFFFF"/>
        </w:rPr>
        <w:tab/>
      </w:r>
      <w:r w:rsidRPr="006E50FF">
        <w:rPr>
          <w:kern w:val="2"/>
        </w:rPr>
        <w:t>Applicant Public Notice</w:t>
      </w:r>
    </w:p>
    <w:p w14:paraId="65F59E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prospective applicant shall publish a notice of intent to submit an application for a waste tire standard permit. This notice shall be published, 1 to 45 days prior to submission of the application to the Office of Environmental Services. This notice shall be published one time as a single classified advertisement in the legal or public notices section of the official journal of this state and in a major local newspaper of general circulation in the area where the facility is located. If the affected area is in the same parish or area as the official journal of the state, a single classified advertisement in the legal or public notices section of the official journal of the state will be the only public notice required.</w:t>
      </w:r>
    </w:p>
    <w:p w14:paraId="1AC867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public notice shall be published in accordance with the form provided in LAC 33:VII.11101, Public Notice Example–Appendix A.</w:t>
      </w:r>
    </w:p>
    <w:p w14:paraId="15343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Proof of publication of the notice shall be included in all waste tire standard permit applications for existing and proposed facilities submitted to the Office of Environmental Services.</w:t>
      </w:r>
    </w:p>
    <w:p w14:paraId="0F62D5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hd w:val="clear" w:color="auto" w:fill="FFFFFF"/>
        </w:rPr>
        <w:t>D.</w:t>
      </w:r>
      <w:r w:rsidRPr="006E50FF">
        <w:rPr>
          <w:kern w:val="2"/>
          <w:shd w:val="clear" w:color="auto" w:fill="FFFFFF"/>
        </w:rPr>
        <w:tab/>
      </w:r>
      <w:r w:rsidRPr="006E50FF">
        <w:rPr>
          <w:kern w:val="2"/>
        </w:rPr>
        <w:t>Submittal of Permit Applications</w:t>
      </w:r>
    </w:p>
    <w:p w14:paraId="5DAB0B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applicant for a standard permit for an existing or proposed facility shall complete a waste tire standard permit application, as described in LAC 33:VII.10511, and submit six copies to the Office of Environmental Services. Each individual copy of the application shall be in standard three-ring-bound documents measuring 8 1/2 by 11 inches. All appendices, references, exhibits, tables, etc., shall be marked with appropriate tabs.</w:t>
      </w:r>
    </w:p>
    <w:p w14:paraId="05F5A6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waste tire standard permit application shall be accompanied by a remittance in the full amount of the appropriate waste tire standard permit application fee. No application shall be processed prior to payment of the full amount as specified in LAC 33:VII.10535.</w:t>
      </w:r>
    </w:p>
    <w:p w14:paraId="3BFC36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Requirements for Public Notification of Permit Application</w:t>
      </w:r>
    </w:p>
    <w:p w14:paraId="55B512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As provided in R.S. 30:2022 and 2418, upon receipt of a permit application the administrative authority shall provide written notice on the subject matter to the parish governing authority and each municipality affected by the application.</w:t>
      </w:r>
    </w:p>
    <w:p w14:paraId="1E8693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administrative authority shall hold a public hearing within 60 days of submission of an application.</w:t>
      </w:r>
    </w:p>
    <w:p w14:paraId="2BC234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shall publish the hearing notice in the official journal of the parish or municipality on two separate days preceding the hearing. The last day of publication of such notice shall be at least 10 days prior to the hearing. The applicant shall provide the administrative authority with proof of publication.</w:t>
      </w:r>
    </w:p>
    <w:p w14:paraId="545B5F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The applicant shall post a notice of the hearing in prominent view of the public for two weeks prior to the hearing in the courthouse, government center, and all the libraries of the parish.</w:t>
      </w:r>
    </w:p>
    <w:p w14:paraId="506BB3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public comment period of at least 30 days shall be allowed following the public hearing.</w:t>
      </w:r>
    </w:p>
    <w:p w14:paraId="4EC0D5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Permit Application Review and Evaluation</w:t>
      </w:r>
    </w:p>
    <w:p w14:paraId="56D469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shall make available to the administrative authority the assistance of professional engineers or other trained individuals responsible for the design of the facility to explain the design and operation.</w:t>
      </w:r>
    </w:p>
    <w:p w14:paraId="2DD5F7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applicant shall furnish all other technical information the administrative authority may require to evaluate the waste tire standard permit application, monitor the performance of the facility, and ensure that the purposes of this program are met.</w:t>
      </w:r>
    </w:p>
    <w:p w14:paraId="048EF3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Waste Tire Standard Permit Application Review</w:t>
      </w:r>
    </w:p>
    <w:p w14:paraId="7B185C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Applications shall be subject to the completeness and technical review requirements of LAC 33:I.1505.A and B.</w:t>
      </w:r>
    </w:p>
    <w:p w14:paraId="70B325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Applications that are determined to be unacceptable for a technical review shall be rejected. For the administrative authority to reconsider the application, the applicant shall resubmit the entire standard permit application to the Office of Environmental Services, including the review fee, by a reasonable due date set by the administrative authority.</w:t>
      </w:r>
    </w:p>
    <w:p w14:paraId="23B675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 applicant whose application is acceptable for technical review, but lacks the necessary information, shall be informed of such in a deficiency letter. These deficiencies shall be corrected by submission of supplementary information by a due date set by the administrative authority.</w:t>
      </w:r>
    </w:p>
    <w:p w14:paraId="29D46E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Standard Permit Applications Deemed Technically Complete</w:t>
      </w:r>
    </w:p>
    <w:p w14:paraId="55B0A3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Once an application is deemed technically complete, the administrative authority shall prepare a draft permit decision to issue or deny the requested permit. If a draft permit is prepared, the draft permit shall contain:</w:t>
      </w:r>
    </w:p>
    <w:p w14:paraId="748C05D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conditions proposed for a final permit under LAC 33:VII.Subpart 2; and</w:t>
      </w:r>
    </w:p>
    <w:p w14:paraId="3AC9FDA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compliance schedules proposed for the facility.</w:t>
      </w:r>
    </w:p>
    <w:p w14:paraId="7214A7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Fact Sheet</w:t>
      </w:r>
    </w:p>
    <w:p w14:paraId="1D700C5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all draft permit decisions, including draft denials, the administrative authority shall prepare a fact sheet describing the department’s reasoning for the issuance of the draft permit decision. The fact sheet shall contain:</w:t>
      </w:r>
    </w:p>
    <w:p w14:paraId="6E96C78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brief description of the facility and the activity, which is the subject of the draft permit decision;</w:t>
      </w:r>
    </w:p>
    <w:p w14:paraId="2970DF3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type and quantity of tires, which are proposed to be or are being collected, processed, or disposed;</w:t>
      </w:r>
    </w:p>
    <w:p w14:paraId="6A30B0F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a brief summary of the justification for the draft permit conditions, not applicable to draft denials, including references to any applicable statutes or regulations;</w:t>
      </w:r>
    </w:p>
    <w:p w14:paraId="690238C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a description of the procedures for reaching a final decision including:</w:t>
      </w:r>
    </w:p>
    <w:p w14:paraId="154992A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 description of the public comment period under LAC 33:VII.10513.H.5;</w:t>
      </w:r>
    </w:p>
    <w:p w14:paraId="428BA80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address where comments will be received; and</w:t>
      </w:r>
    </w:p>
    <w:p w14:paraId="02BAA19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procedures for requesting a hearing; and</w:t>
      </w:r>
    </w:p>
    <w:p w14:paraId="4CD6C1E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name and telephone number of a contact person for additional information; and</w:t>
      </w:r>
    </w:p>
    <w:p w14:paraId="65DA7C4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any additional information, as necessary.</w:t>
      </w:r>
    </w:p>
    <w:p w14:paraId="09DEEF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 application that has been deemed technically complete will be accepted for public review. When the permit application is accepted for public review, the administrative authority shall request an additional six copies, or more if necessary. The copies shall be distributed for public review as follows:</w:t>
      </w:r>
    </w:p>
    <w:p w14:paraId="48982DA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copy to the local parish governing authority;</w:t>
      </w:r>
    </w:p>
    <w:p w14:paraId="111BC26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copy to the municipal governing authority;</w:t>
      </w:r>
    </w:p>
    <w:p w14:paraId="70FC8F8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copy to the main branch of the parish public library;</w:t>
      </w:r>
    </w:p>
    <w:p w14:paraId="241AFFC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copy to the department’s respective regional office; and</w:t>
      </w:r>
    </w:p>
    <w:p w14:paraId="3AD3C8D1"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two copies to remain with the department.</w:t>
      </w:r>
    </w:p>
    <w:p w14:paraId="69CBCA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Each copy of the permit application shall be provided as a standard three-ring-bound document (8 1/2 by 11 inches). The application shall incorporate, in the appropriate sections, all required plans, narratives, and revisions made during the review process and shall include appropriate tabbing for all appendices, figures, etc. A permit application that presents revisions made during the review process as a separate supplement to the application shall not be accepted.</w:t>
      </w:r>
    </w:p>
    <w:p w14:paraId="4A3787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After the six copies are submitted to the administrative authority, notices shall be placed on the department’s website for the duration of the public comment period. </w:t>
      </w:r>
      <w:r w:rsidRPr="006E50FF">
        <w:rPr>
          <w:kern w:val="2"/>
          <w:szCs w:val="24"/>
        </w:rPr>
        <w:t xml:space="preserve">Web publication may be supplemented by other noticing methods at the discretion of the department. </w:t>
      </w:r>
      <w:r w:rsidRPr="006E50FF">
        <w:rPr>
          <w:kern w:val="2"/>
        </w:rPr>
        <w:t>The public notice shall solicit comment from interested individuals and groups. Comments received by the administrative authority within 30 days after the date the notice is published on the department’s website shall be reviewed by the administrative authority.</w:t>
      </w:r>
    </w:p>
    <w:p w14:paraId="4F4320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Comments received by the administrative authority within the timeframe specified in the public notice shall be reviewed by the Office of Environmental Services prior to the preparation of a final decision.</w:t>
      </w:r>
    </w:p>
    <w:p w14:paraId="5D44D6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public hearing may be held for any proposed standard permit application when the administrative authority determines, on the basis of comments received and other information, that a hearing is necessary.</w:t>
      </w:r>
    </w:p>
    <w:p w14:paraId="34ED9F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Public Opportunity to Request a Hearing. Any person may, within 30 days after the date of publication </w:t>
      </w:r>
      <w:r w:rsidRPr="006E50FF">
        <w:rPr>
          <w:kern w:val="2"/>
          <w:szCs w:val="24"/>
        </w:rPr>
        <w:t>on the department’s website</w:t>
      </w:r>
      <w:r w:rsidRPr="006E50FF">
        <w:rPr>
          <w:kern w:val="2"/>
        </w:rPr>
        <w:t xml:space="preserve"> required in Paragraph 5 of this Section, request that a public hearing be held. If the administrative authority determines that the hearing is warranted, a public hearing shall be held. If the administrative authority determines not to hold the requested hearing, the administrative authority shall send the person requesting the hearing written notification of the determination. The request for a hearing shall be in writing and shall contain the name and affiliation of the person making the request and the comments in support of or in objection to the issuance of a permit.</w:t>
      </w:r>
    </w:p>
    <w:p w14:paraId="1B0E5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Public Notice of a Public Hearing. If the administrative authority determines that a hearing is necessary, a notice shall be published at least 20 days before a fact-finding hearing on the department’s website. Those persons on the department’s mailing list for hearings shall be mailed notice of the hearing at least 20 days before a public hearing.</w:t>
      </w:r>
    </w:p>
    <w:p w14:paraId="112224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10.</w:t>
      </w:r>
      <w:r w:rsidRPr="006E50FF">
        <w:rPr>
          <w:kern w:val="2"/>
        </w:rPr>
        <w:tab/>
        <w:t>Receipt of Comments Following a Public Hearing. The administrative authority shall receive comments for 30 days after the date of a public hearing.</w:t>
      </w:r>
    </w:p>
    <w:p w14:paraId="65D800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Issuance or Denial of a Permit</w:t>
      </w:r>
    </w:p>
    <w:p w14:paraId="2A974C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administrative authority shall issue a standard permit or shall issue a standard permit application denial, including reasons for the denial, after the public notice period specified in Paragraph F.5 of this Section has ended.</w:t>
      </w:r>
    </w:p>
    <w:p w14:paraId="0958A7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temporary permit may be issued to allow closure activities to be accomplished at a facility, which has been issued a standard permit application denial. The temporary permit shall require the submission of a closure plan permit application and implementation schedule. The temporary permit may allow the facility to continue operations in accordance with an approved interim operational plan pending the closure process.</w:t>
      </w:r>
    </w:p>
    <w:p w14:paraId="2928848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Public Notice of Permit Issuance. No later than 20 days following the issuance of a standard permit, the administrative authority shall publish a notice of the issuance of the standard permit. This notice shall be published on the department’s website.</w:t>
      </w:r>
    </w:p>
    <w:p w14:paraId="1270509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9CF55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18:39 (January 1992), amended LR 20:1001 (September 1994), amended by the Office of Environmental Assessment, Environmental Planning Division, LR 26:2775 (December 2000), LR 27:829 (June 2001), amended by the Office of Environmental Assessment, LR 30:2033 (September 2004), amended by the Office of the Secretary, Legal Affairs Division, LR 31:2502 (October 2005), LR 33:2157 (October 2007), amended by the Office of the Secretary, Legal Division, LR 42:249 (February 2016), amended by the Office of the Secretary, Legal Affairs Division, LR 52:</w:t>
      </w:r>
    </w:p>
    <w:p w14:paraId="221FD54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4" w:name="TOC_Sect231"/>
      <w:r w:rsidRPr="006E50FF">
        <w:rPr>
          <w:b/>
          <w:kern w:val="2"/>
        </w:rPr>
        <w:t>§10514.</w:t>
      </w:r>
      <w:r w:rsidRPr="006E50FF">
        <w:rPr>
          <w:b/>
          <w:kern w:val="2"/>
        </w:rPr>
        <w:tab/>
        <w:t>Submittal Requirements for High Volume End Use Facility Applications</w:t>
      </w:r>
    </w:p>
    <w:p w14:paraId="3A4645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Facility applicants who utilize waste tires and/or waste tire material for projects that require extended storage shall apply to the administrative authority for authorization as a high volume end use facility. Submission of the following information shall be provided on the application, which is available on the department’s website:</w:t>
      </w:r>
    </w:p>
    <w:p w14:paraId="34DCCD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F.</w:t>
      </w:r>
      <w:r w:rsidRPr="006E50FF">
        <w:rPr>
          <w:kern w:val="2"/>
        </w:rPr>
        <w:tab/>
        <w:t>…</w:t>
      </w:r>
    </w:p>
    <w:p w14:paraId="15BEA2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Applicants who utilize waste tires and/or waste tire material for projects that do not require extended storage are not subject to the requirements of this Section.</w:t>
      </w:r>
    </w:p>
    <w:p w14:paraId="4D645A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1DF2CE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the Secretary, Legal Division, LR 42:251 (February 2016)</w:t>
      </w:r>
      <w:r w:rsidRPr="006E50FF">
        <w:rPr>
          <w:kern w:val="2"/>
          <w:sz w:val="18"/>
          <w:szCs w:val="24"/>
          <w:lang w:eastAsia="x-none"/>
        </w:rPr>
        <w:t xml:space="preserve">, </w:t>
      </w:r>
      <w:r w:rsidRPr="006E50FF">
        <w:rPr>
          <w:kern w:val="2"/>
          <w:sz w:val="18"/>
          <w:szCs w:val="24"/>
        </w:rPr>
        <w:t>amended by the Office of the Secretary, Legal Affairs Division, LR 52:</w:t>
      </w:r>
    </w:p>
    <w:p w14:paraId="06E816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§10515.</w:t>
      </w:r>
      <w:r w:rsidRPr="006E50FF">
        <w:rPr>
          <w:b/>
          <w:kern w:val="2"/>
        </w:rPr>
        <w:tab/>
        <w:t>Submittal Requirements for End-Market Use Project Applications</w:t>
      </w:r>
      <w:bookmarkEnd w:id="544"/>
    </w:p>
    <w:p w14:paraId="10BFB9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A.14.</w:t>
      </w:r>
      <w:r w:rsidRPr="006E50FF">
        <w:rPr>
          <w:kern w:val="2"/>
        </w:rPr>
        <w:tab/>
        <w:t>…</w:t>
      </w:r>
    </w:p>
    <w:p w14:paraId="2642D7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Prior to any deviations from the approved project, modifications shall be submitted to and approved by the administrative authority in writing.</w:t>
      </w:r>
    </w:p>
    <w:p w14:paraId="6D4C3F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21267D1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42:251 (February 2016), amended by the Office of the Secretary, Legal Affairs Division, LR 52:</w:t>
      </w:r>
    </w:p>
    <w:p w14:paraId="5C99B3B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5" w:name="TOC_Sect202"/>
      <w:r w:rsidRPr="006E50FF">
        <w:rPr>
          <w:b/>
          <w:kern w:val="2"/>
        </w:rPr>
        <w:t>§10516.</w:t>
      </w:r>
      <w:r w:rsidRPr="006E50FF">
        <w:rPr>
          <w:b/>
          <w:kern w:val="2"/>
        </w:rPr>
        <w:tab/>
        <w:t>Annual Agreements with Waste Tire Processors</w:t>
      </w:r>
    </w:p>
    <w:p w14:paraId="0F8F93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rPr>
        <w:t>A. - B.</w:t>
      </w:r>
      <w:r w:rsidRPr="006E50FF">
        <w:rPr>
          <w:kern w:val="2"/>
        </w:rPr>
        <w:tab/>
      </w:r>
      <w:r w:rsidRPr="006E50FF">
        <w:rPr>
          <w:kern w:val="2"/>
          <w:szCs w:val="24"/>
        </w:rPr>
        <w:t>…</w:t>
      </w:r>
    </w:p>
    <w:p w14:paraId="121775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agreement shall contain a provision regarding the amount and requirements for payment. Provided the terms and conditions of the agreement are met, standard permitted processors shall be paid a minimum of seven and a half cents per pound of waste tires and/or waste tire material that is recycled or that reaches an approved end-market use project in accordance with LAC 33:VII.10535.F.</w:t>
      </w:r>
    </w:p>
    <w:p w14:paraId="28FC91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To be eligible for payment from the waste tire management fund, standard permitted processors shall apply and obtain approval from the administrative authority to market waste tires and/or waste tire material. The processor shall submit request(s) on a form available from the administrative authority and shall include all of the requirements of LAC 33:VII.10525.D.</w:t>
      </w:r>
    </w:p>
    <w:p w14:paraId="7C6787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szCs w:val="24"/>
        </w:rPr>
        <w:t>C.</w:t>
      </w:r>
      <w:r w:rsidRPr="006E50FF">
        <w:rPr>
          <w:kern w:val="2"/>
        </w:rPr>
        <w:t xml:space="preserve"> - E.</w:t>
      </w:r>
      <w:r w:rsidRPr="006E50FF">
        <w:rPr>
          <w:kern w:val="2"/>
        </w:rPr>
        <w:tab/>
      </w:r>
      <w:r w:rsidRPr="006E50FF">
        <w:rPr>
          <w:kern w:val="2"/>
          <w:szCs w:val="24"/>
        </w:rPr>
        <w:t>…</w:t>
      </w:r>
    </w:p>
    <w:p w14:paraId="2AB832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76957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Solid and Hazardous Waste, Solid Waste Division, LR 18:39 (January 1992), amended LR 20:1001 (September 1994), amended by the Office of Environmental Assessment, Environmental Planning Division, LR 26:2776 (December 2000), LR 27:830 (June 2001), amended by the Office of the Secretary, Legal Affairs Division, LR 31:2502 (October 2005), LR 33:2158 (October 2007), amended by the Office of the Secretary, Legal Division, LR 42:252 (February 2016)</w:t>
      </w:r>
      <w:r w:rsidRPr="006E50FF">
        <w:rPr>
          <w:kern w:val="2"/>
          <w:sz w:val="18"/>
          <w:szCs w:val="24"/>
          <w:lang w:eastAsia="x-none"/>
        </w:rPr>
        <w:t xml:space="preserve"> , </w:t>
      </w:r>
      <w:r w:rsidRPr="006E50FF">
        <w:rPr>
          <w:kern w:val="2"/>
          <w:sz w:val="18"/>
          <w:szCs w:val="24"/>
        </w:rPr>
        <w:t>amended by the Office of the Secretary, Legal Affairs Division, LR 52:</w:t>
      </w:r>
    </w:p>
    <w:p w14:paraId="1F42B5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§10517.</w:t>
      </w:r>
      <w:r w:rsidRPr="006E50FF">
        <w:rPr>
          <w:b/>
          <w:kern w:val="2"/>
        </w:rPr>
        <w:tab/>
        <w:t>Standard Waste Tire Processor Permit Applications</w:t>
      </w:r>
      <w:bookmarkEnd w:id="545"/>
    </w:p>
    <w:p w14:paraId="5D44C8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Each applicant requesting a standard permit for a waste tire processing facility shall complete the standardized permit application form obtained from the Office of Environmental Services or the department's website. The application shall be completed following the information provided in the application guidance document. In addition, the standards in LAC 33:VII.10525 shall be incorporated into the appropriate application requirements. The permit application shall include:</w:t>
      </w:r>
    </w:p>
    <w:p w14:paraId="32D9E4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6C28A0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name and phone number of the facility owner, if different from the applicant; </w:t>
      </w:r>
    </w:p>
    <w:p w14:paraId="6DAB65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- 4.</w:t>
      </w:r>
      <w:r w:rsidRPr="006E50FF">
        <w:rPr>
          <w:kern w:val="2"/>
        </w:rPr>
        <w:tab/>
        <w:t>…</w:t>
      </w:r>
    </w:p>
    <w:p w14:paraId="635FD1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location and address of the processing facility, including: </w:t>
      </w:r>
    </w:p>
    <w:p w14:paraId="6DE5DB0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nearest town in the same parish as the facility;</w:t>
      </w:r>
    </w:p>
    <w:p w14:paraId="2610ED7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parish the facility is located;</w:t>
      </w:r>
    </w:p>
    <w:p w14:paraId="7273D31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geographic location (i.e., section, township, and range);</w:t>
      </w:r>
    </w:p>
    <w:p w14:paraId="6076DF4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the GPS coordinates for the front gate (e.g., latitude and longitude); </w:t>
      </w:r>
    </w:p>
    <w:p w14:paraId="4B611F7B"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description of the location of the facility identify by street and number, intersection of roads, or by mileage and direction from an intersection;</w:t>
      </w:r>
    </w:p>
    <w:p w14:paraId="6801865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total site acreage and the acreage to be used for processing;</w:t>
      </w:r>
    </w:p>
    <w:p w14:paraId="1D8C0E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w:t>
      </w:r>
    </w:p>
    <w:p w14:paraId="210C7C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agency interest number, the permit number, SIC code, federal identification number, and state tax identification number;</w:t>
      </w:r>
    </w:p>
    <w:p w14:paraId="771607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232014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8.</w:t>
      </w:r>
      <w:r w:rsidRPr="006E50FF">
        <w:rPr>
          <w:kern w:val="2"/>
        </w:rPr>
        <w:tab/>
        <w:t>the type and purpose of the operation (e.g., new application, renewal application, major modification, or minor modification), and the description of the changes proposed in the application;</w:t>
      </w:r>
    </w:p>
    <w:p w14:paraId="20C47F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 list of all environmental permits that relate directly to the facility represented in this application, including permits for which the applicant has applied, or intends to apply, and permits that have been issued and dates of issuance;</w:t>
      </w:r>
    </w:p>
    <w:p w14:paraId="2D627D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status of the facility and, if leased, state the number of years of the lease by providing a copy of the lease agreement, or proof of ownership;</w:t>
      </w:r>
    </w:p>
    <w:p w14:paraId="367231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the ownership type (e.g., corporation, partnership or sole proprietorship, regulated utility, municipal government, state government, federal government, or other); and</w:t>
      </w:r>
    </w:p>
    <w:p w14:paraId="55E144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an area master plan that shall include location maps and/or engineering drawings showing, at a minimum:</w:t>
      </w:r>
    </w:p>
    <w:p w14:paraId="3DFC970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current site;</w:t>
      </w:r>
    </w:p>
    <w:p w14:paraId="1E3B3F3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road network;</w:t>
      </w:r>
    </w:p>
    <w:p w14:paraId="61F3E52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major drainage systems;</w:t>
      </w:r>
    </w:p>
    <w:p w14:paraId="64AA3B3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drainage flow patterns;</w:t>
      </w:r>
    </w:p>
    <w:p w14:paraId="71AF96F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property lines;</w:t>
      </w:r>
    </w:p>
    <w:p w14:paraId="783F223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any buildings;</w:t>
      </w:r>
    </w:p>
    <w:p w14:paraId="2911C4CC"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 xml:space="preserve">excavations; </w:t>
      </w:r>
    </w:p>
    <w:p w14:paraId="29B78DF8"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any other pertinent information;</w:t>
      </w:r>
    </w:p>
    <w:p w14:paraId="01CE1DFE"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all pertinent map symbols such as scale, north arrow, and legend; and</w:t>
      </w:r>
    </w:p>
    <w:p w14:paraId="5B6143E8"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a list of any references used to obtain the information;</w:t>
      </w:r>
    </w:p>
    <w:p w14:paraId="3D7702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a copy of written notification to the appropriate local governing authority, stating that the site is to be used as a waste tire processing facility;</w:t>
      </w:r>
    </w:p>
    <w:p w14:paraId="19AED7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the zoning of the facility that exists at the time of the submittal of the permit application and written documentation from the appropriate local governing authority, stating that the facility is in compliance with local zoning and permitting requirements while ensuring to include the local zoning authority contact information;</w:t>
      </w:r>
    </w:p>
    <w:p w14:paraId="638F3B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written documentation from the property owner granting approval for use of property as a waste tire processing facility, if property owner is other than applicant;</w:t>
      </w:r>
    </w:p>
    <w:p w14:paraId="08F2EE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proof of publication of Notice of Intent to submit an application for a standard waste tire processing facility permit, as required in LAC 33:VII.10513;</w:t>
      </w:r>
    </w:p>
    <w:p w14:paraId="6AAE5A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a copy of the approval of the facility’s compliance and certification of premises and buildings from the state fire marshal;</w:t>
      </w:r>
    </w:p>
    <w:p w14:paraId="3DC13B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18.</w:t>
      </w:r>
      <w:r w:rsidRPr="006E50FF">
        <w:rPr>
          <w:kern w:val="2"/>
        </w:rPr>
        <w:tab/>
        <w:t>indication if the facility has been issued and/or entered into any enforcement actions including:</w:t>
      </w:r>
    </w:p>
    <w:p w14:paraId="3903408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summary of all actions to include all federal and state enforcement actions, settlement agreements, and/or consent decrees issued to and/or entered into by this facility;</w:t>
      </w:r>
    </w:p>
    <w:p w14:paraId="4CCE8C7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regulatory agency that issued the enforcement action, or entered into the settlement agreement or consent decrees; and</w:t>
      </w:r>
    </w:p>
    <w:p w14:paraId="2AEEEDB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dates of issuance or agreement;</w:t>
      </w:r>
    </w:p>
    <w:p w14:paraId="2B2292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indication if confidentiality is being requested;</w:t>
      </w:r>
    </w:p>
    <w:p w14:paraId="686665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indication if there are any outstanding fees owed and if yes, provide an explanation;</w:t>
      </w:r>
    </w:p>
    <w:p w14:paraId="3B5519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indication if the applicant is a corporation or limited liability company including a certificate of registration and/or certificate of good standing from the secretary of state;</w:t>
      </w:r>
    </w:p>
    <w:p w14:paraId="4AB263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22.</w:t>
      </w:r>
      <w:r w:rsidRPr="006E50FF">
        <w:rPr>
          <w:kern w:val="2"/>
        </w:rPr>
        <w:tab/>
        <w:t>an operational plan addressing the following:</w:t>
      </w:r>
    </w:p>
    <w:p w14:paraId="38A0152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facility access and security;</w:t>
      </w:r>
    </w:p>
    <w:p w14:paraId="7057F8A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waste tire acceptance plan to count, record, monitor incoming quantities of waste tires, and the daily capacity;</w:t>
      </w:r>
    </w:p>
    <w:p w14:paraId="79EAA15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method to control water run-on/runoff;</w:t>
      </w:r>
    </w:p>
    <w:p w14:paraId="393D5B4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days and hours of operation;</w:t>
      </w:r>
    </w:p>
    <w:p w14:paraId="01E4962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waste tire storage method in detail:</w:t>
      </w:r>
    </w:p>
    <w:p w14:paraId="39622A3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dimensions of waste tire piles;</w:t>
      </w:r>
    </w:p>
    <w:p w14:paraId="05F97E9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maximum number of waste tires and volume of waste tire material to be stored at any one time;</w:t>
      </w:r>
    </w:p>
    <w:p w14:paraId="4F79F05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volume of waste tire material to be stored at any one time;</w:t>
      </w:r>
    </w:p>
    <w:p w14:paraId="140748F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width of fire lanes;</w:t>
      </w:r>
    </w:p>
    <w:p w14:paraId="768757D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method of storage to exclude standing water;</w:t>
      </w:r>
    </w:p>
    <w:p w14:paraId="4141B5B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type of access roads and buffer zones;</w:t>
      </w:r>
    </w:p>
    <w:p w14:paraId="10E4E27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 xml:space="preserve">the end market of waste tire material; </w:t>
      </w:r>
    </w:p>
    <w:p w14:paraId="37D0661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method for handling illegally dropped off waste tires; and</w:t>
      </w:r>
    </w:p>
    <w:p w14:paraId="50E9540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highlight w:val="yellow"/>
        </w:rPr>
      </w:pPr>
      <w:r w:rsidRPr="006E50FF">
        <w:rPr>
          <w:kern w:val="2"/>
        </w:rPr>
        <w:tab/>
        <w:t>ix.</w:t>
      </w:r>
      <w:r w:rsidRPr="006E50FF">
        <w:rPr>
          <w:kern w:val="2"/>
        </w:rPr>
        <w:tab/>
        <w:t xml:space="preserve">emergency control plan in case of fire or accident, etc. that shall: </w:t>
      </w:r>
    </w:p>
    <w:p w14:paraId="224A4C7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designate the fire department or mutual aid society, emergency medical service agency, and hospital with which the facility will coordinate emergency services;</w:t>
      </w:r>
    </w:p>
    <w:p w14:paraId="17635D1A"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include a list of all emergency equipment, that shall be kept up to date, at the facility, such as fire extinguishing system, spill control equipment, communication, internal and external alarm system, and decontamination equipment;</w:t>
      </w:r>
    </w:p>
    <w:p w14:paraId="59F75DF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include the location and a physical description of each item on the list and a brief outline of its capability; and</w:t>
      </w:r>
    </w:p>
    <w:p w14:paraId="01DC1344"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include an evacuation plan for facility personnel and describe signals to be used to begin evacuation, evacuation route, and alternate evacuation route;</w:t>
      </w:r>
    </w:p>
    <w:p w14:paraId="72DBBEF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 detailed description of the waste tire processing method to be used, including daily capacity and technical support to determine daily capacity, such as the processing capacity of the limiting piece of processing equipment;</w:t>
      </w:r>
    </w:p>
    <w:p w14:paraId="7339EA76"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site grounds maintenance and disease vector control to minimize vector-breeding areas and animal attraction;</w:t>
      </w:r>
    </w:p>
    <w:p w14:paraId="0FE4B4D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controlling fly, mosquito, and other insect emergence and entrance;</w:t>
      </w:r>
    </w:p>
    <w:p w14:paraId="53F98AD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controlling rodent burrowing for food or harborage; and</w:t>
      </w:r>
    </w:p>
    <w:p w14:paraId="274F6C6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controlling bird and animal attraction;</w:t>
      </w:r>
    </w:p>
    <w:p w14:paraId="2CFED4FB"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buffer zones; and</w:t>
      </w:r>
    </w:p>
    <w:p w14:paraId="473D7D0C"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method to control and/or treat any process water;</w:t>
      </w:r>
    </w:p>
    <w:p w14:paraId="1CF303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23.</w:t>
      </w:r>
      <w:r w:rsidRPr="006E50FF">
        <w:rPr>
          <w:kern w:val="2"/>
        </w:rPr>
        <w:tab/>
        <w:t>evidence of commercial general liability insurance in the amount of no less than $1,000,000 applicable to on-site and off-site liability provided by an insurer who is admitted, authorized, or eligible to conduct insurance business in Louisiana;</w:t>
      </w:r>
    </w:p>
    <w:p w14:paraId="31D4BD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24.</w:t>
      </w:r>
      <w:r w:rsidRPr="006E50FF">
        <w:rPr>
          <w:kern w:val="2"/>
        </w:rPr>
        <w:tab/>
        <w:t>site closure plan to assure clean closure. The closure plan shall be submitted as a separate section with each application to ensure clean closure, and include the following:</w:t>
      </w:r>
    </w:p>
    <w:p w14:paraId="497BC8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method to be used and steps necessary for closing the facility;</w:t>
      </w:r>
    </w:p>
    <w:p w14:paraId="2CBBDF9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estimated cost of closure of the facility, based on the cost of hiring a third party to close the facility at the point in the facility’s operating life when the extent and </w:t>
      </w:r>
      <w:r w:rsidRPr="006E50FF">
        <w:rPr>
          <w:kern w:val="2"/>
        </w:rPr>
        <w:lastRenderedPageBreak/>
        <w:t>manner of its operation would make closure the most expensive;</w:t>
      </w:r>
    </w:p>
    <w:p w14:paraId="3E7C500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maximum inventory of waste tires and waste tire material on-site at any one time over the active life of the facility;</w:t>
      </w:r>
    </w:p>
    <w:p w14:paraId="4217300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all permit holders shall notify the Office of Environmental Services in writing at least 90 days before closure or intent to close and shall provide the date of final closure with a schedule for completing all activities necessary for closure with time frames specified in days and a list of the itemized cost(s) to conduct closure activities at the facility by a third party; and</w:t>
      </w:r>
    </w:p>
    <w:p w14:paraId="0E995BD3"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sequence of final closure of the entire facility;</w:t>
      </w:r>
    </w:p>
    <w:p w14:paraId="2C646F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25.</w:t>
      </w:r>
      <w:r w:rsidRPr="006E50FF">
        <w:rPr>
          <w:kern w:val="2"/>
        </w:rPr>
        <w:tab/>
        <w:t>submit the site closure financial assurance fund in accordance with LAC 33:VII.10547.A and the sample documents in LAC 33:VII.11103;</w:t>
      </w:r>
    </w:p>
    <w:p w14:paraId="241F87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26.</w:t>
      </w:r>
      <w:r w:rsidRPr="006E50FF">
        <w:rPr>
          <w:kern w:val="2"/>
        </w:rPr>
        <w:tab/>
        <w:t>plans, specifications, and operations represented and described in the permit application or permit modifications shall be prepared under the supervision of and certified by a professional engineer licensed in the state of Louisiana;</w:t>
      </w:r>
    </w:p>
    <w:p w14:paraId="689BD5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27.</w:t>
      </w:r>
      <w:r w:rsidRPr="006E50FF">
        <w:rPr>
          <w:kern w:val="2"/>
        </w:rPr>
        <w:tab/>
        <w:t>a signed legal certification that all information provided in the application is true and correct with the knowledge of the possibility of punishment under the law for false information;</w:t>
      </w:r>
    </w:p>
    <w:p w14:paraId="3D5900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28.</w:t>
      </w:r>
      <w:r w:rsidRPr="006E50FF">
        <w:rPr>
          <w:kern w:val="2"/>
        </w:rPr>
        <w:tab/>
        <w:t>date and signature of responsible official;</w:t>
      </w:r>
    </w:p>
    <w:p w14:paraId="1A7FEE99"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29.</w:t>
      </w:r>
      <w:r w:rsidRPr="006E50FF">
        <w:rPr>
          <w:kern w:val="2"/>
        </w:rPr>
        <w:tab/>
        <w:t>name of authorized agent for service of process, if applicable; and</w:t>
      </w:r>
    </w:p>
    <w:p w14:paraId="38F113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30.</w:t>
      </w:r>
      <w:r w:rsidRPr="006E50FF">
        <w:rPr>
          <w:kern w:val="2"/>
        </w:rPr>
        <w:tab/>
        <w:t>required information regarding facility site assessments for a new permit application and major modifications as follows:</w:t>
      </w:r>
    </w:p>
    <w:p w14:paraId="137EB29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discussion demonstrating that the potential and real adverse environmental effects of the facility have been avoided to the maximum extent possible;</w:t>
      </w:r>
    </w:p>
    <w:p w14:paraId="7E960C1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cost-benefit analysis demonstrating that the social and economic benefits of the facility outweigh the environmental-impact costs;</w:t>
      </w:r>
    </w:p>
    <w:p w14:paraId="5D5BBCC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discussion and description of possible alternative projects that would offer more protection to the environment without unduly curtailing nonenvironmental benefits;</w:t>
      </w:r>
    </w:p>
    <w:p w14:paraId="23651AA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discussion of possible alternative sites that would offer more protection to the environment without unduly curtailing nonenvironmental benefits; and</w:t>
      </w:r>
    </w:p>
    <w:p w14:paraId="78BC004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discussion and description of the mitigating measures which would offer more protection to the environment than the facility, as proposed, without unduly curtailing nonenvironmental benefits;</w:t>
      </w:r>
    </w:p>
    <w:p w14:paraId="5F64C4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31.</w:t>
      </w:r>
      <w:r w:rsidRPr="006E50FF">
        <w:rPr>
          <w:kern w:val="2"/>
        </w:rPr>
        <w:tab/>
        <w:t>the permit application shall include a description of the financial structure of the operating unit including capital structure, principal ownership, and insurance coverage for personal injury and property damage; and</w:t>
      </w:r>
    </w:p>
    <w:p w14:paraId="37DD8C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32.</w:t>
      </w:r>
      <w:r w:rsidRPr="006E50FF">
        <w:rPr>
          <w:kern w:val="2"/>
        </w:rPr>
        <w:tab/>
        <w:t>additional information that is needed to support the application that may include maps, drawings, and other supplemental information, such as areas for isolating waste tire materials.</w:t>
      </w:r>
    </w:p>
    <w:p w14:paraId="4975999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B. </w:t>
      </w:r>
      <w:r w:rsidRPr="006E50FF">
        <w:rPr>
          <w:noProof/>
          <w:kern w:val="2"/>
        </w:rPr>
        <mc:AlternateContent>
          <mc:Choice Requires="wps">
            <w:drawing>
              <wp:anchor distT="0" distB="0" distL="114300" distR="114300" simplePos="0" relativeHeight="251665408" behindDoc="0" locked="1" layoutInCell="1" allowOverlap="0" wp14:anchorId="6317ADF1" wp14:editId="1E78DF01">
                <wp:simplePos x="0" y="0"/>
                <wp:positionH relativeFrom="margin">
                  <wp:posOffset>5824220</wp:posOffset>
                </wp:positionH>
                <wp:positionV relativeFrom="paragraph">
                  <wp:posOffset>-8832215</wp:posOffset>
                </wp:positionV>
                <wp:extent cx="914400" cy="274320"/>
                <wp:effectExtent l="0" t="0" r="0" b="0"/>
                <wp:wrapNone/>
                <wp:docPr id="1200262446"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914400" cy="274320"/>
                        </a:xfrm>
                        <a:prstGeom prst="rect">
                          <a:avLst/>
                        </a:prstGeom>
                        <a:noFill/>
                        <a:ln>
                          <a:noFill/>
                        </a:ln>
                      </wps:spPr>
                      <wps:txbx>
                        <w:txbxContent>
                          <w:p w14:paraId="37143EE5" w14:textId="77777777" w:rsidR="006E50FF" w:rsidRPr="00126E3F" w:rsidRDefault="006E50FF" w:rsidP="006E50FF">
                            <w:pPr>
                              <w:rPr>
                                <w:i/>
                              </w:rPr>
                            </w:pPr>
                            <w:r>
                              <w:rPr>
                                <w:i/>
                              </w:rPr>
                              <w:t>Section 10518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7ADF1" id="Text Box 1" o:spid="_x0000_s1027" type="#_x0000_t202" style="position:absolute;left:0;text-align:left;margin-left:458.6pt;margin-top:-695.45pt;width:1in;height:21.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" o:allowoverlap="f" filled="f" stroked="f">
                <o:lock v:ext="edit" aspectratio="t"/>
                <v:textbox>
                  <w:txbxContent>
                    <w:p w14:paraId="37143EE5" w14:textId="77777777" w:rsidR="006E50FF" w:rsidRPr="00126E3F" w:rsidRDefault="006E50FF" w:rsidP="006E50FF">
                      <w:pPr>
                        <w:rPr>
                          <w:i/>
                        </w:rPr>
                      </w:pPr>
                      <w:r>
                        <w:rPr>
                          <w:i/>
                        </w:rPr>
                        <w:t>Section 10518</w:t>
                      </w:r>
                    </w:p>
                  </w:txbxContent>
                </v:textbox>
                <w10:wrap anchorx="margin"/>
                <w10:anchorlock/>
              </v:shape>
            </w:pict>
          </mc:Fallback>
        </mc:AlternateContent>
      </w:r>
      <w:r w:rsidRPr="006E50FF">
        <w:rPr>
          <w:kern w:val="2"/>
        </w:rPr>
        <w:t>- C.</w:t>
      </w:r>
      <w:r w:rsidRPr="006E50FF">
        <w:rPr>
          <w:kern w:val="2"/>
        </w:rPr>
        <w:tab/>
        <w:t>…</w:t>
      </w:r>
    </w:p>
    <w:p w14:paraId="3F917E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Storage of Waste Tires and Waste Tire Material</w:t>
      </w:r>
    </w:p>
    <w:p w14:paraId="4BBF6B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waste tires or waste tire material shall be stored, or allowed to be stored, in a manner that may cause a nuisance, health hazard, or detriment to the environment as determined by the administrative authority.</w:t>
      </w:r>
    </w:p>
    <w:p w14:paraId="098024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Unless authorized or approved by the administrative authority, no waste tires or waste tire material shall be stored, or allowed to be stored, at an off-site location unless the off-site location is an authorized waste tire transfer station, collection, or processing facility.</w:t>
      </w:r>
    </w:p>
    <w:p w14:paraId="141352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Waste tires or waste tire material may not be stored on-site for greater than 365 days, without approval from the Office of Environmental Services. The facility shall maintain records indicating the time frame that waste tires or waste tire material has been stored.</w:t>
      </w:r>
    </w:p>
    <w:p w14:paraId="444A60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tires and/or waste tire material shall be segregated by type.</w:t>
      </w:r>
    </w:p>
    <w:p w14:paraId="745645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szCs w:val="24"/>
        </w:rPr>
        <w:t>5.</w:t>
      </w:r>
      <w:r w:rsidRPr="006E50FF">
        <w:rPr>
          <w:kern w:val="2"/>
          <w:szCs w:val="24"/>
        </w:rPr>
        <w:tab/>
      </w:r>
      <w:r w:rsidRPr="006E50FF">
        <w:rPr>
          <w:kern w:val="2"/>
        </w:rPr>
        <w:t>The total amount of waste tires and waste tire material stored shall not exceed 60 times the daily capacity of the processing unit.</w:t>
      </w:r>
    </w:p>
    <w:p w14:paraId="2CB706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Certifications</w:t>
      </w:r>
    </w:p>
    <w:p w14:paraId="04765D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engineer who prepared the permit application shall provide the following certification and stamp with appropriate Louisiana Registration Number and Seal. "I certify that the facility plans, specifications, and operations represented and described in the permit application were prepared under my supervision and are true and accurate to the best of my knowledge, information and belief in accordance with LAC 33:VII.10517.A.26."</w:t>
      </w:r>
    </w:p>
    <w:p w14:paraId="4BF371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w:t>
      </w:r>
      <w:r w:rsidRPr="006E50FF">
        <w:rPr>
          <w:kern w:val="2"/>
          <w:szCs w:val="24"/>
        </w:rPr>
        <w:t xml:space="preserve">he person who is designated the responsible official shall provide the following certification. </w:t>
      </w:r>
      <w:r w:rsidRPr="006E50FF">
        <w:rPr>
          <w:kern w:val="2"/>
        </w:rPr>
        <w:t>"I certify under penalty of law that I have personally examined and I am familiar with the information submitted in this permit application and that the facility as described in this permit application meets the requirements of LAC 33:VII.Subpart 2. I am aware that there are significant penalties for knowingly submitting false information, including the possibility of fine and imprisonment."</w:t>
      </w:r>
    </w:p>
    <w:p w14:paraId="5562F1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szCs w:val="24"/>
        </w:rPr>
        <w:t>3.</w:t>
      </w:r>
      <w:r w:rsidRPr="006E50FF">
        <w:rPr>
          <w:kern w:val="2"/>
          <w:szCs w:val="24"/>
        </w:rPr>
        <w:tab/>
        <w:t xml:space="preserve">The person who prepared the permit application shall provide the following certification. </w:t>
      </w:r>
      <w:r w:rsidRPr="006E50FF">
        <w:rPr>
          <w:kern w:val="2"/>
        </w:rPr>
        <w:t>"I certify under penalty of law that I have personally examined and I am familiar with the information submitted in this permit application and that the facility as described in this permit application meets the requirements of LAC 33:VII.Subpart 2. I am aware that there are significant penalties for knowingly submitting false information, including the possibility of fine and imprisonment.</w:t>
      </w:r>
    </w:p>
    <w:p w14:paraId="4FEA49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6A0654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6E50FF">
        <w:rPr>
          <w:kern w:val="2"/>
          <w:sz w:val="18"/>
        </w:rPr>
        <w:t>HISTORICAL NOTE:</w:t>
      </w:r>
      <w:r w:rsidRPr="006E50FF">
        <w:rPr>
          <w:kern w:val="2"/>
          <w:sz w:val="18"/>
        </w:rPr>
        <w:tab/>
        <w:t>Promulgated by the Department of Environmental Quality, Office of Solid and Hazardous Waste, Solid Waste Division, LR 18:39 (January 1992), amended LR 20:1001 (September 1994), amended by the Office of Environmental Assessment, Environmental Planning Division, LR 26:2776 (December 2000), LR 27:830 (June 2001), amended by the Office of the Secretary, Legal Affairs Division, LR 31:2502 (October 2005), LR 33:2158 (October 2007), amended by the Office of the Secretary, Legal Division, LR 42:253 (February 2016), amended by the Office of the Secretary, Legal Affairs Division, LR 52:</w:t>
      </w:r>
    </w:p>
    <w:p w14:paraId="0FE3ECA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6" w:name="TOC_Sect203"/>
      <w:bookmarkStart w:id="547" w:name="TOC_Sect235"/>
      <w:r w:rsidRPr="006E50FF">
        <w:rPr>
          <w:b/>
          <w:kern w:val="2"/>
        </w:rPr>
        <w:t>§10518.</w:t>
      </w:r>
      <w:r w:rsidRPr="006E50FF">
        <w:rPr>
          <w:b/>
          <w:kern w:val="2"/>
        </w:rPr>
        <w:tab/>
        <w:t>Standard Waste Tire Collection Center Permit Application</w:t>
      </w:r>
      <w:bookmarkEnd w:id="546"/>
    </w:p>
    <w:p w14:paraId="35FB2AD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A.14.e.i.</w:t>
      </w:r>
      <w:r w:rsidRPr="006E50FF">
        <w:rPr>
          <w:kern w:val="2"/>
        </w:rPr>
        <w:tab/>
        <w:t>…</w:t>
      </w:r>
    </w:p>
    <w:p w14:paraId="7FA8832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maximum number of waste tires stored at any one time;</w:t>
      </w:r>
    </w:p>
    <w:p w14:paraId="7EBD5133" w14:textId="77777777" w:rsidR="006E50FF" w:rsidRPr="006E50FF" w:rsidRDefault="006E50FF" w:rsidP="006E50FF">
      <w:pPr>
        <w:tabs>
          <w:tab w:val="left" w:pos="720"/>
          <w:tab w:val="left" w:pos="979"/>
          <w:tab w:val="left" w:pos="1152"/>
          <w:tab w:val="left" w:pos="1890"/>
        </w:tabs>
        <w:ind w:firstLine="360"/>
        <w:jc w:val="both"/>
        <w:outlineLvl w:val="4"/>
        <w:rPr>
          <w:kern w:val="2"/>
        </w:rPr>
      </w:pPr>
      <w:r w:rsidRPr="006E50FF">
        <w:rPr>
          <w:kern w:val="2"/>
        </w:rPr>
        <w:t>14.e.iii. - 16.b.</w:t>
      </w:r>
      <w:r w:rsidRPr="006E50FF">
        <w:rPr>
          <w:kern w:val="2"/>
        </w:rPr>
        <w:tab/>
        <w:t>…</w:t>
      </w:r>
    </w:p>
    <w:p w14:paraId="3FE11B7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maximum inventory of waste tires on-site at any one time over the active life of the facility;</w:t>
      </w:r>
    </w:p>
    <w:p w14:paraId="39E7B3DE" w14:textId="77777777" w:rsidR="006E50FF" w:rsidRPr="006E50FF" w:rsidRDefault="006E50FF" w:rsidP="006E50FF">
      <w:pPr>
        <w:tabs>
          <w:tab w:val="left" w:pos="907"/>
        </w:tabs>
        <w:ind w:firstLine="547"/>
        <w:jc w:val="both"/>
        <w:outlineLvl w:val="5"/>
        <w:rPr>
          <w:kern w:val="2"/>
        </w:rPr>
      </w:pPr>
      <w:r w:rsidRPr="006E50FF">
        <w:rPr>
          <w:kern w:val="2"/>
        </w:rPr>
        <w:t>d. - e.</w:t>
      </w:r>
      <w:r w:rsidRPr="006E50FF">
        <w:rPr>
          <w:kern w:val="2"/>
        </w:rPr>
        <w:tab/>
        <w:t>…</w:t>
      </w:r>
    </w:p>
    <w:p w14:paraId="08EC2D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17.</w:t>
      </w:r>
      <w:r w:rsidRPr="006E50FF">
        <w:rPr>
          <w:kern w:val="2"/>
        </w:rPr>
        <w:tab/>
        <w:t>site closure financial assurance fund submitted in accordance with LAC 33:VII.10547.A and the sample documents in LAC 33:VII.11103;</w:t>
      </w:r>
    </w:p>
    <w:p w14:paraId="6794D0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A.18. - B.</w:t>
      </w:r>
      <w:r w:rsidRPr="006E50FF">
        <w:rPr>
          <w:kern w:val="2"/>
        </w:rPr>
        <w:tab/>
        <w:t>…</w:t>
      </w:r>
    </w:p>
    <w:p w14:paraId="530FB3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Storage of Waste Tires and Waste Tire Material </w:t>
      </w:r>
    </w:p>
    <w:p w14:paraId="1C6784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waste tires or waste tire material shall be stored, or allowed to be stored, in a manner that may cause a nuisance, health hazard, or detriment to the environment as determined by the administrative authority.</w:t>
      </w:r>
    </w:p>
    <w:p w14:paraId="4A4C8A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Unless authorized or approved by the administrative authority, no waste tires or waste tire material shall be stored, or allowed to be stored, at an off-site location unless the off-site location is an authorized waste tire transfer station, collection, or processing facility.</w:t>
      </w:r>
    </w:p>
    <w:p w14:paraId="7569E6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Waste tires or waste tire material shall not be stored on-site for greater than 365 days, without approval from the Office of Environmental Services. The facility shall maintain records indicating the time frame that waste tires or waste tire material has been stored.</w:t>
      </w:r>
    </w:p>
    <w:p w14:paraId="7ACC11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tires and/or waste tire material shall be segregated by type.</w:t>
      </w:r>
    </w:p>
    <w:p w14:paraId="01CEC0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3C4D09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42:254 (February 2016), amended by the Office of the Secretary, Legal Affairs Division, LR 52:</w:t>
      </w:r>
    </w:p>
    <w:p w14:paraId="60846C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§10519.</w:t>
      </w:r>
      <w:r w:rsidRPr="006E50FF">
        <w:rPr>
          <w:b/>
          <w:kern w:val="2"/>
        </w:rPr>
        <w:tab/>
        <w:t>Standards and Responsibilities of Waste Tire Generators and Sellers of Tires</w:t>
      </w:r>
      <w:bookmarkEnd w:id="547"/>
    </w:p>
    <w:p w14:paraId="533AF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generators of waste tires that store more than 20 waste tires and/or a person who sells new or used tires shall obtain an active generator identification number by notifying the Office of Environmental Services using a form available on the department’s website within 30 days after first storing more than 20 waste tires and/or selling new or used tires at the location specified in the notification. The assignment of an active generator identification number shall serve as proof of this notification to the department by the generator. However, if a generator moves to another location, the generator shall obtain a new generator identification number for the facility, as generator identification numbers are site-specific. Failure to submit a timely and complete form, or obtain an active generator identification number, shall constitute a violation of these regulations and subject the applicant to enforcement action up to and including the assessment of civil penalties. Incomplete forms will not be accepted for review. The administrative authority shall notify the applicant when the form is determined to be incomplete. If the applicant elects to continue with the process, the applicant shall follow the requirements provided in the notice. The form shall be completed following the information provided in the form guidance document, if applicable. The information shall include:</w:t>
      </w:r>
    </w:p>
    <w:p w14:paraId="17DAA6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type of application;</w:t>
      </w:r>
    </w:p>
    <w:p w14:paraId="3A3F54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name of business or governmental organization;</w:t>
      </w:r>
    </w:p>
    <w:p w14:paraId="2A902C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name of business owner;</w:t>
      </w:r>
    </w:p>
    <w:p w14:paraId="781204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facility physical address including city, parish, and zip code;</w:t>
      </w:r>
    </w:p>
    <w:p w14:paraId="66544B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business mailing address, if different from facility address;</w:t>
      </w:r>
    </w:p>
    <w:p w14:paraId="4AE8C3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business telephone number and email address;</w:t>
      </w:r>
    </w:p>
    <w:p w14:paraId="5EA8BA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waste tire contact person name, phone number, and email address, if different from business owner and business contact information;</w:t>
      </w:r>
    </w:p>
    <w:p w14:paraId="0A0CEE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name of property owner and signed lease agreement, if property owner other than business owner;</w:t>
      </w:r>
    </w:p>
    <w:p w14:paraId="2D315A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federal and state tax identification numbers;</w:t>
      </w:r>
    </w:p>
    <w:p w14:paraId="596043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generation of tires/function of business;</w:t>
      </w:r>
    </w:p>
    <w:p w14:paraId="5CFD43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 driver’s license copy or corporate ID;</w:t>
      </w:r>
    </w:p>
    <w:p w14:paraId="7B1A1E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a copy of the Secretary of State Certificate; and</w:t>
      </w:r>
    </w:p>
    <w:p w14:paraId="3402F9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certification that all information provided is true, accurate, and complete.</w:t>
      </w:r>
    </w:p>
    <w:p w14:paraId="713747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J.2.</w:t>
      </w:r>
      <w:r w:rsidRPr="006E50FF">
        <w:rPr>
          <w:kern w:val="2"/>
        </w:rPr>
        <w:tab/>
        <w:t>…</w:t>
      </w:r>
    </w:p>
    <w:p w14:paraId="70BB31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No waste tires shall be stored or allowed to be stored long enough to cause a nuisance, health hazard, or detriment to the environment as determined by the administrative authority. No waste tires shall be stored on-site for greater than 365 days without approval from the administrative authority. The facility shall maintain records indicating the time frame during which waste has been stored. No more than 150 waste tires shall be stored at the generator’s place of business at one time, unless stored indoors or in a transportable collection container. A waste tire storage container shall:</w:t>
      </w:r>
    </w:p>
    <w:p w14:paraId="585D67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prevent access by rodents and insects;</w:t>
      </w:r>
    </w:p>
    <w:p w14:paraId="126202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minimize the escape of odor to the maximum extent possible; and</w:t>
      </w:r>
    </w:p>
    <w:p w14:paraId="54FB23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keep out water and prevent leakage.</w:t>
      </w:r>
    </w:p>
    <w:p w14:paraId="417B04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No waste tire generator shall allow the removal of waste tires from his place of business by anyone other than an authorized transporter, unless the waste tire generator generates 50 or less waste tires per calendar month from the sale of 50 tires. In this case, the waste tire generator may transport up to 20 waste tires per day to a permitted processing facility.</w:t>
      </w:r>
    </w:p>
    <w:p w14:paraId="276F51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 - P.</w:t>
      </w:r>
      <w:r w:rsidRPr="006E50FF">
        <w:rPr>
          <w:kern w:val="2"/>
        </w:rPr>
        <w:tab/>
        <w:t>…</w:t>
      </w:r>
    </w:p>
    <w:p w14:paraId="74A37B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In addition to the applicable requirements of this Section, qualified scrap or salvage yards shall make available to the administrative authority the register of business transactions, and also maintain a record of the number of tires recovered from Louisiana-titled vehicles, which tires are resold. These records shall be maintained for a minimum of five years and shall be made available for audit and/or inspection at their place of business during regular business hours.</w:t>
      </w:r>
    </w:p>
    <w:p w14:paraId="3ECB61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w:t>
      </w:r>
    </w:p>
    <w:p w14:paraId="1B5FAF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40E9BD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18:40 (January 1992), amended LR 20:1001 (September 1994), amended by the Office of Environmental Assessment, Environmental Planning Division, LR 26:2777 (December 2000), LR 27:830 (June 2001), LR 27:2227 (December 2001), LR 28:1953 (September 2002), LR 29:1818 (September 2003), LR 29:2780 (December 2003), amended by the Office of Environmental Assessment, LR 31:1323 (June 2005), amended by the Office of the Secretary, Legal Affairs Division, LR 31:2503 (October 2005), LR 33:90 (January 2007), LR 33:2158 (October 2007), amended by the Office of the Secretary, Legal Division, LR 42:255 (February 2016), amended by the Office of the Secretary, Legal Affairs and Criminal Investigations Division, LR 45:660 (May 2019), amended by the Office of the Secretary, Legal Affairs Division, LR 52:</w:t>
      </w:r>
    </w:p>
    <w:p w14:paraId="620A1F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8" w:name="TOC_Sect236"/>
      <w:r w:rsidRPr="006E50FF">
        <w:rPr>
          <w:b/>
          <w:kern w:val="2"/>
        </w:rPr>
        <w:lastRenderedPageBreak/>
        <w:t>§10521.</w:t>
      </w:r>
      <w:r w:rsidRPr="006E50FF">
        <w:rPr>
          <w:b/>
          <w:kern w:val="2"/>
        </w:rPr>
        <w:tab/>
        <w:t>Standards and Responsibilities of Sellers of Motor Vehicles</w:t>
      </w:r>
      <w:bookmarkEnd w:id="548"/>
    </w:p>
    <w:p w14:paraId="397353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859B5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Motor vehicle dealers doing business in the state of Louisiana, who sell new vehicles, shall be responsible for the collection from the consumer of the $2.25 waste tire fee for each tire upon the sale of each vehicle with passenger/light truck tires, the $5 waste tire fee for each tire upon the sale of each vehicle with medium truck tires, and the $10 waste tire fee for each tire upon the sale of each off-road vehicle. These fees shall also be collected upon replacement of all recall and adjustment tires. The department does not require the collection of fees on the sale of a vehicle with tires weighing 500 pounds or more, solid tires, or tires which are de minimis in nature, including but not limited to lawn mower tires, bicycle tires, and golf cart tires.</w:t>
      </w:r>
    </w:p>
    <w:p w14:paraId="44A112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D.2.</w:t>
      </w:r>
      <w:r w:rsidRPr="006E50FF">
        <w:rPr>
          <w:kern w:val="2"/>
        </w:rPr>
        <w:tab/>
        <w:t>…</w:t>
      </w:r>
    </w:p>
    <w:p w14:paraId="724DCB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maintain and preserve records as may be necessary to readily determine the amount of fee due. Each dealer shall maintain a complete record of the quantity of vehicles sold, together with vehicle purchase and sales invoices, inventory records, and monthly waste tire fee reports, for a period of no less than five years; and</w:t>
      </w:r>
    </w:p>
    <w:p w14:paraId="2D9135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D.4. - E.</w:t>
      </w:r>
      <w:r w:rsidRPr="006E50FF">
        <w:rPr>
          <w:kern w:val="2"/>
        </w:rPr>
        <w:tab/>
        <w:t>...</w:t>
      </w:r>
    </w:p>
    <w:p w14:paraId="36C891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Motor vehicle dealers shall prominently display to the public the notification provided by the administrative authority, indicating that:</w:t>
      </w:r>
    </w:p>
    <w:p w14:paraId="477FA1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65C8C67" w14:textId="77777777" w:rsidR="006E50FF" w:rsidRPr="006E50FF" w:rsidRDefault="006E50FF" w:rsidP="006E50FF">
      <w:pPr>
        <w:ind w:left="432" w:right="432"/>
        <w:jc w:val="both"/>
        <w:rPr>
          <w:noProof/>
          <w:sz w:val="16"/>
          <w:szCs w:val="16"/>
        </w:rPr>
      </w:pPr>
      <w:r w:rsidRPr="006E50FF">
        <w:rPr>
          <w:noProof/>
          <w:sz w:val="16"/>
          <w:szCs w:val="16"/>
        </w:rPr>
        <w:t>“All Louisiana motor vehicle dealers selling new vehicles are required to collect a waste tire cleanup and recycling fee from the consumer of $2.25 for each passenger/light truck tire, $5 for each medium truck tire, and $10 for each off-road tire, upon the sale of each new motor vehicle. These fees shall also be collected upon replacement of all recall and adjustment tires. The department does not require the collection of fees on the sale of tires weighing 500 pounds or more, solid tires, or tires which are de minimis in nature, including but not limited to lawn mower tires, bicycle tires, and golf cart tires.”</w:t>
      </w:r>
    </w:p>
    <w:p w14:paraId="2782F514" w14:textId="77777777" w:rsidR="006E50FF" w:rsidRPr="006E50FF" w:rsidRDefault="006E50FF" w:rsidP="006E50FF">
      <w:pPr>
        <w:ind w:left="432" w:right="432"/>
        <w:jc w:val="both"/>
        <w:rPr>
          <w:bCs/>
          <w:noProof/>
          <w:sz w:val="16"/>
          <w:szCs w:val="16"/>
        </w:rPr>
      </w:pPr>
    </w:p>
    <w:p w14:paraId="6600D9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w:t>
      </w:r>
    </w:p>
    <w:p w14:paraId="49B08F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 motor vehicle dealer who ceases the sale of motor vehicles at the registered location shall notify the administrative authority in writing within 10 days of the date of the closure or relocation of the business. This written notice shall include information regarding the location and accessibility of the records required by Subsection D of this Section.</w:t>
      </w:r>
    </w:p>
    <w:p w14:paraId="1591138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J.</w:t>
      </w:r>
      <w:r w:rsidRPr="006E50FF">
        <w:rPr>
          <w:kern w:val="2"/>
        </w:rPr>
        <w:tab/>
        <w:t>…</w:t>
      </w:r>
    </w:p>
    <w:p w14:paraId="79A655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D23DE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LR 31:1324 (June 2005), amended by the Office of the Secretary, Legal Affairs Division, LR 33:91 (January 2007), LR 33:2158 (October 2007), amended by the Office of the Secretary, Legal Division, LR 42:256 (February 2016), amended by the Office of the Secretary, Legal Affairs and Criminal Investigations Division, LR 45:660 (May 2019), amended by the Office of the Secretary, Legal Affairs Division, LR 52:</w:t>
      </w:r>
    </w:p>
    <w:p w14:paraId="6412A8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9" w:name="TOC_Sect239"/>
      <w:r w:rsidRPr="006E50FF">
        <w:rPr>
          <w:b/>
          <w:kern w:val="2"/>
        </w:rPr>
        <w:t>§10523.</w:t>
      </w:r>
      <w:r w:rsidRPr="006E50FF">
        <w:rPr>
          <w:b/>
          <w:kern w:val="2"/>
        </w:rPr>
        <w:tab/>
        <w:t>Standards and Responsibilities of Waste Tire Transporters</w:t>
      </w:r>
    </w:p>
    <w:p w14:paraId="3AD524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DDAFC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No person shall transport more than 20 waste tires without a valid transporter authorization certificate or other authorization issued by the department and a completed </w:t>
      </w:r>
      <w:r w:rsidRPr="006E50FF">
        <w:rPr>
          <w:kern w:val="2"/>
        </w:rPr>
        <w:t>manifest satisfying the requirements of LAC 33:VII.10534. The manifest provision shall not apply to state and local governments utilizing vehicles to transport waste tires from rights-of-way to government agency collection centers satisfying the requirements of LAC 33:VII.10527.H.</w:t>
      </w:r>
    </w:p>
    <w:p w14:paraId="751CDA4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K.</w:t>
      </w:r>
      <w:r w:rsidRPr="006E50FF">
        <w:rPr>
          <w:kern w:val="2"/>
        </w:rPr>
        <w:tab/>
        <w:t>...</w:t>
      </w:r>
    </w:p>
    <w:p w14:paraId="6EEFD187" w14:textId="60F64C92"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00BE1FDA">
        <w:rPr>
          <w:kern w:val="2"/>
          <w:sz w:val="18"/>
        </w:rPr>
        <w:tab/>
      </w:r>
      <w:r w:rsidRPr="006E50FF">
        <w:rPr>
          <w:kern w:val="2"/>
          <w:sz w:val="18"/>
        </w:rPr>
        <w:t>Promulgated in accordance with R.S. 30:2411 et seq.</w:t>
      </w:r>
      <w:r w:rsidRPr="006E50FF">
        <w:rPr>
          <w:kern w:val="2"/>
          <w:sz w:val="18"/>
        </w:rPr>
        <w:tab/>
      </w:r>
    </w:p>
    <w:p w14:paraId="0146172A" w14:textId="4BAED2D9"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00BE1FDA">
        <w:rPr>
          <w:kern w:val="2"/>
          <w:sz w:val="18"/>
        </w:rPr>
        <w:tab/>
      </w:r>
      <w:r w:rsidRPr="006E50FF">
        <w:rPr>
          <w:kern w:val="2"/>
          <w:sz w:val="18"/>
        </w:rPr>
        <w:t>Promulgated by the Department of Environmental Quality, Office of Solid and Hazardous Waste, Solid Waste Division, LR 18:41 (January 1992), amended LR 20:1001 (September 1994), amended by the Office of Environmental Assessment, Environmental Planning Division, LR 26:2778 (December 2000), LR 27:831 (June 2001), repromulgated LR 27:1885 (November 2001), amended by the Office of the Secretary, Legal Affairs Division, LR 31:2503 (October 2005), LR 33:2159 (October 2007), amended by the Office of the Secretary, Legal Division, LR 42:257 (February 2016), amended by the Office of the Secretary, Legal Affairs Division, LR 52:</w:t>
      </w:r>
    </w:p>
    <w:p w14:paraId="78F3681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§10525.</w:t>
      </w:r>
      <w:r w:rsidRPr="006E50FF">
        <w:rPr>
          <w:b/>
          <w:kern w:val="2"/>
        </w:rPr>
        <w:tab/>
        <w:t>Standards and Responsibilities of Waste Tire Processors</w:t>
      </w:r>
      <w:bookmarkEnd w:id="549"/>
    </w:p>
    <w:p w14:paraId="2CEE3A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w:t>
      </w:r>
      <w:r w:rsidRPr="006E50FF">
        <w:rPr>
          <w:kern w:val="2"/>
        </w:rPr>
        <w:tab/>
        <w:t>…</w:t>
      </w:r>
    </w:p>
    <w:p w14:paraId="4A3944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Processors may accept no more than 20 unmanifested waste tires from a person, per day, per vehicle, unless a waiver is granted by the administrative authority in accordance with LAC 33:VII.10529.A.2. However, the processor will only be eligible for reimbursement from the waste tire management fund for 20 of the unmanifested waste tires received, provided the tires are defined as </w:t>
      </w:r>
      <w:r w:rsidRPr="006E50FF">
        <w:rPr>
          <w:i/>
          <w:kern w:val="2"/>
        </w:rPr>
        <w:t>program eligible waste tires</w:t>
      </w:r>
      <w:r w:rsidRPr="006E50FF">
        <w:rPr>
          <w:kern w:val="2"/>
        </w:rPr>
        <w:t>. The processor shall maintain the unmanifested waste tire log on a form provided by the administrative authority for all unmanifested waste tires. The log shall include, at the minimum, the following:</w:t>
      </w:r>
    </w:p>
    <w:p w14:paraId="11F3AF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B.2.a. - D.7.</w:t>
      </w:r>
      <w:r w:rsidRPr="006E50FF">
        <w:rPr>
          <w:kern w:val="2"/>
        </w:rPr>
        <w:tab/>
        <w:t>…</w:t>
      </w:r>
    </w:p>
    <w:p w14:paraId="4C986F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Permitted processors who have an effective processor’s agreement shall submit an annual report on all approved end-market use projects to the administrative authority. This report is due no later than January 31 of each year for the previous year’s activities, and shall identify approved projects, the amount of all waste tires and/or waste tire material used in each approved project within the last year, and the date of completion of each project, if applicable.</w:t>
      </w:r>
    </w:p>
    <w:p w14:paraId="0EEE85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G.3.</w:t>
      </w:r>
      <w:r w:rsidRPr="006E50FF">
        <w:rPr>
          <w:kern w:val="2"/>
        </w:rPr>
        <w:tab/>
        <w:t>…</w:t>
      </w:r>
    </w:p>
    <w:p w14:paraId="6F7D38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enter into a written agreement with the local fire department ensuring response to a fire at the facility;</w:t>
      </w:r>
    </w:p>
    <w:p w14:paraId="31DD7E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- 13.</w:t>
      </w:r>
      <w:r w:rsidRPr="006E50FF">
        <w:rPr>
          <w:kern w:val="2"/>
        </w:rPr>
        <w:tab/>
        <w:t>…</w:t>
      </w:r>
    </w:p>
    <w:p w14:paraId="1950C4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all permitted waste tire processors shall maintain a site closure financial assurance fund in an amount based on the maximum number of pounds of waste tires and/or waste tire material that will be stored at the processing facility site at any one time. This fund shall be in the form of a financial guarantee bond, performance bond, or an irrevocable letter of credit. A standby trust fund shall be maintained for the financial assurance mechanism that is chosen by the facility. The financial guarantee bond, performance bond, irrevocable letter of credit, or standby trust fund shall use the exact language included in the documents in LAC 33:VII.11103.B. The financial assurance shall be submitted to the department annually;</w:t>
      </w:r>
    </w:p>
    <w:p w14:paraId="4A99E6A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permits issued after [date of promulgation], the value of the fund shall be in the amount of $105 per ton of waste tires and/or waste tire material on the site and $652 per ton of waste tires weighing greater than 500 pounds at the time of sale;</w:t>
      </w:r>
    </w:p>
    <w:p w14:paraId="0D325EC7" w14:textId="77777777" w:rsidR="006E50FF" w:rsidRPr="006E50FF" w:rsidRDefault="006E50FF" w:rsidP="006E50FF">
      <w:pPr>
        <w:tabs>
          <w:tab w:val="left" w:pos="907"/>
        </w:tabs>
        <w:ind w:firstLine="547"/>
        <w:jc w:val="both"/>
        <w:outlineLvl w:val="5"/>
        <w:rPr>
          <w:kern w:val="2"/>
        </w:rPr>
      </w:pPr>
      <w:r w:rsidRPr="006E50FF">
        <w:rPr>
          <w:kern w:val="2"/>
        </w:rPr>
        <w:lastRenderedPageBreak/>
        <w:t>b.</w:t>
      </w:r>
      <w:r w:rsidRPr="006E50FF">
        <w:rPr>
          <w:kern w:val="2"/>
        </w:rPr>
        <w:tab/>
        <w:t>for permits issued prior to [date of promulgation], the permit holder shall follow the existing permit and the value of the fund shall be in the amount of:</w:t>
      </w:r>
    </w:p>
    <w:p w14:paraId="606A9E0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$40 per ton of waste tires and/or waste tire material on the site and $300 per ton of waste tires weighing greater than 500 pounds at time of sale, after [six months after date of promulgation];</w:t>
      </w:r>
    </w:p>
    <w:p w14:paraId="753E6D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$60 per ton of waste tires and/or waste tire material on the site and $652 per ton of waste tires weighing greater than 500 pounds at time of sale, after [18 months after the date of promulgation];</w:t>
      </w:r>
    </w:p>
    <w:p w14:paraId="770B298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$80 per ton of waste tires and/or waste tire material on the site and $652 per ton of waste tires weighing greater than 500 pounds at the time of sale, after [30 months from date of promulgation]; and</w:t>
      </w:r>
    </w:p>
    <w:p w14:paraId="0246297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$105 per ton of waste tires and/or waste tire material on the site and $652 per ton of waste tires weighing greater than 500 pounds at the time of sale, after [42 months after date of promulgation];</w:t>
      </w:r>
    </w:p>
    <w:p w14:paraId="58B298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 - 15.b.</w:t>
      </w:r>
      <w:r w:rsidRPr="006E50FF">
        <w:rPr>
          <w:kern w:val="2"/>
        </w:rPr>
        <w:tab/>
        <w:t>…</w:t>
      </w:r>
    </w:p>
    <w:p w14:paraId="569D862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the estimates provided are lower than the required amount detailed in Paragraph 14 of this Subsection, the administrative authority shall evaluate the estimates submitted and determine the amount of financial assurance that the processor is required to provide;</w:t>
      </w:r>
    </w:p>
    <w:p w14:paraId="7430A3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financial assurances for closure activities shall be in conformity with the standards contained in LAC 33:VII.10547.A and the sample documents in LAC 33:VII.11103.</w:t>
      </w:r>
    </w:p>
    <w:p w14:paraId="08FDE9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Processors shall only deliver waste tires and/or waste tire material to end-market users in the amount approved by the administrative authority and shall not deliver waste tires and/or waste tire material in anticipation, or prior to approval, of end-market use projects. Processors violating this provision shall promptly remove any improperly delivered waste tires and/or waste tire material and either properly dispose of and/or find another approved end-market use for the waste tires and/or waste tire material. In any case, the use of improperly delivered waste tires and/or waste tire material shall not entitle the processor to an additional payment from the waste tire management fund. In the event the processor chooses to properly dispose of the material, he shall reimburse the waste tire management fund for any payments received for the disposed material.</w:t>
      </w:r>
    </w:p>
    <w:p w14:paraId="100218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L.</w:t>
      </w:r>
      <w:r w:rsidRPr="006E50FF">
        <w:rPr>
          <w:kern w:val="2"/>
        </w:rPr>
        <w:tab/>
        <w:t>…</w:t>
      </w:r>
    </w:p>
    <w:p w14:paraId="3B5FD2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Storage of Waste Tires and Waste Tire Material</w:t>
      </w:r>
    </w:p>
    <w:p w14:paraId="660FE7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waste tires or waste tire material shall be stored, or allowed to be stored, in a manner that may cause a nuisance, health hazard, or detriment to the environment as determined by the administrative authority.</w:t>
      </w:r>
    </w:p>
    <w:p w14:paraId="0B3819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Unless authorized or approved by the administrative authority, no waste tires or waste tire material shall be stored, or allowed to be stored, at an off-site location unless such off-site location is an authorized waste tire transfer station, collection center, or processing facility.</w:t>
      </w:r>
    </w:p>
    <w:p w14:paraId="02412A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Waste tires or waste tire material may not be stored on-site for greater than 365 days, without approval from the Office of Environmental Services. The facility shall maintain records indicating the time frame that waste tires or waste tire material has been stored.</w:t>
      </w:r>
    </w:p>
    <w:p w14:paraId="191A8A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tires and/or waste tire material shall be segregated by type.</w:t>
      </w:r>
    </w:p>
    <w:p w14:paraId="2A345D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Temporary Exceedance of Permitted Storage Capacity</w:t>
      </w:r>
    </w:p>
    <w:p w14:paraId="35FAD1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waste tire processor may request a temporary exceedance of its existing permitted storage capacity provided that the processor complies with the following conditions.</w:t>
      </w:r>
    </w:p>
    <w:p w14:paraId="7254324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waste tire processor shall notify the Office of Environmental Services within 30 days of a planned event or within 72 hours of an unplanned event that has the potential to cause the facility to exceed its permitted storage capacity.</w:t>
      </w:r>
    </w:p>
    <w:p w14:paraId="2319F56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temporary exceedance of the permitted storage capacity shall last no longer than 60 calendar days from the start of the event. The waste tire processor may request an extension of up to 30 additional calendar days per submittal. Any such extension may be granted at the discretion of the administrative authority and be evaluated on a case-by-case basis. Temporary exceedances of permitted storage capacity shall last no longer than 180 days, unless a permit modification has been submitted to the Office of Environmental Services on or before the 180th day.</w:t>
      </w:r>
    </w:p>
    <w:p w14:paraId="35E87D5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temporary exceedance of permitted storage capacity shall not exceed 60 times the daily permitted processing capacity of the processing facility at any one time.</w:t>
      </w:r>
    </w:p>
    <w:p w14:paraId="331DFF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request for a temporary exceedance of its existing permitted storage capacity shall include:</w:t>
      </w:r>
    </w:p>
    <w:p w14:paraId="20DDAE2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reason(s) why the temporary exceedance of its existing permitted storage capacity is needed;</w:t>
      </w:r>
    </w:p>
    <w:p w14:paraId="736DE92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beginning date of the temporary exceedance;</w:t>
      </w:r>
    </w:p>
    <w:p w14:paraId="5A973E3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anticipated end date for the temporary exceedance;</w:t>
      </w:r>
    </w:p>
    <w:p w14:paraId="773B6A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description of any changes to the management of waste tires stored during the temporary exceedance of storage capacity; and</w:t>
      </w:r>
    </w:p>
    <w:p w14:paraId="3D6CB1E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any additional information requested by the administrative authority.</w:t>
      </w:r>
    </w:p>
    <w:p w14:paraId="0DF1BA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0D83AA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18:41 (January 1992), amended LR 20:1001 (September 1994), LR 22:1213 (December 1996), amended by the Office of Environmental Assessment, Environmental Planning Division, LR 26:2779 (December 2000), LR 27:831 (June 2001), LR 27:2228 (December 2001), LR 28:1953 (September 2002), LR 29:2780 (December 2003), amended by the Office of the Secretary, Legal Affairs Division, LR 31:2503 (October 2005), LR 33:2159 (October 2007), amended by the Office of the Secretary, Legal Division, LR 42:259 (February 2016), amended by the Office of the Secretary, Legal Affairs Division, LR 52:</w:t>
      </w:r>
    </w:p>
    <w:p w14:paraId="0F275A8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0" w:name="TOC_Sect240"/>
      <w:r w:rsidRPr="006E50FF">
        <w:rPr>
          <w:b/>
          <w:kern w:val="2"/>
        </w:rPr>
        <w:t>§10527.</w:t>
      </w:r>
      <w:r w:rsidRPr="006E50FF">
        <w:rPr>
          <w:b/>
          <w:kern w:val="2"/>
        </w:rPr>
        <w:tab/>
        <w:t>Standards and Responsibilities for Waste Tire Collection Centers</w:t>
      </w:r>
      <w:bookmarkEnd w:id="550"/>
    </w:p>
    <w:p w14:paraId="73C7C7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522A37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Each collection center shall accept no more than 20 unmanifested waste tires per individual, per day, per vehicle, unless a waiver is granted by the administrative authority in accordance with LAC 33:VII.10529.A.2. However, only 20 tires shall be eligible, provided the tires are defined as </w:t>
      </w:r>
      <w:r w:rsidRPr="006E50FF">
        <w:rPr>
          <w:i/>
          <w:kern w:val="2"/>
        </w:rPr>
        <w:t>program eligible waste tires</w:t>
      </w:r>
      <w:r w:rsidRPr="006E50FF">
        <w:rPr>
          <w:kern w:val="2"/>
        </w:rPr>
        <w:t>. The collection center shall maintain on a form available on the department’s website, the unmanifested waste tire log of all unmanifested waste tires. The log shall include, at the minimum, the following:</w:t>
      </w:r>
    </w:p>
    <w:p w14:paraId="389CFD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A.2.a. - B.1.</w:t>
      </w:r>
      <w:r w:rsidRPr="006E50FF">
        <w:rPr>
          <w:kern w:val="2"/>
        </w:rPr>
        <w:tab/>
        <w:t>…</w:t>
      </w:r>
    </w:p>
    <w:p w14:paraId="79C0A9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maintain a buffer zone of 100 feet. Waste tires shall not be placed in the buffer zone. A reduction in this requirement shall be allowed only with permission, in the form of a notarized affidavit, from all landowners having an </w:t>
      </w:r>
      <w:r w:rsidRPr="006E50FF">
        <w:rPr>
          <w:kern w:val="2"/>
        </w:rPr>
        <w:lastRenderedPageBreak/>
        <w:t>ownership interest in property located less than 100 feet from the facility. The collection center operator shall enter a copy of the notarized affidavit(s) in the conveyance records of the parish or parishes in which the landowners’ properties are located;</w:t>
      </w:r>
    </w:p>
    <w:p w14:paraId="6F3107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470BD704" w14:textId="77777777" w:rsidR="006E50FF" w:rsidRPr="006E50FF" w:rsidRDefault="006E50FF" w:rsidP="006E50FF">
      <w:pPr>
        <w:tabs>
          <w:tab w:val="left" w:pos="720"/>
          <w:tab w:val="left" w:pos="979"/>
          <w:tab w:val="left" w:pos="1152"/>
        </w:tabs>
        <w:ind w:firstLine="360"/>
        <w:jc w:val="both"/>
        <w:outlineLvl w:val="4"/>
        <w:rPr>
          <w:kern w:val="2"/>
          <w:szCs w:val="24"/>
        </w:rPr>
      </w:pPr>
      <w:r w:rsidRPr="006E50FF">
        <w:rPr>
          <w:kern w:val="2"/>
          <w:szCs w:val="24"/>
        </w:rPr>
        <w:t>4.</w:t>
      </w:r>
      <w:r w:rsidRPr="006E50FF">
        <w:rPr>
          <w:kern w:val="2"/>
          <w:szCs w:val="24"/>
        </w:rPr>
        <w:tab/>
      </w:r>
      <w:r w:rsidRPr="006E50FF">
        <w:rPr>
          <w:kern w:val="2"/>
        </w:rPr>
        <w:t>enter into a written agreement with the local fire department ensuring response to a fire at the facility;</w:t>
      </w:r>
    </w:p>
    <w:p w14:paraId="2C447C29"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5.</w:t>
      </w:r>
      <w:r w:rsidRPr="006E50FF">
        <w:rPr>
          <w:kern w:val="2"/>
        </w:rPr>
        <w:tab/>
        <w:t>develop and implement a fire protection and safety plan for the facility to ensure personnel protection and minimize impact to the environment; emergency control plan in case of fire or accident, etc. that:</w:t>
      </w:r>
    </w:p>
    <w:p w14:paraId="5A5C043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designates the fire department, mutual aid society, emergency medical services agency, and hospital with which the facility will coordinate emergency services;</w:t>
      </w:r>
    </w:p>
    <w:p w14:paraId="171A8B3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includes a list of all emergency equipment that shall be kept up to date at the facility, such as fire extinguishing systems, spill control equipment, communications; internal and external alarm systems, and decontamination equipment;</w:t>
      </w:r>
    </w:p>
    <w:p w14:paraId="705BC9F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includes the location and a physical description of each item on the list and a brief outline of its capabilities; and</w:t>
      </w:r>
    </w:p>
    <w:p w14:paraId="0C610FA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includes an evacuation plan for facility personnel and describe signals to be used to begin evacuation, evacuation routes, and alternate evacuation routes;</w:t>
      </w:r>
    </w:p>
    <w:p w14:paraId="02A185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- 11.</w:t>
      </w:r>
      <w:r w:rsidRPr="006E50FF">
        <w:rPr>
          <w:kern w:val="2"/>
        </w:rPr>
        <w:tab/>
        <w:t>…</w:t>
      </w:r>
    </w:p>
    <w:p w14:paraId="097E18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Collection centers shall store no more than 3,000 waste tires at any time.</w:t>
      </w:r>
    </w:p>
    <w:p w14:paraId="456DF1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G.2.</w:t>
      </w:r>
      <w:r w:rsidRPr="006E50FF">
        <w:rPr>
          <w:kern w:val="2"/>
        </w:rPr>
        <w:tab/>
        <w:t>…</w:t>
      </w:r>
    </w:p>
    <w:p w14:paraId="25C5B5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maximum inventory of waste tires ever on-site over the active life of the collection center;</w:t>
      </w:r>
    </w:p>
    <w:p w14:paraId="2CD8FF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- 5.</w:t>
      </w:r>
      <w:r w:rsidRPr="006E50FF">
        <w:rPr>
          <w:kern w:val="2"/>
        </w:rPr>
        <w:tab/>
        <w:t>…</w:t>
      </w:r>
    </w:p>
    <w:p w14:paraId="1BDE13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permitted waste tire collection centers shall maintain a site closure financial assurance fund in an amount based on the maximum number of pounds of waste tires that will be stored at the collection center at any one time. This fund shall be in the form of a financial guarantee bond, performance bond, or an irrevocable letter of credit. A standby trust fund shall be maintained for the financial assurance mechanism that is chosen by the facility. The financial guarantee bond, performance bond, irrevocable letter of credit, or standby trust fund shall use the exact language included in the documents in LAC 33:VII.11103, Appendix B. The financial assurance shall be submitted to the department annually;</w:t>
      </w:r>
    </w:p>
    <w:p w14:paraId="3195E31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permits issued after [date of promulgation], the value of the fund shall be in the amount of $105 per ton of waste tires and/or waste tire material on the site and $652 per ton of waste tires weighing greater than 500 pounds at the time of sale;</w:t>
      </w:r>
    </w:p>
    <w:p w14:paraId="5E356C2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for permits issued prior to [date of promulgation], the permit holder shall follow the existing permit and the value of the fund shall be in the amount of:</w:t>
      </w:r>
    </w:p>
    <w:p w14:paraId="4281FD1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$40 per ton of waste tires and/or waste tire material on the site and $300 per ton of waste tires weighing greater than 500 pounds at time of sale, after [six months after date of promulgation];</w:t>
      </w:r>
    </w:p>
    <w:p w14:paraId="0FD8142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$60 per ton of waste tires and/or waste tire material on the site and $652 per ton of waste tires weighing greater than 500 pounds at time of sale, after [18 months after the date of promulgation];</w:t>
      </w:r>
    </w:p>
    <w:p w14:paraId="6F8B0FF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$80 per ton of waste tires and/or waste tire material on the site and $652 per ton of waste tires weighing greater than 500 pounds at the time of sale, after [30 months from date of promulgation]; and</w:t>
      </w:r>
    </w:p>
    <w:p w14:paraId="44F035B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$105 per ton of waste tires and/or waste tire material on the site and $652 per ton of waste tires weighing greater than 500 pounds at the time of sale, after [42 months after date of promulgation];</w:t>
      </w:r>
    </w:p>
    <w:p w14:paraId="4E4AB1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 - 7.b.</w:t>
      </w:r>
      <w:r w:rsidRPr="006E50FF">
        <w:rPr>
          <w:kern w:val="2"/>
        </w:rPr>
        <w:tab/>
      </w:r>
      <w:r w:rsidRPr="006E50FF">
        <w:rPr>
          <w:kern w:val="2"/>
        </w:rPr>
        <w:sym w:font="Symbol" w:char="F0BC"/>
      </w:r>
    </w:p>
    <w:p w14:paraId="2278648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the estimates provided are lower than the required amount detailed in Paragraph 14 of this Subsection, the administrative authority shall evaluate the estimates submitted and determine the amount of financial assurance that the collection center is required to provide;</w:t>
      </w:r>
    </w:p>
    <w:p w14:paraId="7FB51F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financial assurances for closure activities shall be in conformity with the standards contained in LAC 33:VII.10547.A and the sample documents in LAC 33:VII.11103.</w:t>
      </w:r>
    </w:p>
    <w:p w14:paraId="628FF5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H.2.f.</w:t>
      </w:r>
      <w:r w:rsidRPr="006E50FF">
        <w:rPr>
          <w:kern w:val="2"/>
        </w:rPr>
        <w:tab/>
        <w:t>…</w:t>
      </w:r>
    </w:p>
    <w:p w14:paraId="47DD0B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0602D1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18:41 (January 1992), amended LR 20:1001 (September 1994), amended by the Office of Environmental Assessment, Environmental Planning Division, LR 26:2780 (December 2000), LR 29:2780 (December 2003), amended by the Office of the Secretary, Legal Division, LR 42:261 (February 2016), amended by the Office of the Secretary, Legal Affairs Division, LR 52:</w:t>
      </w:r>
    </w:p>
    <w:p w14:paraId="353998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§10529.</w:t>
      </w:r>
      <w:r w:rsidRPr="006E50FF">
        <w:rPr>
          <w:b/>
          <w:kern w:val="2"/>
        </w:rPr>
        <w:tab/>
        <w:t>Standards and Procedures for Waste Tire Cleanups</w:t>
      </w:r>
    </w:p>
    <w:p w14:paraId="7DA991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Property Owners</w:t>
      </w:r>
    </w:p>
    <w:p w14:paraId="6D50FE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Owners of property on which more than 20 waste tires are stored, deposited, or abandoned but were not generated by a waste tire generator authorized by the administrative authority and managed in accordance with LAC 33:VII.10519, shall:</w:t>
      </w:r>
    </w:p>
    <w:p w14:paraId="5738C6E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provide for and ensure the removal of the waste tires in the following manner;</w:t>
      </w:r>
    </w:p>
    <w:p w14:paraId="3832B02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removed by the property owner and transported to a permitted processing facility in quantities of no more than 20 waste tires per day;</w:t>
      </w:r>
    </w:p>
    <w:p w14:paraId="0B9BCEA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removed by the property owner and transported to an authorized collection center in quantities of no more than five waste tires per day; or</w:t>
      </w:r>
    </w:p>
    <w:p w14:paraId="7353053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in accordance with the department’s single event cleanup procedures outlined in Subsection B of this Section;</w:t>
      </w:r>
    </w:p>
    <w:p w14:paraId="52FC5CE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provide disease vector control measures adequate to protect the safety and health of the public, and keep the site free of excess grass, underbrush, and other harborage; and</w:t>
      </w:r>
    </w:p>
    <w:p w14:paraId="368429A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limit access to the piles to prevent further disposal of tires or other waste.</w:t>
      </w:r>
    </w:p>
    <w:p w14:paraId="073E1C6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written request for a waiver to remove and transport more than five waste tires per day to an authorized collection center, or 20 waste tires per day to a permitted processing facility may be submitted to and approved by the administrative authority on a case-by-case basis.</w:t>
      </w:r>
    </w:p>
    <w:p w14:paraId="74D421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C.1.a.</w:t>
      </w:r>
      <w:r w:rsidRPr="006E50FF">
        <w:rPr>
          <w:kern w:val="2"/>
        </w:rPr>
        <w:tab/>
        <w:t>…</w:t>
      </w:r>
    </w:p>
    <w:p w14:paraId="092106B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unless otherwise approved by the administrative authority, the government agency has not conducted a tire sweep within six months prior to the request.</w:t>
      </w:r>
    </w:p>
    <w:p w14:paraId="530B8D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A maximum of 20 waste tires may be collected per person, unless a written request for a waiver is submitted to and granted by the administrative authority in accordance with Paragraph A.2 of this Section, and no waste tires shall be accepted from businesses. Records of the 20 tires shall be maintained on the unmanifested waste tire log form, available on the department’s website.</w:t>
      </w:r>
    </w:p>
    <w:p w14:paraId="7D4014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C.3. - D.1.</w:t>
      </w:r>
      <w:r w:rsidRPr="006E50FF">
        <w:rPr>
          <w:kern w:val="2"/>
        </w:rPr>
        <w:tab/>
        <w:t>…</w:t>
      </w:r>
    </w:p>
    <w:p w14:paraId="1E4C66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obtain and submit to the administrative authority a police report documenting the incident. If a police report cannot be obtained, a written certification shall be submitted to the administrative authority attesting that all information provided in Paragraph 1 of this Subsection is true and correct;</w:t>
      </w:r>
    </w:p>
    <w:p w14:paraId="7405D5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- 8.</w:t>
      </w:r>
      <w:r w:rsidRPr="006E50FF">
        <w:rPr>
          <w:kern w:val="2"/>
        </w:rPr>
        <w:tab/>
        <w:t>…</w:t>
      </w:r>
    </w:p>
    <w:p w14:paraId="1ED8CF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7E9D17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6E50FF">
        <w:rPr>
          <w:kern w:val="2"/>
          <w:sz w:val="18"/>
        </w:rPr>
        <w:t>HISTORICAL NOTE:</w:t>
      </w:r>
      <w:r w:rsidRPr="006E50FF">
        <w:rPr>
          <w:kern w:val="2"/>
          <w:sz w:val="18"/>
        </w:rPr>
        <w:tab/>
        <w:t>Promulgated by the Department of Environmental Quality, Office of Solid and Hazardous Waste, Solid Waste Division, LR 20:1001 (September 1994), amended by the Office of Environmental Assessment, Environmental Planning Division, LR 26:2780 (December 2000), amended by the Office of the Secretary, Legal Division, LR 42:262 (February 2016), amended by the Office of the Secretary, Legal Affairs Division, LR 52:</w:t>
      </w:r>
    </w:p>
    <w:p w14:paraId="6B96885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1" w:name="TOC_Sect243"/>
      <w:r w:rsidRPr="006E50FF">
        <w:rPr>
          <w:b/>
          <w:kern w:val="2"/>
        </w:rPr>
        <w:t>§10531.</w:t>
      </w:r>
      <w:r w:rsidRPr="006E50FF">
        <w:rPr>
          <w:b/>
          <w:kern w:val="2"/>
        </w:rPr>
        <w:tab/>
        <w:t>Standards and Responsibilities of High Volume End Use Facilities</w:t>
      </w:r>
    </w:p>
    <w:p w14:paraId="08F9D3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733FBAC9" w14:textId="77777777" w:rsidR="006E50FF" w:rsidRPr="006E50FF" w:rsidRDefault="006E50FF" w:rsidP="006E50FF">
      <w:pPr>
        <w:tabs>
          <w:tab w:val="left" w:pos="720"/>
          <w:tab w:val="left" w:pos="979"/>
          <w:tab w:val="left" w:pos="1152"/>
        </w:tabs>
        <w:ind w:firstLine="360"/>
        <w:jc w:val="both"/>
        <w:outlineLvl w:val="4"/>
        <w:rPr>
          <w:kern w:val="2"/>
          <w:szCs w:val="24"/>
        </w:rPr>
      </w:pPr>
      <w:r w:rsidRPr="006E50FF">
        <w:rPr>
          <w:kern w:val="2"/>
          <w:szCs w:val="24"/>
        </w:rPr>
        <w:t>4.</w:t>
      </w:r>
      <w:r w:rsidRPr="006E50FF">
        <w:rPr>
          <w:kern w:val="2"/>
          <w:szCs w:val="24"/>
        </w:rPr>
        <w:tab/>
      </w:r>
      <w:r w:rsidRPr="006E50FF">
        <w:rPr>
          <w:kern w:val="2"/>
        </w:rPr>
        <w:t>enter into a written agreement with the local fire department ensuring response to a fire at the facility;</w:t>
      </w:r>
    </w:p>
    <w:p w14:paraId="6EEDA4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- 11.</w:t>
      </w:r>
      <w:r w:rsidRPr="006E50FF">
        <w:rPr>
          <w:kern w:val="2"/>
        </w:rPr>
        <w:tab/>
        <w:t>…</w:t>
      </w:r>
    </w:p>
    <w:p w14:paraId="2DC35F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specific projects using waste tires and/or waste tire material shall meet the requirements of LAC 33:VII.10532 and shall be submitted, in writing, to the administrative authority for prior approval. High volume end use facilities shall have an approved project in order to receive, store, or utilize waste tires and/or waste tire material;</w:t>
      </w:r>
    </w:p>
    <w:p w14:paraId="3B42F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on a form available on the department’s website, all high volume end use facility owners and/or operators shall submit a monthly end-market use project report to the administrative authority, which shall include a certified record of pounds of waste tire material, and/or waste tires received and used in an approved end-market use project;</w:t>
      </w:r>
    </w:p>
    <w:p w14:paraId="133EBA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A.14. - E.</w:t>
      </w:r>
      <w:r w:rsidRPr="006E50FF">
        <w:rPr>
          <w:kern w:val="2"/>
        </w:rPr>
        <w:tab/>
        <w:t>…</w:t>
      </w:r>
    </w:p>
    <w:p w14:paraId="687D6C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2EBFAA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the Secretary, Legal Division, LR 42:264 (February 2016)</w:t>
      </w:r>
      <w:r w:rsidRPr="006E50FF">
        <w:rPr>
          <w:kern w:val="2"/>
          <w:sz w:val="18"/>
          <w:szCs w:val="24"/>
        </w:rPr>
        <w:t xml:space="preserve"> , amended by the Office of the Secretary, Legal Affairs Division, LR 52:</w:t>
      </w:r>
    </w:p>
    <w:p w14:paraId="0A0C29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§10532.</w:t>
      </w:r>
      <w:r w:rsidRPr="006E50FF">
        <w:rPr>
          <w:b/>
          <w:kern w:val="2"/>
        </w:rPr>
        <w:tab/>
        <w:t>End-Market Uses</w:t>
      </w:r>
      <w:bookmarkEnd w:id="551"/>
    </w:p>
    <w:p w14:paraId="0F9835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D4D20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administrative authority will review and issue a decision within 30 business days of receipt of an application for the following end-market use projects:</w:t>
      </w:r>
    </w:p>
    <w:p w14:paraId="72DAFFC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 in landfill applications such as leachate collection systems;</w:t>
      </w:r>
    </w:p>
    <w:p w14:paraId="56936EE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tire derived fuel (TDF); and</w:t>
      </w:r>
    </w:p>
    <w:p w14:paraId="7112664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crumb rubber.</w:t>
      </w:r>
    </w:p>
    <w:p w14:paraId="69EA0A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For purposes of Paragraph A.1 of this Subsection, if additional information is requested based on the inadequacy of the application, the 30 day review period is suspended. The review period resumes upon the administrative authority’s receipt of the requested information from the applicant.</w:t>
      </w:r>
    </w:p>
    <w:p w14:paraId="529197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w:t>
      </w:r>
      <w:r w:rsidRPr="006E50FF">
        <w:rPr>
          <w:kern w:val="2"/>
        </w:rPr>
        <w:tab/>
        <w:t>Applications for end-market use projects described in Paragraph A.1 of this Subsection shall be electronically submitted in a manner determined by the administrative authority.</w:t>
      </w:r>
    </w:p>
    <w:p w14:paraId="36655B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Specific projects using waste tires and/or waste tire material shall meet the requirements of LAC 33:VII.10533 and LAC 33:VII.10534.</w:t>
      </w:r>
    </w:p>
    <w:p w14:paraId="6981AA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Facilities at which waste tires and/or waste tire material is utilized for projects that require extended storage shall obtain approval as a high volume end use facility in addition to receiving approval of any end-market use project.</w:t>
      </w:r>
    </w:p>
    <w:p w14:paraId="2E8887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Unless approved by the administrative authority as a high volume end use facility, end-market users shall not store more than 5,000 waste tires or 2,000,000 pounds of waste tire material at the end of any operational day.</w:t>
      </w:r>
    </w:p>
    <w:p w14:paraId="46BDFF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On a form available on the department’s website, end-market users shall submit a monthly end-market use project report to the administrative authority, unless exempted on a case-by-case basis, which shall include a certified record of pounds of waste tire material or waste tires received and a certified record of pounds of waste tire material and/or waste tires used in an approved end-market use project.</w:t>
      </w:r>
    </w:p>
    <w:p w14:paraId="01FF05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End-market users shall maintain a complete set of records pertaining to waste tires and/or waste tire material coming in or leaving the site of the approved project. The records shall include, but are not limited to, manifests, required monthly end-market use project reports, inventory records, logs, and any documents related to out-of-state activity as determined by the administrative authority. These records shall be maintained for a period of no less than five years and shall be made available for audit and/or inspection at the end-market user’s place of business during regular business hours.</w:t>
      </w:r>
    </w:p>
    <w:p w14:paraId="2F8F37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G.3.b.</w:t>
      </w:r>
      <w:r w:rsidRPr="006E50FF">
        <w:rPr>
          <w:kern w:val="2"/>
        </w:rPr>
        <w:tab/>
        <w:t>…</w:t>
      </w:r>
    </w:p>
    <w:p w14:paraId="246296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Waste tires and/or waste tire material shall only be utilized in the project as approved by the administrative authority.</w:t>
      </w:r>
    </w:p>
    <w:p w14:paraId="753C93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L.3.</w:t>
      </w:r>
      <w:r w:rsidRPr="006E50FF">
        <w:rPr>
          <w:kern w:val="2"/>
        </w:rPr>
        <w:tab/>
        <w:t>…</w:t>
      </w:r>
    </w:p>
    <w:p w14:paraId="2FEF43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 the event the end-market use project is cancelled prior to the waste tire material leaving the port, processors shall promptly remove it and either properly dispose of it or find another approved end-market use for the waste tire material. In any case, the use of waste tire material shall not entitle the processor to an additional payment from the waste tire management fund. In the event the processor chooses to properly dispose of the waste tire material, he shall reimburse the waste tire management fund for any payments received for the waste tire material.</w:t>
      </w:r>
    </w:p>
    <w:p w14:paraId="090D20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Processors shall only deliver to the port waste tire material in the amount approved by the administrative authority and shall not deliver waste tire material in anticipation, or prior to approval, of international end-market use projects. Processors violating this provision shall promptly remove any improperly delivered waste tire material and either properly dispose of and/or find another approved end-market use for the waste tire material. In any case, the use of improperly delivered waste tire material shall not entitle the processor to an additional payment from the waste tire management fund. In the event the processor chooses to properly dispose of the waste tire material, he shall reimburse the waste tire management fund for any payments received for the disposed waste tire material.</w:t>
      </w:r>
    </w:p>
    <w:p w14:paraId="57AD6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M.</w:t>
      </w:r>
      <w:r w:rsidRPr="006E50FF">
        <w:rPr>
          <w:kern w:val="2"/>
        </w:rPr>
        <w:tab/>
        <w:t>End-Market Project Environmental Characteristics</w:t>
      </w:r>
    </w:p>
    <w:p w14:paraId="332EA1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Facilities shall not be located in swamps, marshes, wetlands, and estuaries unless approval is granted from applicable state and federal authorities. Similar critical environmental areas shall be isolated from adverse impacts from project operations.</w:t>
      </w:r>
    </w:p>
    <w:p w14:paraId="1EF993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Areas where waste tire material is placed on or under the ground shall be lined with a minimum 2 feet of soils with a permeability no greater than 1x10</w:t>
      </w:r>
      <w:r w:rsidRPr="006E50FF">
        <w:rPr>
          <w:kern w:val="2"/>
          <w:vertAlign w:val="superscript"/>
        </w:rPr>
        <w:t>-7</w:t>
      </w:r>
      <w:r w:rsidRPr="006E50FF">
        <w:rPr>
          <w:kern w:val="2"/>
        </w:rPr>
        <w:t xml:space="preserve"> cm/s, or the subsurface soils and groundwater conditions at projects shall be characterized by a professional geologist or a professional engineer licensed in the state of Louisiana for projects where waste tire material is placed on or under the ground. Field boring logs and laboratory results shall be included as part of the application.</w:t>
      </w:r>
    </w:p>
    <w:p w14:paraId="679186C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Areas where waste tire material is placed on or under the ground shall have natural stable soils of low permeability in the area occupied by the waste tire material and have natural soils of low permeability (i.e., minimum of 2 feet of soils with a permeability no greater than 1x10</w:t>
      </w:r>
      <w:r w:rsidRPr="006E50FF">
        <w:rPr>
          <w:kern w:val="2"/>
          <w:vertAlign w:val="superscript"/>
        </w:rPr>
        <w:t>-7</w:t>
      </w:r>
      <w:r w:rsidRPr="006E50FF">
        <w:rPr>
          <w:kern w:val="2"/>
        </w:rPr>
        <w:t xml:space="preserve"> cm/s) to prevent any impact to underlying aquifer(s) in the area, or any other permeable unit(s) which would be a conduit to such aquifer(s).</w:t>
      </w:r>
    </w:p>
    <w:p w14:paraId="54EBC24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design for surfacing natural soils that do not meet the requirement in Subparagraph a of this Paragraph shall be prepared and installed under the supervision of a professional engineer, licensed in the state of Louisiana. Written certification by the engineer that the surface satisfies the requirements of Subparagraph a of this Paragraph shall be provided.</w:t>
      </w:r>
    </w:p>
    <w:p w14:paraId="738802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Cover for projects where waste tire material is placed on or under the ground.</w:t>
      </w:r>
    </w:p>
    <w:p w14:paraId="43C7FB3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Cover shall consist of a minimum of 18 inches of silty clays and 6 inches of topsoil cover for supporting vegetative growth.</w:t>
      </w:r>
    </w:p>
    <w:p w14:paraId="69FC836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side slope shall be no steeper than 3(H):1(V) and shall have a minimum of a 4 percent slope.</w:t>
      </w:r>
    </w:p>
    <w:p w14:paraId="174A093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Quality-assurance/quality-control procedures shall be developed and implemented to ensure that the cover is designed, constructed, and installed properly. An engineering certification verifying that the facility meets the cover requirements shall be prepared under the supervision of a professional engineer licensed in the state of Louisiana. This certification shall be submitted to the Office of Environmental Services for approval.</w:t>
      </w:r>
    </w:p>
    <w:p w14:paraId="0E516E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Measure to Prevent Fires. End-market users shall develop and implement a fire protection and safety plan for the project to ensure personnel protection and minimize impact to the environment. The plan shall designate those fire departments, mutual aid societies, emergency medical services agencies, and hospitals with which the facility will coordinate emergency services. Also include a list of all emergency equipment at the facility, such as fire extinguishing systems, spill control equipment, communication, internal and external alarm systems, and decontamination equipment. This list shall be kept up to date. The plan shall include the location and a physical description of each item on the list and a brief outline of its capabilities. The plan shall include an evacuation plan for facility personnel and describe signals to be used to begin evacuation, evacuation routes, and alternate evacuation routes.</w:t>
      </w:r>
    </w:p>
    <w:p w14:paraId="65189CE3" w14:textId="5E83AD39"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Conveyance Records.</w:t>
      </w:r>
      <w:r w:rsidR="001D0F83">
        <w:rPr>
          <w:kern w:val="2"/>
        </w:rPr>
        <w:t xml:space="preserve"> </w:t>
      </w:r>
      <w:r w:rsidRPr="006E50FF">
        <w:rPr>
          <w:kern w:val="2"/>
        </w:rPr>
        <w:t>The property owner shall update the parish mortgage and conveyance records by recording the specific location of the project and specifying that the property is or has been used for an end-market use project. The document shall identify the name and address of the person with knowledge of the contents of the project. An example of the form to be used for this purpose is provided in LAC 33:VII.11105.Appendix C. Within 30 days of project completion, the facility shall provide the Office of Environmental Services with a certified copy of the document filed and certified by the parish clerk of court.</w:t>
      </w:r>
    </w:p>
    <w:p w14:paraId="7C478B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Recordkeeping. Records kept for all projects shall include, but not be limited to, daily field notes for construction, including volume of waste tire material and soil utilized, and any other applicable or required data deemed necessary by the administrative authority.</w:t>
      </w:r>
    </w:p>
    <w:p w14:paraId="5FCB216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0ECE00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42:265 (February 2016), amended by the Office of the Secretary, Legal Affairs Division, LR 52:</w:t>
      </w:r>
    </w:p>
    <w:p w14:paraId="0FE5E2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2" w:name="TOC_Sect244"/>
      <w:r w:rsidRPr="006E50FF">
        <w:rPr>
          <w:b/>
          <w:kern w:val="2"/>
        </w:rPr>
        <w:t>§10533.</w:t>
      </w:r>
      <w:r w:rsidRPr="006E50FF">
        <w:rPr>
          <w:b/>
          <w:kern w:val="2"/>
        </w:rPr>
        <w:tab/>
        <w:t>Project Specifications</w:t>
      </w:r>
      <w:bookmarkEnd w:id="552"/>
    </w:p>
    <w:p w14:paraId="013F41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Project General Specifications</w:t>
      </w:r>
    </w:p>
    <w:p w14:paraId="72C221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 addition to the requirements of LAC 33:VII.10515, a description of the proposed methods of handling, storing, and utilizing the beneficial use material to ensure that it will not adversely affect the public health, safety, or the environment. This description shall consist of:</w:t>
      </w:r>
    </w:p>
    <w:p w14:paraId="1C959BB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statement of procedures to be employed for periodic testing for quality control purposes;</w:t>
      </w:r>
    </w:p>
    <w:p w14:paraId="3282ABB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statement of intended storage procedures that will be used, including:</w:t>
      </w:r>
    </w:p>
    <w:p w14:paraId="5A018FB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run-on/runoff control;</w:t>
      </w:r>
    </w:p>
    <w:p w14:paraId="08F29D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maximum anticipated inventory;</w:t>
      </w:r>
    </w:p>
    <w:p w14:paraId="5E845DF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measures to ensure that no contamination of underlying soil or groundwater occurs;</w:t>
      </w:r>
    </w:p>
    <w:p w14:paraId="1716141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measures for dispersion control due to wind; and</w:t>
      </w:r>
    </w:p>
    <w:p w14:paraId="450E83A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recordkeeping procedures.</w:t>
      </w:r>
    </w:p>
    <w:p w14:paraId="58DCDB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Surface Hydrology</w:t>
      </w:r>
    </w:p>
    <w:p w14:paraId="2BE394E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Projects located in a 100-year flood plain shall be filled to bring site elevation above flood levels, or perimeter levees, or other measures shall be provided to maintain adequate protection against a 100-year flood.</w:t>
      </w:r>
    </w:p>
    <w:p w14:paraId="54D3FF5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Projects located in, or within 1,000 feet of, an aquifer recharge zone shall be designed to protect the areas from adverse impacts of operations at the project.</w:t>
      </w:r>
    </w:p>
    <w:p w14:paraId="63F87B6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Projects located in a 100-year flood plain shall not restrict the flow of a 100-year flood or significantly reduce the temporary water-storage capacity of the flood plain. The design shall ensure that the flooding does not affect the integrity of the facility or result in the washout of waste to pose a threat to human health and the environment.</w:t>
      </w:r>
    </w:p>
    <w:p w14:paraId="4EA24E5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run-on control system shall be installed to prevent run-on during the peak discharge from a 25-year storm event and/or to collect and control at least the water volume resulting from a 24-hour/25-year storm event.</w:t>
      </w:r>
    </w:p>
    <w:p w14:paraId="43A372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Civil engineering projects may be approved by the administrative authority on a case-by-case basis. Calculations and/or designs shall be certified by a professional engineer registered in the state of Louisiana, as determined by the </w:t>
      </w:r>
      <w:r w:rsidRPr="006E50FF">
        <w:rPr>
          <w:kern w:val="2"/>
        </w:rPr>
        <w:br w:type="page"/>
      </w:r>
      <w:r w:rsidRPr="006E50FF">
        <w:rPr>
          <w:kern w:val="2"/>
        </w:rPr>
        <w:lastRenderedPageBreak/>
        <w:t>administrative authority. Project requests shall include a description of the materials to be replaced and the engineering properties (e.g., strength, permeability, etc.), of the waste tires and/or waste tire material that demonstrate comparable or improved performance to conventional materials. Unless project specifications require otherwise or an alternate design is specified by a professional engineer and approved by the administrative authority, the following requirements shall be met:</w:t>
      </w:r>
    </w:p>
    <w:p w14:paraId="707E12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Landfill Leachate Systems</w:t>
      </w:r>
    </w:p>
    <w:p w14:paraId="2F9F190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maximum thickness of 12 inches of tire material shall be used unless otherwise demonstrated by the design engineer. However, in no case shall the thickness of tire material exceed 24 inches.</w:t>
      </w:r>
    </w:p>
    <w:p w14:paraId="058F81B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Tire chips shall be separated from geomembranes by a minimum of 12 inches earthen material or as approved in the facility’s permit.</w:t>
      </w:r>
    </w:p>
    <w:p w14:paraId="6D6F82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Gas Collection Systems</w:t>
      </w:r>
    </w:p>
    <w:p w14:paraId="69E6886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Tire material may be used to backfill a trench in which pipe associated with the gas collection system is laid.</w:t>
      </w:r>
    </w:p>
    <w:p w14:paraId="4C0AEB4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trench may be no larger than twice the diameter of the pipe or as specified by the design engineer.</w:t>
      </w:r>
    </w:p>
    <w:p w14:paraId="59F198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Bulkhead Backfill/Lightweight Fill. Waste tire material used in bulkhead or lightweight fill applications shall provide comparable or improved performance compared to conventional material.</w:t>
      </w:r>
    </w:p>
    <w:p w14:paraId="246DA0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Slope Stabilization/Erosion Control</w:t>
      </w:r>
    </w:p>
    <w:p w14:paraId="1CB58A2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Tire material may be used to control erosion. However, tire material may only be used to rebuild a slope no less than 4(Horizontal):1(Vertical).</w:t>
      </w:r>
    </w:p>
    <w:p w14:paraId="7B82E6B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No more than 6 inches of waste tire material may be placed at the top of the slope and a maximum of 18 inches at the toe, unless the design engineer can demonstrate that additional waste tire material is needed to meet the intended design criteria.</w:t>
      </w:r>
    </w:p>
    <w:p w14:paraId="67D9084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Boring Requirements</w:t>
      </w:r>
    </w:p>
    <w:p w14:paraId="0C1FDF9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Slope stabilization/erosion control projects shall install a minimum of three borings and at least one boring for every 8 acres of regulated unit(s) to a minimum depth of 5 feet below the lowest point of excavation.</w:t>
      </w:r>
    </w:p>
    <w:p w14:paraId="3DD276F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All borings shall be continuously sampled to at least 5 feet below the lowest point of excavation with the use of the administrative authority’s approved form of geological investigation device.</w:t>
      </w:r>
    </w:p>
    <w:p w14:paraId="4E2B591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Ground surface elevations (NGVD) of the boring location and the lowest point of excavation shall be surveyed or estimated through the use of United States Geological Survey quadrangle maps.</w:t>
      </w:r>
    </w:p>
    <w:p w14:paraId="7004D1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Logs of borings and other forms of geological investigation approved by the administrative authority for slope stabilization/erosion control projects shall be submitted on a geologic cross section and shall include:</w:t>
      </w:r>
    </w:p>
    <w:p w14:paraId="03F412A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lithologic and boring log data from all borings drilled at the facility, including borings for existing, as well as plugged and abandoned, monitoring wells and piezometers;</w:t>
      </w:r>
    </w:p>
    <w:p w14:paraId="457D7FB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locations and depths of borings, monitoring wells, and peizometers;</w:t>
      </w:r>
    </w:p>
    <w:p w14:paraId="7A9A7064"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excavation depths (or depths of the zone of incorporation, for landfarms) on applicable cross sections;</w:t>
      </w:r>
    </w:p>
    <w:p w14:paraId="11D69A6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screen intervals of all existing and plugged and abandoned monitoring wells and piezometers;</w:t>
      </w:r>
    </w:p>
    <w:p w14:paraId="70EE0E7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other applicable features such as faults, slurry walls, groundwater dewatering systems, etc.; and</w:t>
      </w:r>
    </w:p>
    <w:p w14:paraId="77AD31F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(f).</w:t>
      </w:r>
      <w:r w:rsidRPr="006E50FF">
        <w:rPr>
          <w:kern w:val="2"/>
        </w:rPr>
        <w:tab/>
        <w:t>identification of individual stratigraphic units, including units that comprise the uppermost aquifer, uppermost water-bearing permeable zone(s), if present, lower confining unit, and confining unit that underlies the uppermost water-bearing permeable zone(s), if present.</w:t>
      </w:r>
    </w:p>
    <w:p w14:paraId="4A6373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Land Reclamation</w:t>
      </w:r>
    </w:p>
    <w:p w14:paraId="64429AB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Land reclamation will be approved on a case-by-case basis and shall meet the following standards.</w:t>
      </w:r>
    </w:p>
    <w:p w14:paraId="6A3606C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Waste tire material shall be mixed with silty clay or clay. The waste tire material shall comprise no more than 50 percent of the total volume required to restore the land to its approximate natural grade.</w:t>
      </w:r>
    </w:p>
    <w:p w14:paraId="35AF68F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Whole tires may not be used in land reclamation projects.</w:t>
      </w:r>
    </w:p>
    <w:p w14:paraId="2559E58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Boring Requirements</w:t>
      </w:r>
    </w:p>
    <w:p w14:paraId="04C74F2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Land reclamation projects shall install a minimum of three borings and at least one boring for every 8 acres of regulated unit(s) to a minimum depth of 5 feet below the lowest point of excavation.</w:t>
      </w:r>
    </w:p>
    <w:p w14:paraId="6D3530B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All borings shall be continuously sampled to at least 5 feet below the lowest point of excavation with the use of the administrative authority’s approved form of geological investigation device.</w:t>
      </w:r>
    </w:p>
    <w:p w14:paraId="2C9B8FC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Ground surface elevations (NGVD) of the boring location and the lowest point of excavation shall be surveyed or estimated through the use of USGS quadrangle maps.</w:t>
      </w:r>
    </w:p>
    <w:p w14:paraId="66E7023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Logs of borings and other forms of geological investigation approved by the administrative authority for land reclamation projects shall be submitted on a geologic cross section and shall include:</w:t>
      </w:r>
    </w:p>
    <w:p w14:paraId="474D7BD5"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lithologic and boring log data from all borings drilled at the facility, including borings for existing, as well as plugged and abandoned, monitoring wells and piezometers;</w:t>
      </w:r>
    </w:p>
    <w:p w14:paraId="0294718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locations and depths of borings, monitoring wells, and peizometers;</w:t>
      </w:r>
    </w:p>
    <w:p w14:paraId="13D3DEA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excavation depths (or depths of the zone of incorporation, for landfarms) on applicable cross sections;</w:t>
      </w:r>
    </w:p>
    <w:p w14:paraId="421240C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screen intervals of all existing and plugged and abandoned monitoring wells and piezometers;</w:t>
      </w:r>
    </w:p>
    <w:p w14:paraId="514C106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other applicable features such as faults, slurry walls, groundwater dewatering systems, etc.; and</w:t>
      </w:r>
    </w:p>
    <w:p w14:paraId="6E1DE76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(f).</w:t>
      </w:r>
      <w:r w:rsidRPr="006E50FF">
        <w:rPr>
          <w:kern w:val="2"/>
        </w:rPr>
        <w:tab/>
        <w:t>identification of individual stratigraphic units, including units that comprise the uppermost aquifer, uppermost water-bearing permeable zone(s), if present, lower confining unit, and confining unit that underlies the uppermost water-bearing permeable zone(s), if present.</w:t>
      </w:r>
    </w:p>
    <w:p w14:paraId="0C4440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Other Projects. A request for other projects shall contain engineering drawings and/or supporting calculations demonstrating compliance with Subsection A of this Section. Projects shall provide for the efficient and proper use of waste tires and/or waste tire material in a manner that does not constitute disposal. Project standards will be determined on a case-by-case basis.</w:t>
      </w:r>
    </w:p>
    <w:p w14:paraId="31710A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58ABD2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42:266 (February 2016), amended by the Office of the Secretary, Legal Affairs Division, LR 52:</w:t>
      </w:r>
    </w:p>
    <w:p w14:paraId="52C7711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3" w:name="_Toc230101125"/>
      <w:r w:rsidRPr="006E50FF">
        <w:rPr>
          <w:b/>
          <w:kern w:val="2"/>
        </w:rPr>
        <w:lastRenderedPageBreak/>
        <w:t>§10534.</w:t>
      </w:r>
      <w:r w:rsidRPr="006E50FF">
        <w:rPr>
          <w:b/>
          <w:kern w:val="2"/>
        </w:rPr>
        <w:tab/>
        <w:t>Manifest System</w:t>
      </w:r>
      <w:r w:rsidRPr="006E50FF">
        <w:rPr>
          <w:b/>
          <w:kern w:val="2"/>
        </w:rPr>
        <w:br/>
        <w:t>(Formerly §10533)</w:t>
      </w:r>
      <w:bookmarkEnd w:id="553"/>
    </w:p>
    <w:p w14:paraId="484A52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64CD0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generator waste tire manifest flow is as follows.</w:t>
      </w:r>
    </w:p>
    <w:p w14:paraId="2BE1AE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Prior to the tires leaving the facility, the generator initiates the manifest (original and at least five copies), by completing all of section 1 thoroughly and correctly and designating the processing facility in section 4. After the transporter signs the manifest, the generator retains one copy for his files, and the original and all other copies accompany the waste tire shipment. Upon receipt of the waste tires, the transporter completes the section 2, transporter 1 information. If applicable, upon surrender of the shipment to a second transporter, the second transporter completes the section 2, transporter 2 information. After transporter 2 signs the manifest, transporter 1 retains his copy of the manifest.</w:t>
      </w:r>
    </w:p>
    <w:p w14:paraId="0BFE27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C.4.</w:t>
      </w:r>
      <w:r w:rsidRPr="006E50FF">
        <w:rPr>
          <w:kern w:val="2"/>
        </w:rPr>
        <w:tab/>
        <w:t>…</w:t>
      </w:r>
    </w:p>
    <w:p w14:paraId="303F5E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processor who does not receive a copy of the manifest with the handwritten signature of the owner/operator of the designated destination facility within 30 days of the date the waste tires and/or waste tire material was accepted by the initial transporter shall contact the transporter and/or the owner/operator of the designated destination facility to determine the status of the shipment.</w:t>
      </w:r>
    </w:p>
    <w:p w14:paraId="0A1FFD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- 9.</w:t>
      </w:r>
      <w:r w:rsidRPr="006E50FF">
        <w:rPr>
          <w:kern w:val="2"/>
        </w:rPr>
        <w:tab/>
        <w:t>…</w:t>
      </w:r>
    </w:p>
    <w:p w14:paraId="085190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3C1CCE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20:1001 (September 1994), amended by the Office of Environmental Assessment, Environmental Planning Division, LR 26:2780 (December 2000), LR 27:831 (June 2001), LR 27:2228 (December 2001), LR 29:2780 (December 2003), amended by the Office of the Secretary, Legal Affairs Division, LR 31:2504 (October 2005), LR 33:91 (January 2007), LR 33:2160 (October 2007), amended by the Office of the Secretary, Legal Division, LR 42:267 (February 2016), amended by the Office of the Secretary, Legal Affairs Division, LR 52:</w:t>
      </w:r>
    </w:p>
    <w:p w14:paraId="382528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§10535.</w:t>
      </w:r>
      <w:r w:rsidRPr="006E50FF">
        <w:rPr>
          <w:b/>
          <w:kern w:val="2"/>
        </w:rPr>
        <w:tab/>
        <w:t>Fees and Fund Disbursement</w:t>
      </w:r>
    </w:p>
    <w:p w14:paraId="049D7B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D.2.</w:t>
      </w:r>
      <w:r w:rsidRPr="006E50FF">
        <w:rPr>
          <w:kern w:val="2"/>
        </w:rPr>
        <w:tab/>
        <w:t>…</w:t>
      </w:r>
    </w:p>
    <w:p w14:paraId="28A264C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minimum of seven and a half cents per pound of waste tires and/or waste tire material that is recycled or that reaches an approved end-market use will be utilized to pay permitted waste tire processors that have entered into a processor agreement with the administrative authority, and are in compliance with all applicable requirements of these regulations;</w:t>
      </w:r>
    </w:p>
    <w:p w14:paraId="7901C8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D.2.b. - E.8.</w:t>
      </w:r>
      <w:r w:rsidRPr="006E50FF">
        <w:rPr>
          <w:kern w:val="2"/>
        </w:rPr>
        <w:tab/>
        <w:t>…</w:t>
      </w:r>
    </w:p>
    <w:p w14:paraId="546F90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5705FD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Solid and Hazardous Waste, Solid Waste Division, LR 20:1001 (September 1994), amended LR 22:1213 (December 1996), amended by the Office of Environmental Assessment, Environmental Planning Division, LR 26:2781 (December 2000), LR 27:832 (June 2001), LR 27:2228 (December 2001), amended by the Office of Environmental Assessment, LR 31:1324 (June 2005), amended by the Office of the Secretary, Legal Affairs Division, LR 31:2504 (October 2005), LR 33:2160 (October 2007), amended by the Office of the Secretary, Legal Division, LR 42:268 (February 2016), LR 43:948 (May 2017), amended by the Office of the Secretary, Legal Affairs and Criminal Investigations Division, amended LR 45:661 (May 2019), LR 48: LR 48:1501 (June 2022)</w:t>
      </w:r>
      <w:r w:rsidRPr="006E50FF">
        <w:rPr>
          <w:kern w:val="2"/>
          <w:sz w:val="18"/>
          <w:szCs w:val="24"/>
          <w:lang w:eastAsia="x-none"/>
        </w:rPr>
        <w:t xml:space="preserve"> , </w:t>
      </w:r>
      <w:r w:rsidRPr="006E50FF">
        <w:rPr>
          <w:kern w:val="2"/>
          <w:sz w:val="18"/>
          <w:szCs w:val="24"/>
        </w:rPr>
        <w:t>amended by the Office of the Secretary, Legal Affairs Division, LR 52:</w:t>
      </w:r>
    </w:p>
    <w:p w14:paraId="1BDDA9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§10539.</w:t>
      </w:r>
      <w:r w:rsidRPr="006E50FF">
        <w:rPr>
          <w:b/>
          <w:kern w:val="2"/>
        </w:rPr>
        <w:tab/>
        <w:t>Grants and Loans Applicability</w:t>
      </w:r>
    </w:p>
    <w:p w14:paraId="21C7D6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administrative authority may award a grant or loan to a person for any use that serves the purpose of assisting in solving the state’s waste tire problem.</w:t>
      </w:r>
    </w:p>
    <w:p w14:paraId="0A7102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2C88F70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31:3158 (December 2005), amended by the Office of the Secretary, Legal Division, LR 42:270 (February 2016), amended by the Office of the Secretary, Legal Affairs Division, LR 52:</w:t>
      </w:r>
    </w:p>
    <w:p w14:paraId="1D79168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§10541.</w:t>
      </w:r>
      <w:r w:rsidRPr="006E50FF">
        <w:rPr>
          <w:b/>
          <w:kern w:val="2"/>
        </w:rPr>
        <w:tab/>
        <w:t>Application for a Grant or Loan</w:t>
      </w:r>
    </w:p>
    <w:p w14:paraId="49628D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person may apply for a grant or loan from the waste tire management fund by making application to the Department of Environmental Quality, Office of Management and Finance. The request for a grant or loan shall include information on the following nonexclusive items:</w:t>
      </w:r>
    </w:p>
    <w:p w14:paraId="64EB25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2C076A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procedures for reporting to the department the status of the project at least annually. The department may require additional reporting on a case-by-case basis;</w:t>
      </w:r>
    </w:p>
    <w:p w14:paraId="339896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A.7. - B.2.</w:t>
      </w:r>
      <w:r w:rsidRPr="006E50FF">
        <w:rPr>
          <w:kern w:val="2"/>
        </w:rPr>
        <w:tab/>
        <w:t>…</w:t>
      </w:r>
    </w:p>
    <w:p w14:paraId="7FE40B1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6A8A8C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31:3158 (December 2005), amended by the Office of the Secretary, Legal Division, LR 42:270 (February 2016), amended by the Office of the Secretary, Legal Affairs Division, LR 52:</w:t>
      </w:r>
    </w:p>
    <w:p w14:paraId="6040FD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4" w:name="TOC_Chap97"/>
      <w:r w:rsidRPr="006E50FF">
        <w:rPr>
          <w:b/>
          <w:kern w:val="2"/>
        </w:rPr>
        <w:t>§10542.</w:t>
      </w:r>
      <w:r w:rsidRPr="006E50FF">
        <w:rPr>
          <w:b/>
          <w:kern w:val="2"/>
        </w:rPr>
        <w:tab/>
        <w:t>Grant and Loan Program</w:t>
      </w:r>
    </w:p>
    <w:p w14:paraId="385A9B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Funding and Requirements</w:t>
      </w:r>
    </w:p>
    <w:p w14:paraId="071344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This grant and loan program is financed by the waste tire management fund at the discretion of the administrative authority, provided monies are available in the fund in accordance with R.S. 30:2418.</w:t>
      </w:r>
    </w:p>
    <w:p w14:paraId="093B41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grant or loan may only be made according to this Section if the applicant:</w:t>
      </w:r>
    </w:p>
    <w:p w14:paraId="415273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is domiciled in Louisiana;</w:t>
      </w:r>
    </w:p>
    <w:p w14:paraId="132A46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has no history of environmental violation(s) that demonstrates to the department an unwillingness or inability to achieve and maintain compliance with the permit for which the application is being made, unless the department determines that the applicant's history of environmental violation(s) may be adequately addressed by permit conditions;</w:t>
      </w:r>
    </w:p>
    <w:p w14:paraId="57F1786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is registered with the Louisiana Secretary of State, if required; and</w:t>
      </w:r>
    </w:p>
    <w:p w14:paraId="65A3E4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is in compliance with and has paid all fees assessed by the department.</w:t>
      </w:r>
    </w:p>
    <w:p w14:paraId="5B7D07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Grants provided according to this Section shall only be made in the form of reimbursement for completed projects after inspection and approval by the department.</w:t>
      </w:r>
    </w:p>
    <w:p w14:paraId="66871E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Eligible applicants may only enter one grant or loan agreement at any given time from the waste tire management fund.</w:t>
      </w:r>
    </w:p>
    <w:p w14:paraId="68B1D5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applicant shall utilize the grant or loan only at the location identified in the grant or loan agreement.</w:t>
      </w:r>
    </w:p>
    <w:p w14:paraId="095A6D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Applicants shall initiate the project within 60 days of the execution of the grant or loan agreement. The applicant shall complete the project as soon as possible, but no later than five years beyond the date of approval for participation in the grant program, or in accordance with the approved loan implementation schedule. Failure to complete the project </w:t>
      </w:r>
      <w:r w:rsidRPr="006E50FF">
        <w:rPr>
          <w:kern w:val="2"/>
        </w:rPr>
        <w:br w:type="page"/>
      </w:r>
      <w:r w:rsidRPr="006E50FF">
        <w:rPr>
          <w:kern w:val="2"/>
        </w:rPr>
        <w:lastRenderedPageBreak/>
        <w:t>within the time frame shall result in the applicant being ineligible for reimbursement from the grant or loan program, unless otherwise approved by the administrative authority.</w:t>
      </w:r>
    </w:p>
    <w:p w14:paraId="6D1CE5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term of the loan (i.e., the time period over which the loan shall be paid back) shall not exceed 10 years or the duration of the permit, if applicable, from execution of the loan agreement. The actual term for each loan shall be determined by the department. Loan principal and interest repayment schedules shall be set by the department. The first installment shall be due within 60 days of the execution of the agreement.</w:t>
      </w:r>
    </w:p>
    <w:p w14:paraId="08AB5E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An applicant shall demonstrate the ability to repay the loan. The department shall require a loan recipient to provide security or collateral for the loan, including the subject property. A local government or nonprofit applicant shall be required to provide evidence of a dedicated revenue source to repay the loan, as well as adequate coverage for the debt service.</w:t>
      </w:r>
    </w:p>
    <w:p w14:paraId="315146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Procedures Prior to Project Implementation. An applicant shall have written approval from the department for participation in the grant or loan program prior to implementing a department-approved project.</w:t>
      </w:r>
    </w:p>
    <w:p w14:paraId="160A4F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Department Inspections and Notifications</w:t>
      </w:r>
    </w:p>
    <w:p w14:paraId="24859D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 may perform periodic inspections during the project and may be present for all installation-critical junctures.</w:t>
      </w:r>
    </w:p>
    <w:p w14:paraId="34EB899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applicable statutes and regulations in R.S. 30:2001, et seq., and LAC 33:VII are not followed by the project owner, operator, or certified worker prior to and during the project, the applicant shall not be awarded the grant or loan. The department shall notify the applicant in writing as soon as any violation is determined that disqualifies the applicant from receiving the grant or loan.</w:t>
      </w:r>
    </w:p>
    <w:p w14:paraId="4B0A08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Within 30 days of completion of the project, the applicant shall submit a project completion certification report. The report shall be signed by the applicant and the individual(s) responsible for actually preparing the information and supporting data submitted with the report. Each of these individuals shall certify the following in writing. “I certify under penalty of law that I have personally examined and I am familiar with the information submitted in this report and that the project as described in this report meets the requirements of LAC 33:VII.Subpart 2. I am aware that there are significant penalties for knowingly submitting false information, including the possibility of fine and imprisonment.”</w:t>
      </w:r>
    </w:p>
    <w:p w14:paraId="5B0240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Within 30 days of receipt of the project completion certification report, the administrative authority shall perform a final inspection of the project, unless a longer time is agreed by all parties involved.</w:t>
      </w:r>
    </w:p>
    <w:p w14:paraId="005E31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Within 30 days of receipt of the final inspection of the project, the administrative authority shall issue a notice of deficiency or an approval of the project completion certification report, unless a longer time is agreed by all parties involved.</w:t>
      </w:r>
    </w:p>
    <w:p w14:paraId="38A435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Grant Agreements and Reimbursement Procedures</w:t>
      </w:r>
    </w:p>
    <w:p w14:paraId="0EAB1A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 will prepare and execute a grant agreement with the applicant upon selection of an applicant to receive a grant. The grant agreement will provide for:</w:t>
      </w:r>
    </w:p>
    <w:p w14:paraId="553463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grant term;</w:t>
      </w:r>
    </w:p>
    <w:p w14:paraId="55E056B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project implementation schedule with milestones;</w:t>
      </w:r>
    </w:p>
    <w:p w14:paraId="1A6C4C4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timelines and budgets for completing various phases of the project;</w:t>
      </w:r>
    </w:p>
    <w:p w14:paraId="47B8164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provisions for disbursement of grant funds; and</w:t>
      </w:r>
    </w:p>
    <w:p w14:paraId="7C3BF96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other necessary provisions as determined by the department.</w:t>
      </w:r>
    </w:p>
    <w:p w14:paraId="23DD0E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grant reimbursement shall be on a department provided form and shall include:</w:t>
      </w:r>
    </w:p>
    <w:p w14:paraId="727DB79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an affidavit signed by the applicant that the project milestone has been completed in accordance with the scope of work and in accordance with R.S. 30:2001, et seq., and LAC 33:VII; and</w:t>
      </w:r>
    </w:p>
    <w:p w14:paraId="5BF81A1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copies of all paid invoices for the project milestone.</w:t>
      </w:r>
    </w:p>
    <w:p w14:paraId="580D5A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shall request reimbursement in accordance with the approved project implementation schedule.</w:t>
      </w:r>
    </w:p>
    <w:p w14:paraId="135182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grant program reimbursement form shall be submitted to the department within 90 days of the completion of milestones according to with the approved project implementation plan.</w:t>
      </w:r>
    </w:p>
    <w:p w14:paraId="38F8D5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Loan Agreements, Closing of Loans, and Disbursement of Loan Funds</w:t>
      </w:r>
    </w:p>
    <w:p w14:paraId="3D2DB4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Upon selection of an applicant to receive a loan, the department will prepare and execute a loan agreement with the applicant. The loan agreement will provide for:</w:t>
      </w:r>
    </w:p>
    <w:p w14:paraId="1D721C0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loan term;</w:t>
      </w:r>
    </w:p>
    <w:p w14:paraId="3DA9A1E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repayment schedule;</w:t>
      </w:r>
    </w:p>
    <w:p w14:paraId="2FB56D6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interest rate;</w:t>
      </w:r>
    </w:p>
    <w:p w14:paraId="5E3277E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project implementation schedule with milestones;</w:t>
      </w:r>
    </w:p>
    <w:p w14:paraId="512FE72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provisions in case of default;</w:t>
      </w:r>
    </w:p>
    <w:p w14:paraId="35C3F9D8"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timelines and budgets for completing various phases of the project;</w:t>
      </w:r>
    </w:p>
    <w:p w14:paraId="3A54A72A"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provisions for disbursement of loan funds to the borrower;</w:t>
      </w:r>
    </w:p>
    <w:p w14:paraId="5C9DCBF9"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any required security or collateral for the loan; and</w:t>
      </w:r>
    </w:p>
    <w:p w14:paraId="2CA707DE"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other necessary provisions as determined by the department.</w:t>
      </w:r>
    </w:p>
    <w:p w14:paraId="1EE5A5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loan funds shall be disbursed to the borrower until the loan agreement is executed.</w:t>
      </w:r>
    </w:p>
    <w:p w14:paraId="6B0B98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Disbursement requests shall be the form and type required by the department and shall be supplemented with copies of all invoices for each cost incurred. The borrower shall maintain complete documentation of all project costs for audit purposes for the term of the loan plus five years. The borrower shall be responsible for maintaining financial control of the project by carefully reviewing all disbursement requests and supplemental documentation before submitting disbursement requests to the department. The borrower shall certify each disbursement request before submittal.</w:t>
      </w:r>
    </w:p>
    <w:p w14:paraId="36F6FC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Disbursement requests shall be received by the date established by the department.</w:t>
      </w:r>
    </w:p>
    <w:p w14:paraId="3C4D98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Documentation of project costs paid for with loan funds, as well as disbursement requests and invoices, shall record and account for costs separately from any project costs paid or to be paid for from other funding sources.</w:t>
      </w:r>
    </w:p>
    <w:p w14:paraId="07D862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 case of bankruptcy, the borrower shall notify the department within 10 days of filing for bankruptcy.</w:t>
      </w:r>
    </w:p>
    <w:p w14:paraId="133BCFB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Interest and Principal Payment</w:t>
      </w:r>
    </w:p>
    <w:p w14:paraId="789B5D4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Interest shall be payable semiannually in arrears on each interest payment date based on the amount of the loan previously paid by the department to the borrower and not yet repaid.</w:t>
      </w:r>
    </w:p>
    <w:p w14:paraId="7B55DABB" w14:textId="77777777" w:rsidR="006E50FF" w:rsidRPr="006E50FF" w:rsidRDefault="006E50FF" w:rsidP="006E50FF">
      <w:pPr>
        <w:tabs>
          <w:tab w:val="left" w:pos="907"/>
        </w:tabs>
        <w:ind w:firstLine="547"/>
        <w:jc w:val="both"/>
        <w:outlineLvl w:val="5"/>
        <w:rPr>
          <w:kern w:val="2"/>
        </w:rPr>
      </w:pPr>
      <w:r w:rsidRPr="006E50FF">
        <w:rPr>
          <w:kern w:val="2"/>
        </w:rPr>
        <w:lastRenderedPageBreak/>
        <w:t>b.</w:t>
      </w:r>
      <w:r w:rsidRPr="006E50FF">
        <w:rPr>
          <w:kern w:val="2"/>
        </w:rPr>
        <w:tab/>
        <w:t>Principal shall be payable annually on each principal payment date in the amounts set forth in the repayment schedule. In the event that any installment of principal shall become past due for a period in excess of 15 days from the payment date specified herein, additional interest will be accrued on the outstanding principal due.</w:t>
      </w:r>
    </w:p>
    <w:p w14:paraId="27B540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Delinquency Charges</w:t>
      </w:r>
    </w:p>
    <w:p w14:paraId="6F84D97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Payments not received within 15 days of the due date will be charged a late payment fee of five percent of the unpaid amount of the delinquent installment.</w:t>
      </w:r>
    </w:p>
    <w:p w14:paraId="5697528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late payment fee shall be calculated from the due date indicated in the loan agreement.</w:t>
      </w:r>
    </w:p>
    <w:p w14:paraId="06466D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Events of Default and Remedies. The provisions for events of default and remedies will be specified in the loan agreement and indentures specifically for each individual loan recipient.</w:t>
      </w:r>
    </w:p>
    <w:p w14:paraId="56F0DF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30:2418.</w:t>
      </w:r>
    </w:p>
    <w:p w14:paraId="71A89DB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6CB6E8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§10547.</w:t>
      </w:r>
      <w:r w:rsidRPr="006E50FF">
        <w:rPr>
          <w:b/>
          <w:kern w:val="2"/>
        </w:rPr>
        <w:tab/>
        <w:t>Financial Assurance for All Permitted Waste Tire Processors and Collection Centers</w:t>
      </w:r>
    </w:p>
    <w:p w14:paraId="40115F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Financial Responsibility for Closure</w:t>
      </w:r>
    </w:p>
    <w:p w14:paraId="757FED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Financial Responsibility for Permitted Waste Tire Processors and Collection Centers</w:t>
      </w:r>
    </w:p>
    <w:p w14:paraId="47D272E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of a waste tire processor and collection center has the following financial responsibilities for closure.</w:t>
      </w:r>
    </w:p>
    <w:p w14:paraId="6F8E6F4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permit holder or applicant for a processing or collection facility shall establish and maintain financial assurance for closure.</w:t>
      </w:r>
    </w:p>
    <w:p w14:paraId="464F66C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permit holder of an existing facility shall submit financial assurance documentation that complies with the requirements of this Section. An applicant or permit holder for a new facility shall submit evidence of financial assurance in accordance with this Section at least 60 days before the date on which waste tires are first received for processing or collection. The financial assurance documentation shall be approved by the administrative authority prior to any acceptance of waste tires.</w:t>
      </w:r>
    </w:p>
    <w:p w14:paraId="6F25FF6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applicant or permit holder shall submit the estimated closure date and the estimated cost of closure to the Office of Environmental Services in accordance with the following procedures.</w:t>
      </w:r>
    </w:p>
    <w:p w14:paraId="1FC43E4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applicant or permit holder shall have a detailed written estimate, in current dollars, of the cost of closing the facility in accordance with the requirements in these regulations. The estimate shall equal the cost of closure at the point in the facility's operating life when the extent and manner of its operation would make closure the most expensive, as indicated by the closure plan. If an alternative method to determine the amount required for financial assurance is used in accordance with LAC 33:VII.10525.G.15 or 10527.G.7, shall be based on the cost of hiring a third party to close the facility in accordance with the closure plan.</w:t>
      </w:r>
    </w:p>
    <w:p w14:paraId="4697043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If an alternative method to determine the amount required for financial assurance is used in accordance with LAC 33:VII.10525.G.15 or 10527.G.7, the cost estimates shall be adjusted within 30 days after each anniversary of the date on which the first cost estimate was prepared on the basis of either the inflation factor derived </w:t>
      </w:r>
      <w:r w:rsidRPr="006E50FF">
        <w:rPr>
          <w:kern w:val="2"/>
        </w:rPr>
        <w:br w:type="column"/>
      </w:r>
      <w:r w:rsidRPr="006E50FF">
        <w:rPr>
          <w:kern w:val="2"/>
        </w:rPr>
        <w:t xml:space="preserve">from the </w:t>
      </w:r>
      <w:r w:rsidRPr="006E50FF">
        <w:rPr>
          <w:i/>
          <w:kern w:val="2"/>
        </w:rPr>
        <w:t>Annual Implicit Price Deflator for Gross Domestic Product</w:t>
      </w:r>
      <w:r w:rsidRPr="006E50FF">
        <w:rPr>
          <w:kern w:val="2"/>
        </w:rPr>
        <w:t>, as published by the U.S. Department of Commerce in its Survey of Current Business or a reestimation of the closure in accordance with Clause A.1.c.i of this Section. The permit holder or applicant shall revise the cost estimate whenever a change in the closure plan increases or decreases the cost of the closure plan. The permit holder or applicant shall submit a written notice of any adjustment to the Office of Environmental Services within 15 days following adjustment.</w:t>
      </w:r>
    </w:p>
    <w:p w14:paraId="2A8874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Minor deviations from specified language contained in the appendices of LAC 33:VII.11103 may be approved by the administrative authority on a case-by-case basis, if the administrative authority determines that the revised language remains equivalent to, or more stringent, than the language specified in the specific appendix. The applicant shall show a specific need for the change and all changes shall be approved by the administrative authority before the document can be used to meet the requirements of this Section.</w:t>
      </w:r>
    </w:p>
    <w:p w14:paraId="4FF24AB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permit holder or applicant shall notify the Office of Environmental Services within 30 days of first becoming aware of a reduction in a bond rating when using the financial assurance mechanisms allowed by LAC 33:VII.10547.A.3 or 4.</w:t>
      </w:r>
    </w:p>
    <w:p w14:paraId="1D2894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Financial Assurance Mechanisms</w:t>
      </w:r>
    </w:p>
    <w:p w14:paraId="38C4036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financial assurance mechanism shall be one or a combination of the following: a financial guarantee bond, a performance bond, and/or a letter of credit. The financial assurance mechanism is subject to the approval of the administrative authority and shall fulfill the following criteria.</w:t>
      </w:r>
    </w:p>
    <w:p w14:paraId="52C329A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standby trust fund naming the administrative authority as beneficiary shall be established at the time of the creation of the financial assurance mechanism, where the proceeds of the mechanism could be transferred if the funds are necessary for closure of the facility, and a signed copy shall be furnished to the administrative authority with the mechanism.</w:t>
      </w:r>
    </w:p>
    <w:p w14:paraId="242113E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permit holder or applicant may use a financial assurance mechanism specified in this Section for more than one facility, if all such facilities are located within Louisiana and are specifically identified in the mechanism.</w:t>
      </w:r>
    </w:p>
    <w:p w14:paraId="2406506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amount covered by the financial assurance mechanism shall equal the total of the current closure estimates for each facility covered.</w:t>
      </w:r>
    </w:p>
    <w:p w14:paraId="2147491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When all closure requirements have been satisfactorily completed, the administrative authority shall execute an approval to terminate the financial assurance mechanism.</w:t>
      </w:r>
    </w:p>
    <w:p w14:paraId="46CB269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language of the financial assurance mechanisms listed in LAC 33:VII.11103 shall ensure that the instruments satisfy the following criteria.</w:t>
      </w:r>
    </w:p>
    <w:p w14:paraId="7A94034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financial assurance mechanisms shall ensure that the amount of funds assured is sufficient to cover the costs of closure when needed.</w:t>
      </w:r>
    </w:p>
    <w:p w14:paraId="1B4FDE1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financial assurance mechanisms shall ensure that funds will be available in a timely fashion when needed.</w:t>
      </w:r>
    </w:p>
    <w:p w14:paraId="620803E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 xml:space="preserve">The financial assurance mechanisms shall be obtained by the permit holder or applicant by the effective date of these requirements or at least 60 days prior to the initial receipt of waste tires, whichever is later, and shall </w:t>
      </w:r>
      <w:r w:rsidRPr="006E50FF">
        <w:rPr>
          <w:kern w:val="2"/>
        </w:rPr>
        <w:lastRenderedPageBreak/>
        <w:t>provide financial assurance until the permit holder or applicant is released from the financial assurance requirements under this Section.</w:t>
      </w:r>
    </w:p>
    <w:p w14:paraId="68899B5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The financial assurance mechanisms shall be legally valid, binding, and enforceable under state and federal law.</w:t>
      </w:r>
    </w:p>
    <w:p w14:paraId="02183E5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A financial assurance mechanism may be cancelled or terminated only if:</w:t>
      </w:r>
    </w:p>
    <w:p w14:paraId="771BF66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alternate financial assurance is substituted, as specified in the appropriate Section; or</w:t>
      </w:r>
    </w:p>
    <w:p w14:paraId="06C9B29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permit holder or applicant is no longer required to demonstrate financial assurance in accordance with these regulations.</w:t>
      </w:r>
    </w:p>
    <w:p w14:paraId="02D5AA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Financial Guarantee Bonds</w:t>
      </w:r>
    </w:p>
    <w:p w14:paraId="59EFEBE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may satisfy the requirements of this Section by obtaining a financial guarantee bond that conforms to the following requirements and submitting the bond to the Office of Environmental Services.</w:t>
      </w:r>
    </w:p>
    <w:p w14:paraId="6438DFC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surety company issuing the bond shall, at a minimum, be among those listed as acceptable sureties on federal bonds in Circular 570 of the U.S. Department of the Treasury and approved by the administrative authority.</w:t>
      </w:r>
    </w:p>
    <w:p w14:paraId="74EE636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permit holder or applicant who uses a financial guarantee bond to satisfy the requirements of this Section shall provide evidence of the establishment of a standby trust fund to the administrative authority. Under the terms of the bond, all payments made will be deposited by the surety directly into the standby trust fund in accordance with instructions from the administrative authority. The wording of the standby trust fund shall be as specified in LAC 33:VII.11103.B. The instructions in brackets are to be replaced with the relevant information and the brackets deleted.</w:t>
      </w:r>
    </w:p>
    <w:p w14:paraId="786885D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bond shall guarantee that the operator shall:</w:t>
      </w:r>
    </w:p>
    <w:p w14:paraId="5CE45D8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 xml:space="preserve">fund the standby trust fund in an amount equal to the penal sum of the bond before the beginning of final closure of the facility; </w:t>
      </w:r>
    </w:p>
    <w:p w14:paraId="3FE3FF3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fund the standby trust fund in an amount equal to the penal sum within 15 days after an order to begin closure is issued; or</w:t>
      </w:r>
    </w:p>
    <w:p w14:paraId="28C1F92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provide alternate financial assurance as specified in this Section, and obtain the administrative authority's written approval of the assurance provided, within 90 days after receipt by the permit holder and the administrative authority of a notice of cancellation of the bond from the surety.</w:t>
      </w:r>
    </w:p>
    <w:p w14:paraId="347F4A4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Under the terms of the bond, the surety shall become liable on the bond obligation when the permit holder fails to perform as guaranteed by the bond.</w:t>
      </w:r>
    </w:p>
    <w:p w14:paraId="1251066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penal sum of the bond shall be at least equal to the current closure cost estimates.</w:t>
      </w:r>
    </w:p>
    <w:p w14:paraId="496F158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Whenever the current cost estimate increases to an amount greater than the penal sum, the permit holder, within 60 days after the increase, shall either cause the penal sum to be increased to an amount at least equal to the current closure estimate and submit evidence of an increase to the Office of Environmental Services, or obtain other financial assurance as specified in this Section to cover the increase. Whenever the current cost estimate decreases, the penal sum may be reduced to the amount of the current cost estimate following written approval by the administrative authority.</w:t>
      </w:r>
    </w:p>
    <w:p w14:paraId="459A994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Under the terms of the bond, the surety may cancel the bond by sending notice of cancellation by certified mail to the permit holder and to the administrative authority. Cancellation may not occur before 120 days have elapsed, beginning on the date that the permit holder and the administrative authority receive the notice of cancellation, as evidenced by the return receipts.</w:t>
      </w:r>
    </w:p>
    <w:p w14:paraId="56F7884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wording of the financial guarantee bond guaranteeing payment into a standby trust fund shall be identical to the wording in LAC 33:VII.11103.B, except that the instructions in brackets shall be replaced with the relevant information and the brackets deleted.</w:t>
      </w:r>
    </w:p>
    <w:p w14:paraId="713397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Performance Bonds</w:t>
      </w:r>
    </w:p>
    <w:p w14:paraId="6347306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may satisfy the requirements of this Section by obtaining a performance bond that conforms to the following requirements and submitting the bond to the Office of Environmental Services.</w:t>
      </w:r>
    </w:p>
    <w:p w14:paraId="3D19072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surety company issuing the bond shall, at a minimum, be among those listed as acceptable sureties on federal bonds in Circular 570 of the U.S. Department of the Treasury and approved by the administrative authority.</w:t>
      </w:r>
    </w:p>
    <w:p w14:paraId="0435642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permit holder or applicant who uses a performance bond to satisfy the requirements of this Section shall provide evidence of establishment of a standby trust fund to the administrative authority. Under the terms of the bond, all payments made thereunder shall be deposited by the surety directly into the standby trust fund in accordance with instructions from the administrative authority. The wording of the standby trust fund shall be as specified in LAC 33:VII.11103.B. The instructions in brackets shall be replaced with the relevant information and the brackets deleted.</w:t>
      </w:r>
    </w:p>
    <w:p w14:paraId="0F4FE9F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bond shall guarantee that the permit holder or applicant shall:</w:t>
      </w:r>
    </w:p>
    <w:p w14:paraId="07D03CC5"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perform final closure in accordance with the closure plan and other requirements of the permit for the facility whenever required; or</w:t>
      </w:r>
    </w:p>
    <w:p w14:paraId="5AB80B5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provide alternate financial assurance as specified in this Section and obtain the administrative authority's written approval of the assurance provided within 90 days after the date the permit holder and the administrative authority receive notice of cancellation of the bond from the surety.</w:t>
      </w:r>
    </w:p>
    <w:p w14:paraId="6197BDC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Under the terms of the bond, the surety shall become liable on the bond obligation when the permit holder fails to perform as guaranteed by the bond. Following a determination by the administrative authority that the permit holder has failed to perform final closure in accordance with the closure plan and other permit requirements when required, under the terms of the bond, the surety shall perform final closure as guaranteed by the bond or shall deposit the amount of the penal sum into the standby trust fund.</w:t>
      </w:r>
    </w:p>
    <w:p w14:paraId="1559605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penal sum of the bond shall be at least equal to the current closure cost estimates.</w:t>
      </w:r>
    </w:p>
    <w:p w14:paraId="20D13D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 xml:space="preserve">When the current closure cost estimate increases to an amount greater than the penal sum, the permit holder, within 60 days after the increase, shall either cause the penal sum to be increased to an amount at least equal to the current closure cost estimates and submit evidence of such increase to the Office of Environmental Services, or obtain other financial assurance as specified in this Section. When the current cost estimate decreases, the penal sum may be reduced </w:t>
      </w:r>
      <w:r w:rsidRPr="006E50FF">
        <w:rPr>
          <w:kern w:val="2"/>
        </w:rPr>
        <w:lastRenderedPageBreak/>
        <w:t>to the amount of the current cost estimate, after written approval from the administrative authority.</w:t>
      </w:r>
    </w:p>
    <w:p w14:paraId="163E84A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Under the terms of the bond, the surety may cancel the bond by sending notice of cancellation by certified mail to the permit holder and to the Office of Environmental Services. Cancellation may not occur before 120 days have passed beginning on the date that the permit holder and the administrative authority receive the notice of cancellation, as evidenced by the return receipts.</w:t>
      </w:r>
    </w:p>
    <w:p w14:paraId="7774A85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wording of the performance bond shall be identical to the wording in LAC 33:VII.11103.B, except that the instructions in brackets are to be replaced with the relevant information and the brackets deleted.</w:t>
      </w:r>
    </w:p>
    <w:p w14:paraId="516A83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Letter of Credit</w:t>
      </w:r>
    </w:p>
    <w:p w14:paraId="7E3BB9E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may satisfy the requirements of this Section by obtaining an irrevocable standby letter of credit that conforms to the following requirements and submitting the letter to the Office of Environmental Services.</w:t>
      </w:r>
    </w:p>
    <w:p w14:paraId="54587F3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issuing institution shall be an entity that has the authority to issue letters of credit and whose letter-of-credit operations are regulated and examined by a federal or state agency.</w:t>
      </w:r>
    </w:p>
    <w:p w14:paraId="6215D4D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permit holder or applicant who uses a letter of credit to satisfy the requirements of this Section shall provide evidence of the establishment of a standby trust fund to the administrative authority. Under the terms of the letter of credit, all amounts paid according to a draft by the administrative authority shall be deposited by the issuing institution directly into the standby trust fund. The wording of the standby trust fund shall be as specified in LAC 33:VII.11103.B; the instructions in brackets are to be replaced with the relevant information and the brackets deleted.</w:t>
      </w:r>
    </w:p>
    <w:p w14:paraId="7A94521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letter of credit shall be accompanied by a letter from the permit holder or applicant referring to the letter of credit by number, issuing institution, date, and provide the:</w:t>
      </w:r>
    </w:p>
    <w:p w14:paraId="271D34F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agency interest number;</w:t>
      </w:r>
    </w:p>
    <w:p w14:paraId="268592A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waste tires identification number;</w:t>
      </w:r>
    </w:p>
    <w:p w14:paraId="6D5860A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site name;</w:t>
      </w:r>
    </w:p>
    <w:p w14:paraId="728162F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facility name; and</w:t>
      </w:r>
    </w:p>
    <w:p w14:paraId="68BDF49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facility permit number.</w:t>
      </w:r>
    </w:p>
    <w:p w14:paraId="5A5D4F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The letter of credit shall be irrevocable and issued for a period of at least one year, unless the issuing institution notifies both the permit holder and the Office of Environmental Services by certified mail of a decision not to extend the expiration date, at least 120 days before the current expiration date. Under the terms of the letter of credit, the 120 days will begin on the date when the permit holder and the administrative authority receive the notice, as evidenced by the return receipts.</w:t>
      </w:r>
    </w:p>
    <w:p w14:paraId="48CD0F7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letter of credit shall be issued in an amount at least equal to the current closure cost estimates.</w:t>
      </w:r>
    </w:p>
    <w:p w14:paraId="7DD868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 xml:space="preserve">When the current cost estimates increase to an amount greater than the amount of the credit, the permit holder shall cause the amount of the credit to be increased so that it at least equals the current closure cost estimates and submit evidence of the increase to the Office of Environmental Services, or obtain other financial assurance as specified in this Section to cover the increase within 60 days after the increase. When the current cost estimate decreases, the amount of the credit may be reduced to the </w:t>
      </w:r>
      <w:r w:rsidRPr="006E50FF">
        <w:rPr>
          <w:kern w:val="2"/>
        </w:rPr>
        <w:t>amount of the current closure cost estimates upon written approval of the administrative authority.</w:t>
      </w:r>
    </w:p>
    <w:p w14:paraId="723D6A1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Following a determination by the administrative authority that the permit holder has failed to perform final closure in accordance with the closure plan and other permit requirements when required to do so, the administrative authority may draw on the letter of credit.</w:t>
      </w:r>
    </w:p>
    <w:p w14:paraId="391BDE1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wording of the letter of credit shall be identical to the wording in LAC 33:VII.11103.B, except that the instructions in brackets shall be replaced with the relevant information and the brackets deleted.</w:t>
      </w:r>
    </w:p>
    <w:p w14:paraId="7D238A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Use of Multiple Mechanisms. An owner or operator may demonstrate financial assurance for closure in accordance with this Section by establishing more than one financial mechanism per facility, except that mechanisms guaranteeing performance, rather than payment, may not be combined with other instruments. The mechanisms shall be as specified in Paragraphs 3 and 5 of this Subsection, except that financial assurance for an amount at least equal to the current cost estimate for closure may be provided by a combination of mechanisms, rather than a single mechanism.</w:t>
      </w:r>
    </w:p>
    <w:p w14:paraId="5784EC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Providing alternate financial assurance as specified in this Section does not constitute a modification and is not subject to LAC 33:VII.10511.</w:t>
      </w:r>
    </w:p>
    <w:p w14:paraId="217E27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When the permit holder is the state or federal government, the facility is exempt from the requirements of this Section.</w:t>
      </w:r>
    </w:p>
    <w:p w14:paraId="7FC22D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Incapacity of a Permit Holder, Applicant, or Financial Institution</w:t>
      </w:r>
    </w:p>
    <w:p w14:paraId="575FA4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permit holder or applicant shall notify the Office of Environmental Services by certified mail of the commencement of a voluntary or involuntary proceeding under Title 11 (Bankruptcy), U.S. Code, naming the permit holder or applicant as debtor, within 10 days after commencement of the proceeding.</w:t>
      </w:r>
    </w:p>
    <w:p w14:paraId="0B3ACF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permit holder or applicant who fulfills the requirements of LAC 33:VII.10547.A by obtaining a financial guarantee bond, performance bond, or letter of credit will be deemed to be without the required financial assurance in the event of bankruptcy of the trustee or issuing institution, or a suspension or revocation of the authority of the trustee institution to act as trustee or of the institution issuing the financial guarantee bond, performance bond, or letter of credit to issue such instruments. The permit holder or applicant shall establish other financial assurance within 60 days after such an event.</w:t>
      </w:r>
    </w:p>
    <w:p w14:paraId="6A2E07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30:2418.</w:t>
      </w:r>
    </w:p>
    <w:p w14:paraId="02F48B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7A9DBE2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111.</w:t>
      </w:r>
      <w:bookmarkStart w:id="555" w:name="TOCT_Chap97"/>
      <w:bookmarkEnd w:id="554"/>
      <w:r w:rsidRPr="006E50FF">
        <w:rPr>
          <w:b/>
          <w:kern w:val="2"/>
        </w:rPr>
        <w:tab/>
        <w:t>Appendices</w:t>
      </w:r>
      <w:bookmarkEnd w:id="555"/>
    </w:p>
    <w:p w14:paraId="1096065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6" w:name="TOC_Sect221"/>
      <w:r w:rsidRPr="006E50FF">
        <w:rPr>
          <w:b/>
          <w:kern w:val="2"/>
        </w:rPr>
        <w:t>§11103.</w:t>
      </w:r>
      <w:r w:rsidRPr="006E50FF">
        <w:rPr>
          <w:b/>
          <w:kern w:val="2"/>
        </w:rPr>
        <w:tab/>
        <w:t>Financial Assurance Documents—Appendix B</w:t>
      </w:r>
      <w:r w:rsidRPr="006E50FF">
        <w:rPr>
          <w:b/>
          <w:kern w:val="2"/>
        </w:rPr>
        <w:br/>
        <w:t>[Formerly §11101]</w:t>
      </w:r>
    </w:p>
    <w:p w14:paraId="667E0C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Louisiana Department of Environmental Quality Financial Assurance Documents for Waste Tire Facilities. The following documents are to be used to demonstrate financial responsibility for the closure of waste tire facilities. The wording of the documents shall be identical to the wording that follows, except that the instructions in brackets are to be replaced with the relevant information and the brackets deleted.</w:t>
      </w:r>
    </w:p>
    <w:p w14:paraId="0CAC9C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550B48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Waste Tire Facility Sample Documents</w:t>
      </w:r>
    </w:p>
    <w:p w14:paraId="2CF555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Financial Guarantee Bond</w:t>
      </w:r>
    </w:p>
    <w:p w14:paraId="5ACC35AD" w14:textId="77777777" w:rsidR="006E50FF" w:rsidRPr="006E50FF" w:rsidRDefault="006E50FF" w:rsidP="006E50FF">
      <w:pPr>
        <w:ind w:left="432" w:right="432"/>
        <w:jc w:val="center"/>
        <w:rPr>
          <w:b/>
          <w:noProof/>
          <w:sz w:val="16"/>
          <w:szCs w:val="16"/>
        </w:rPr>
      </w:pPr>
    </w:p>
    <w:p w14:paraId="67340DE7" w14:textId="77777777" w:rsidR="006E50FF" w:rsidRPr="006E50FF" w:rsidRDefault="006E50FF" w:rsidP="006E50FF">
      <w:pPr>
        <w:ind w:left="432" w:right="432"/>
        <w:jc w:val="center"/>
        <w:rPr>
          <w:b/>
          <w:noProof/>
          <w:sz w:val="16"/>
          <w:szCs w:val="16"/>
        </w:rPr>
      </w:pPr>
      <w:r w:rsidRPr="006E50FF">
        <w:rPr>
          <w:b/>
          <w:noProof/>
          <w:sz w:val="16"/>
          <w:szCs w:val="16"/>
        </w:rPr>
        <w:t>SAMPLE DOCUMENT 1:</w:t>
      </w:r>
    </w:p>
    <w:p w14:paraId="530651E0" w14:textId="77777777" w:rsidR="006E50FF" w:rsidRPr="006E50FF" w:rsidRDefault="006E50FF" w:rsidP="006E50FF">
      <w:pPr>
        <w:ind w:left="432" w:right="432"/>
        <w:jc w:val="center"/>
        <w:rPr>
          <w:b/>
          <w:noProof/>
          <w:sz w:val="16"/>
          <w:szCs w:val="16"/>
        </w:rPr>
      </w:pPr>
      <w:r w:rsidRPr="006E50FF">
        <w:rPr>
          <w:b/>
          <w:noProof/>
          <w:sz w:val="16"/>
          <w:szCs w:val="16"/>
        </w:rPr>
        <w:t>WASTE TIRE FACILITY</w:t>
      </w:r>
    </w:p>
    <w:p w14:paraId="347FDAFD" w14:textId="77777777" w:rsidR="006E50FF" w:rsidRPr="006E50FF" w:rsidRDefault="006E50FF" w:rsidP="006E50FF">
      <w:pPr>
        <w:ind w:left="432" w:right="432"/>
        <w:jc w:val="center"/>
        <w:rPr>
          <w:b/>
          <w:noProof/>
          <w:sz w:val="16"/>
          <w:szCs w:val="16"/>
        </w:rPr>
      </w:pPr>
      <w:r w:rsidRPr="006E50FF">
        <w:rPr>
          <w:b/>
          <w:noProof/>
          <w:sz w:val="16"/>
          <w:szCs w:val="16"/>
        </w:rPr>
        <w:t>FINANCIAL GUARANTEE BOND</w:t>
      </w:r>
    </w:p>
    <w:p w14:paraId="2800E2DE" w14:textId="77777777" w:rsidR="006E50FF" w:rsidRPr="006E50FF" w:rsidRDefault="006E50FF" w:rsidP="006E50FF">
      <w:pPr>
        <w:ind w:left="432" w:right="432"/>
        <w:jc w:val="both"/>
        <w:rPr>
          <w:noProof/>
          <w:sz w:val="16"/>
          <w:szCs w:val="16"/>
        </w:rPr>
      </w:pPr>
      <w:r w:rsidRPr="006E50FF">
        <w:rPr>
          <w:noProof/>
          <w:sz w:val="16"/>
          <w:szCs w:val="16"/>
        </w:rPr>
        <w:t>Date bond was executed: [Date bond executed]</w:t>
      </w:r>
    </w:p>
    <w:p w14:paraId="450C3903" w14:textId="77777777" w:rsidR="006E50FF" w:rsidRPr="006E50FF" w:rsidRDefault="006E50FF" w:rsidP="006E50FF">
      <w:pPr>
        <w:ind w:left="432" w:right="432"/>
        <w:jc w:val="both"/>
        <w:rPr>
          <w:noProof/>
          <w:sz w:val="16"/>
          <w:szCs w:val="16"/>
        </w:rPr>
      </w:pPr>
      <w:r w:rsidRPr="006E50FF">
        <w:rPr>
          <w:noProof/>
          <w:sz w:val="16"/>
          <w:szCs w:val="16"/>
        </w:rPr>
        <w:t>Effective date: [Effective date of bond]</w:t>
      </w:r>
    </w:p>
    <w:p w14:paraId="00F4042E" w14:textId="77777777" w:rsidR="006E50FF" w:rsidRPr="006E50FF" w:rsidRDefault="006E50FF" w:rsidP="006E50FF">
      <w:pPr>
        <w:ind w:left="432" w:right="432"/>
        <w:jc w:val="both"/>
        <w:rPr>
          <w:noProof/>
          <w:sz w:val="16"/>
          <w:szCs w:val="16"/>
        </w:rPr>
      </w:pPr>
      <w:r w:rsidRPr="006E50FF">
        <w:rPr>
          <w:noProof/>
          <w:sz w:val="16"/>
          <w:szCs w:val="16"/>
        </w:rPr>
        <w:t>Principal:</w:t>
      </w:r>
      <w:r w:rsidRPr="006E50FF">
        <w:rPr>
          <w:noProof/>
          <w:sz w:val="16"/>
          <w:szCs w:val="16"/>
        </w:rPr>
        <w:tab/>
        <w:t>[legal name and business address of permit holder or applicant]</w:t>
      </w:r>
    </w:p>
    <w:p w14:paraId="2C511541" w14:textId="77777777" w:rsidR="006E50FF" w:rsidRPr="006E50FF" w:rsidRDefault="006E50FF" w:rsidP="006E50FF">
      <w:pPr>
        <w:ind w:left="432" w:right="432"/>
        <w:jc w:val="both"/>
        <w:rPr>
          <w:noProof/>
          <w:sz w:val="16"/>
          <w:szCs w:val="16"/>
        </w:rPr>
      </w:pPr>
      <w:r w:rsidRPr="006E50FF">
        <w:rPr>
          <w:noProof/>
          <w:sz w:val="16"/>
          <w:szCs w:val="16"/>
        </w:rPr>
        <w:t>Type of organization:</w:t>
      </w:r>
      <w:r w:rsidRPr="006E50FF">
        <w:rPr>
          <w:noProof/>
          <w:sz w:val="16"/>
          <w:szCs w:val="16"/>
        </w:rPr>
        <w:tab/>
        <w:t>[insert "individual," "joint venture," "partnership," or "corporation"]</w:t>
      </w:r>
    </w:p>
    <w:p w14:paraId="3DA92F76" w14:textId="77777777" w:rsidR="006E50FF" w:rsidRPr="006E50FF" w:rsidRDefault="006E50FF" w:rsidP="006E50FF">
      <w:pPr>
        <w:ind w:left="432" w:right="432"/>
        <w:jc w:val="both"/>
        <w:rPr>
          <w:noProof/>
          <w:sz w:val="16"/>
          <w:szCs w:val="16"/>
        </w:rPr>
      </w:pPr>
      <w:r w:rsidRPr="006E50FF">
        <w:rPr>
          <w:noProof/>
          <w:sz w:val="16"/>
          <w:szCs w:val="16"/>
        </w:rPr>
        <w:t xml:space="preserve">State of incorporation: </w:t>
      </w:r>
    </w:p>
    <w:p w14:paraId="1E8EA6D6" w14:textId="77777777" w:rsidR="006E50FF" w:rsidRPr="006E50FF" w:rsidRDefault="006E50FF" w:rsidP="006E50FF">
      <w:pPr>
        <w:ind w:left="432" w:right="432"/>
        <w:jc w:val="both"/>
        <w:rPr>
          <w:noProof/>
          <w:sz w:val="16"/>
          <w:szCs w:val="16"/>
        </w:rPr>
      </w:pPr>
      <w:r w:rsidRPr="006E50FF">
        <w:rPr>
          <w:noProof/>
          <w:sz w:val="16"/>
          <w:szCs w:val="16"/>
        </w:rPr>
        <w:t>Surety: [name and business address]</w:t>
      </w:r>
    </w:p>
    <w:p w14:paraId="61A31D2F" w14:textId="77777777" w:rsidR="006E50FF" w:rsidRPr="006E50FF" w:rsidRDefault="006E50FF" w:rsidP="006E50FF">
      <w:pPr>
        <w:ind w:left="432" w:right="432"/>
        <w:jc w:val="both"/>
        <w:rPr>
          <w:noProof/>
          <w:sz w:val="16"/>
          <w:szCs w:val="16"/>
        </w:rPr>
      </w:pPr>
      <w:r w:rsidRPr="006E50FF">
        <w:rPr>
          <w:noProof/>
          <w:sz w:val="16"/>
          <w:szCs w:val="16"/>
        </w:rPr>
        <w:t>[site identification number, site name, facility name, and current closure amount for each facility guaranteed by this bond]</w:t>
      </w:r>
    </w:p>
    <w:p w14:paraId="49A36BD1" w14:textId="77777777" w:rsidR="006E50FF" w:rsidRPr="006E50FF" w:rsidRDefault="006E50FF" w:rsidP="006E50FF">
      <w:pPr>
        <w:ind w:left="432" w:right="432"/>
        <w:jc w:val="both"/>
        <w:rPr>
          <w:noProof/>
          <w:sz w:val="16"/>
          <w:szCs w:val="16"/>
        </w:rPr>
      </w:pPr>
      <w:r w:rsidRPr="006E50FF">
        <w:rPr>
          <w:noProof/>
          <w:sz w:val="16"/>
          <w:szCs w:val="16"/>
        </w:rPr>
        <w:t>Total penal sum of bond: $</w:t>
      </w:r>
    </w:p>
    <w:p w14:paraId="1D6BFF4E" w14:textId="77777777" w:rsidR="006E50FF" w:rsidRPr="006E50FF" w:rsidRDefault="006E50FF" w:rsidP="006E50FF">
      <w:pPr>
        <w:ind w:left="432" w:right="432"/>
        <w:jc w:val="both"/>
        <w:rPr>
          <w:noProof/>
          <w:sz w:val="16"/>
          <w:szCs w:val="16"/>
        </w:rPr>
      </w:pPr>
      <w:r w:rsidRPr="006E50FF">
        <w:rPr>
          <w:noProof/>
          <w:sz w:val="16"/>
          <w:szCs w:val="16"/>
        </w:rPr>
        <w:t>Surety's bond number:</w:t>
      </w:r>
    </w:p>
    <w:p w14:paraId="532E06A9" w14:textId="77777777" w:rsidR="006E50FF" w:rsidRPr="006E50FF" w:rsidRDefault="006E50FF" w:rsidP="006E50FF">
      <w:pPr>
        <w:ind w:left="432" w:right="432"/>
        <w:jc w:val="both"/>
        <w:rPr>
          <w:noProof/>
          <w:sz w:val="16"/>
          <w:szCs w:val="16"/>
        </w:rPr>
      </w:pPr>
      <w:r w:rsidRPr="006E50FF">
        <w:rPr>
          <w:noProof/>
          <w:sz w:val="16"/>
          <w:szCs w:val="16"/>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or liability is indicated, the limit of liability shall be the full amount of the penal sum.</w:t>
      </w:r>
    </w:p>
    <w:p w14:paraId="27C26B7F" w14:textId="77777777" w:rsidR="006E50FF" w:rsidRPr="006E50FF" w:rsidRDefault="006E50FF" w:rsidP="006E50FF">
      <w:pPr>
        <w:ind w:left="432" w:right="432"/>
        <w:jc w:val="both"/>
        <w:rPr>
          <w:noProof/>
          <w:sz w:val="16"/>
          <w:szCs w:val="16"/>
        </w:rPr>
      </w:pPr>
      <w:r w:rsidRPr="006E50FF">
        <w:rPr>
          <w:noProof/>
          <w:sz w:val="16"/>
          <w:szCs w:val="16"/>
        </w:rPr>
        <w:tab/>
        <w:t>WHEREAS, said Principal is required, under the Louisiana Environmental Quality Act, R.S. 30:2001 et seq., to have a permit in order to own or operate the waste tire facility identified above; and</w:t>
      </w:r>
    </w:p>
    <w:p w14:paraId="68A2A267" w14:textId="77777777" w:rsidR="006E50FF" w:rsidRPr="006E50FF" w:rsidRDefault="006E50FF" w:rsidP="006E50FF">
      <w:pPr>
        <w:ind w:left="432" w:right="432"/>
        <w:jc w:val="both"/>
        <w:rPr>
          <w:noProof/>
          <w:sz w:val="16"/>
          <w:szCs w:val="16"/>
        </w:rPr>
      </w:pPr>
      <w:r w:rsidRPr="006E50FF">
        <w:rPr>
          <w:noProof/>
          <w:sz w:val="16"/>
          <w:szCs w:val="16"/>
        </w:rPr>
        <w:tab/>
        <w:t>WHEREAS, the Principal is required by law to provide financial assurance for closure care, as a condition of the permit;</w:t>
      </w:r>
    </w:p>
    <w:p w14:paraId="423D3D42" w14:textId="77777777" w:rsidR="006E50FF" w:rsidRPr="006E50FF" w:rsidRDefault="006E50FF" w:rsidP="006E50FF">
      <w:pPr>
        <w:ind w:left="432" w:right="432"/>
        <w:jc w:val="both"/>
        <w:rPr>
          <w:noProof/>
          <w:sz w:val="16"/>
          <w:szCs w:val="16"/>
        </w:rPr>
      </w:pPr>
      <w:r w:rsidRPr="006E50FF">
        <w:rPr>
          <w:noProof/>
          <w:sz w:val="16"/>
          <w:szCs w:val="16"/>
        </w:rPr>
        <w:tab/>
        <w:t>NOW THEREFORE, if the Principal shall provide alternate financial assurance as specified in LAC 33:VII.10525.G.15 and 16 and obtain written approval from the Office of Management and Finance, Financial Services Division of such assurance, within 90 days after the date of notice of cancellation is received by both the Principal and the administrative authority from the Surety, then this obligation shall be null and void; otherwise it is to remain in full force and effect.</w:t>
      </w:r>
    </w:p>
    <w:p w14:paraId="4263DFC6" w14:textId="77777777" w:rsidR="006E50FF" w:rsidRPr="006E50FF" w:rsidRDefault="006E50FF" w:rsidP="006E50FF">
      <w:pPr>
        <w:ind w:left="432" w:right="432"/>
        <w:jc w:val="both"/>
        <w:rPr>
          <w:noProof/>
          <w:sz w:val="16"/>
          <w:szCs w:val="16"/>
        </w:rPr>
      </w:pPr>
      <w:r w:rsidRPr="006E50FF">
        <w:rPr>
          <w:noProof/>
          <w:sz w:val="16"/>
          <w:szCs w:val="16"/>
        </w:rPr>
        <w:tab/>
        <w:t>The Surety shall become liable on this bond obligation only when the Principal has failed to fulfill the conditions described above. Upon notification by the administrative authority that the Principal has failed to perform closure in accordance with the closure plan and permit requirements as guaranteed by this bond, the Surety shall place funds in the amount guaranteed for the facility into the standby trust as directed by the administrative authority.</w:t>
      </w:r>
    </w:p>
    <w:p w14:paraId="0C8C7DC2" w14:textId="77777777" w:rsidR="006E50FF" w:rsidRPr="006E50FF" w:rsidRDefault="006E50FF" w:rsidP="006E50FF">
      <w:pPr>
        <w:ind w:left="432" w:right="432"/>
        <w:jc w:val="both"/>
        <w:rPr>
          <w:noProof/>
          <w:sz w:val="16"/>
          <w:szCs w:val="16"/>
        </w:rPr>
      </w:pPr>
      <w:r w:rsidRPr="006E50FF">
        <w:rPr>
          <w:noProof/>
          <w:sz w:val="16"/>
          <w:szCs w:val="16"/>
        </w:rPr>
        <w:tab/>
        <w:t>The Surety hereby waives notification of amendments to closure plans, permits, applicable laws, statutes, rules, and regulations, and agrees that no such amendment shall in any way alleviate its obligation on this bond.</w:t>
      </w:r>
    </w:p>
    <w:p w14:paraId="04C13241" w14:textId="77777777" w:rsidR="006E50FF" w:rsidRPr="006E50FF" w:rsidRDefault="006E50FF" w:rsidP="006E50FF">
      <w:pPr>
        <w:ind w:left="432" w:right="432"/>
        <w:jc w:val="both"/>
        <w:rPr>
          <w:noProof/>
          <w:sz w:val="16"/>
          <w:szCs w:val="16"/>
        </w:rPr>
      </w:pPr>
      <w:r w:rsidRPr="006E50FF">
        <w:rPr>
          <w:noProof/>
          <w:sz w:val="16"/>
          <w:szCs w:val="16"/>
        </w:rPr>
        <w:tab/>
        <w:t>The liability of the Surety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02B192A0" w14:textId="77777777" w:rsidR="006E50FF" w:rsidRPr="006E50FF" w:rsidRDefault="006E50FF" w:rsidP="006E50FF">
      <w:pPr>
        <w:ind w:left="432" w:right="432"/>
        <w:jc w:val="both"/>
        <w:rPr>
          <w:noProof/>
          <w:sz w:val="16"/>
          <w:szCs w:val="16"/>
        </w:rPr>
      </w:pPr>
      <w:r w:rsidRPr="006E50FF">
        <w:rPr>
          <w:noProof/>
          <w:sz w:val="16"/>
          <w:szCs w:val="16"/>
        </w:rPr>
        <w:tab/>
        <w:t>The Surety may cancel the bond by sending notice of cancellation by certified mail to the Principal and to the Office of Management and Finance, Financial Services Division. Cancellation shall not occur before 120 days have elapsed beginning on the date that both the Principal and the administrative authority received the notice of cancellation, as evidenced by the return receipts.</w:t>
      </w:r>
    </w:p>
    <w:p w14:paraId="7152C1A3" w14:textId="77777777" w:rsidR="006E50FF" w:rsidRPr="006E50FF" w:rsidRDefault="006E50FF" w:rsidP="006E50FF">
      <w:pPr>
        <w:ind w:left="432" w:right="432"/>
        <w:jc w:val="both"/>
        <w:rPr>
          <w:noProof/>
          <w:sz w:val="16"/>
          <w:szCs w:val="16"/>
        </w:rPr>
      </w:pPr>
      <w:r w:rsidRPr="006E50FF">
        <w:rPr>
          <w:noProof/>
          <w:sz w:val="16"/>
          <w:szCs w:val="16"/>
        </w:rPr>
        <w:tab/>
        <w:t>The Principal may terminate this bond by sending written notice to the Surety and to the Office of Management and Finance, Financial Services Division, provided, however, that no such notice shall become effective until the Surety receives written authorization for termination of the bond by the administrative authority.</w:t>
      </w:r>
    </w:p>
    <w:p w14:paraId="0EDB8F4B" w14:textId="77777777" w:rsidR="006E50FF" w:rsidRPr="006E50FF" w:rsidRDefault="006E50FF" w:rsidP="006E50FF">
      <w:pPr>
        <w:ind w:left="432" w:right="432"/>
        <w:jc w:val="both"/>
        <w:rPr>
          <w:noProof/>
          <w:sz w:val="16"/>
          <w:szCs w:val="16"/>
        </w:rPr>
      </w:pPr>
      <w:r w:rsidRPr="006E50FF">
        <w:rPr>
          <w:noProof/>
          <w:sz w:val="16"/>
          <w:szCs w:val="16"/>
        </w:rPr>
        <w:tab/>
        <w:t>The Principal and Surety hereby agree that no portion of the penal sum may be expended without prior written approval of the administrative authority.</w:t>
      </w:r>
    </w:p>
    <w:p w14:paraId="1814EB38" w14:textId="77777777" w:rsidR="006E50FF" w:rsidRPr="006E50FF" w:rsidRDefault="006E50FF" w:rsidP="006E50FF">
      <w:pPr>
        <w:ind w:left="432" w:right="432"/>
        <w:jc w:val="both"/>
        <w:rPr>
          <w:noProof/>
          <w:sz w:val="16"/>
          <w:szCs w:val="16"/>
        </w:rPr>
      </w:pPr>
      <w:r w:rsidRPr="006E50FF">
        <w:rPr>
          <w:noProof/>
          <w:sz w:val="16"/>
          <w:szCs w:val="16"/>
        </w:rPr>
        <w:tab/>
        <w:t>IN WITNESS WHEREOF, the Principal and the Surety have executed this FINANCIAL GUARANTEE BOND and have affixed their seals on the date set forth above.</w:t>
      </w:r>
    </w:p>
    <w:p w14:paraId="759074F1" w14:textId="77777777" w:rsidR="006E50FF" w:rsidRPr="006E50FF" w:rsidRDefault="006E50FF" w:rsidP="006E50FF">
      <w:pPr>
        <w:ind w:left="432" w:right="432"/>
        <w:jc w:val="both"/>
        <w:rPr>
          <w:noProof/>
          <w:sz w:val="16"/>
          <w:szCs w:val="16"/>
        </w:rPr>
      </w:pPr>
      <w:r w:rsidRPr="006E50FF">
        <w:rPr>
          <w:noProof/>
          <w:sz w:val="16"/>
          <w:szCs w:val="16"/>
        </w:rPr>
        <w:tab/>
        <w:t>Those persons whose signatures appear below hereby certify that they are authorized to execute this FINANCIAL GUARANTEE BOND on behalf of the Principal and Surety, that each Surety hereto is authorized to do business in the state of Louisiana and that the wording of this surety bond is identical to the wording specified in the Louisiana Department of Environmental Quality's Waste Tire Regulations, LAC 33:VII.11103.B.1 effective on the date this bond was executed.</w:t>
      </w:r>
    </w:p>
    <w:p w14:paraId="41E34B32"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PRINCIPAL</w:t>
      </w:r>
    </w:p>
    <w:p w14:paraId="47C88A91"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7378A880"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w:t>
      </w:r>
    </w:p>
    <w:p w14:paraId="76E52FCE"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[Title(s)]</w:t>
      </w:r>
    </w:p>
    <w:p w14:paraId="5167F509"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1C303636"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CORPORATE SURETIES</w:t>
      </w:r>
    </w:p>
    <w:p w14:paraId="009C643A"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 and Address]</w:t>
      </w:r>
    </w:p>
    <w:p w14:paraId="0ABDB7C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 xml:space="preserve">State of incorporation: </w:t>
      </w:r>
    </w:p>
    <w:p w14:paraId="2B40E5D4"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Liability limit:</w:t>
      </w:r>
    </w:p>
    <w:p w14:paraId="73BDB763"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50315074"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 and title(s)]</w:t>
      </w:r>
    </w:p>
    <w:p w14:paraId="0EE86190"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03F3889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[This information must be provided for each cosurety]</w:t>
      </w:r>
    </w:p>
    <w:p w14:paraId="30CCA476"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Bond Premium: $</w:t>
      </w:r>
    </w:p>
    <w:p w14:paraId="35CE09E6" w14:textId="77777777" w:rsidR="006E50FF" w:rsidRPr="006E50FF" w:rsidRDefault="006E50FF" w:rsidP="006E50FF">
      <w:pPr>
        <w:ind w:left="432" w:right="432"/>
        <w:jc w:val="both"/>
        <w:rPr>
          <w:rFonts w:eastAsia="Calibri"/>
          <w:noProof/>
          <w:sz w:val="16"/>
          <w:szCs w:val="16"/>
        </w:rPr>
      </w:pPr>
    </w:p>
    <w:p w14:paraId="3C5E9D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Performance Bond</w:t>
      </w:r>
    </w:p>
    <w:p w14:paraId="14DBE56F" w14:textId="77777777" w:rsidR="006E50FF" w:rsidRPr="006E50FF" w:rsidRDefault="006E50FF" w:rsidP="006E50FF">
      <w:pPr>
        <w:ind w:left="432" w:right="432"/>
        <w:jc w:val="center"/>
        <w:rPr>
          <w:b/>
          <w:noProof/>
          <w:sz w:val="16"/>
          <w:szCs w:val="16"/>
        </w:rPr>
      </w:pPr>
    </w:p>
    <w:p w14:paraId="52FD903D" w14:textId="77777777" w:rsidR="006E50FF" w:rsidRPr="006E50FF" w:rsidRDefault="006E50FF" w:rsidP="006E50FF">
      <w:pPr>
        <w:ind w:left="432" w:right="432"/>
        <w:jc w:val="center"/>
        <w:rPr>
          <w:b/>
          <w:noProof/>
          <w:sz w:val="16"/>
          <w:szCs w:val="16"/>
        </w:rPr>
      </w:pPr>
      <w:r w:rsidRPr="006E50FF">
        <w:rPr>
          <w:b/>
          <w:noProof/>
          <w:sz w:val="16"/>
          <w:szCs w:val="16"/>
        </w:rPr>
        <w:t>SAMPLE DOCUMENT 2:</w:t>
      </w:r>
    </w:p>
    <w:p w14:paraId="649367D9" w14:textId="77777777" w:rsidR="006E50FF" w:rsidRPr="006E50FF" w:rsidRDefault="006E50FF" w:rsidP="006E50FF">
      <w:pPr>
        <w:ind w:left="432" w:right="432"/>
        <w:jc w:val="center"/>
        <w:rPr>
          <w:b/>
          <w:noProof/>
          <w:sz w:val="16"/>
          <w:szCs w:val="16"/>
        </w:rPr>
      </w:pPr>
      <w:r w:rsidRPr="006E50FF">
        <w:rPr>
          <w:b/>
          <w:noProof/>
          <w:sz w:val="16"/>
          <w:szCs w:val="16"/>
        </w:rPr>
        <w:t>WASTE TIRE FACILITY</w:t>
      </w:r>
    </w:p>
    <w:p w14:paraId="0603DB0F" w14:textId="77777777" w:rsidR="006E50FF" w:rsidRPr="006E50FF" w:rsidRDefault="006E50FF" w:rsidP="006E50FF">
      <w:pPr>
        <w:ind w:left="432" w:right="432"/>
        <w:jc w:val="center"/>
        <w:rPr>
          <w:b/>
          <w:noProof/>
          <w:sz w:val="16"/>
          <w:szCs w:val="16"/>
        </w:rPr>
      </w:pPr>
      <w:r w:rsidRPr="006E50FF">
        <w:rPr>
          <w:b/>
          <w:noProof/>
          <w:sz w:val="16"/>
          <w:szCs w:val="16"/>
        </w:rPr>
        <w:t>PERFORMANCE BOND</w:t>
      </w:r>
    </w:p>
    <w:p w14:paraId="5CF77F27" w14:textId="77777777" w:rsidR="006E50FF" w:rsidRPr="006E50FF" w:rsidRDefault="006E50FF" w:rsidP="006E50FF">
      <w:pPr>
        <w:ind w:left="432" w:right="432"/>
        <w:jc w:val="both"/>
        <w:rPr>
          <w:noProof/>
          <w:sz w:val="16"/>
          <w:szCs w:val="16"/>
        </w:rPr>
      </w:pPr>
      <w:r w:rsidRPr="006E50FF">
        <w:rPr>
          <w:noProof/>
          <w:sz w:val="16"/>
          <w:szCs w:val="16"/>
        </w:rPr>
        <w:t>Date bond was executed:</w:t>
      </w:r>
      <w:r w:rsidRPr="006E50FF">
        <w:rPr>
          <w:noProof/>
          <w:sz w:val="16"/>
          <w:szCs w:val="16"/>
        </w:rPr>
        <w:tab/>
        <w:t xml:space="preserve"> [date bond executed]</w:t>
      </w:r>
    </w:p>
    <w:p w14:paraId="1DD5D78F" w14:textId="77777777" w:rsidR="006E50FF" w:rsidRPr="006E50FF" w:rsidRDefault="006E50FF" w:rsidP="006E50FF">
      <w:pPr>
        <w:ind w:left="432" w:right="432"/>
        <w:jc w:val="both"/>
        <w:rPr>
          <w:noProof/>
          <w:sz w:val="16"/>
          <w:szCs w:val="16"/>
        </w:rPr>
      </w:pPr>
      <w:r w:rsidRPr="006E50FF">
        <w:rPr>
          <w:noProof/>
          <w:sz w:val="16"/>
          <w:szCs w:val="16"/>
        </w:rPr>
        <w:t>Effective date:</w:t>
      </w:r>
      <w:r w:rsidRPr="006E50FF">
        <w:rPr>
          <w:noProof/>
          <w:sz w:val="16"/>
          <w:szCs w:val="16"/>
        </w:rPr>
        <w:tab/>
        <w:t xml:space="preserve"> [effective date of bond]</w:t>
      </w:r>
    </w:p>
    <w:p w14:paraId="2FBB3B01" w14:textId="77777777" w:rsidR="006E50FF" w:rsidRPr="006E50FF" w:rsidRDefault="006E50FF" w:rsidP="006E50FF">
      <w:pPr>
        <w:ind w:left="432" w:right="432"/>
        <w:jc w:val="both"/>
        <w:rPr>
          <w:noProof/>
          <w:sz w:val="16"/>
          <w:szCs w:val="16"/>
        </w:rPr>
      </w:pPr>
      <w:r w:rsidRPr="006E50FF">
        <w:rPr>
          <w:noProof/>
          <w:sz w:val="16"/>
          <w:szCs w:val="16"/>
        </w:rPr>
        <w:t>Principal:</w:t>
      </w:r>
      <w:r w:rsidRPr="006E50FF">
        <w:rPr>
          <w:noProof/>
          <w:sz w:val="16"/>
          <w:szCs w:val="16"/>
        </w:rPr>
        <w:tab/>
        <w:t>[legal name and business address of permit holder or applicant]</w:t>
      </w:r>
    </w:p>
    <w:p w14:paraId="3CD355BA" w14:textId="77777777" w:rsidR="006E50FF" w:rsidRPr="006E50FF" w:rsidRDefault="006E50FF" w:rsidP="006E50FF">
      <w:pPr>
        <w:ind w:left="432" w:right="432"/>
        <w:jc w:val="both"/>
        <w:rPr>
          <w:noProof/>
          <w:sz w:val="16"/>
          <w:szCs w:val="16"/>
        </w:rPr>
      </w:pPr>
      <w:r w:rsidRPr="006E50FF">
        <w:rPr>
          <w:noProof/>
          <w:sz w:val="16"/>
          <w:szCs w:val="16"/>
        </w:rPr>
        <w:t>Type of organization:</w:t>
      </w:r>
      <w:r w:rsidRPr="006E50FF">
        <w:rPr>
          <w:noProof/>
          <w:sz w:val="16"/>
          <w:szCs w:val="16"/>
        </w:rPr>
        <w:tab/>
        <w:t>[insert "individual," "joint venture," "partnership," or "corporation"]</w:t>
      </w:r>
    </w:p>
    <w:p w14:paraId="128C9B89" w14:textId="77777777" w:rsidR="006E50FF" w:rsidRPr="006E50FF" w:rsidRDefault="006E50FF" w:rsidP="006E50FF">
      <w:pPr>
        <w:ind w:left="432" w:right="432"/>
        <w:jc w:val="both"/>
        <w:rPr>
          <w:noProof/>
          <w:sz w:val="16"/>
          <w:szCs w:val="16"/>
        </w:rPr>
      </w:pPr>
      <w:r w:rsidRPr="006E50FF">
        <w:rPr>
          <w:noProof/>
          <w:sz w:val="16"/>
          <w:szCs w:val="16"/>
        </w:rPr>
        <w:t>State of incorporation:</w:t>
      </w:r>
    </w:p>
    <w:p w14:paraId="37379DE1" w14:textId="77777777" w:rsidR="006E50FF" w:rsidRPr="006E50FF" w:rsidRDefault="006E50FF" w:rsidP="006E50FF">
      <w:pPr>
        <w:ind w:left="432" w:right="432"/>
        <w:jc w:val="both"/>
        <w:rPr>
          <w:noProof/>
          <w:sz w:val="16"/>
          <w:szCs w:val="16"/>
        </w:rPr>
      </w:pPr>
      <w:r w:rsidRPr="006E50FF">
        <w:rPr>
          <w:noProof/>
          <w:sz w:val="16"/>
          <w:szCs w:val="16"/>
        </w:rPr>
        <w:t>Surety:</w:t>
      </w:r>
      <w:r w:rsidRPr="006E50FF">
        <w:rPr>
          <w:noProof/>
          <w:sz w:val="16"/>
          <w:szCs w:val="16"/>
        </w:rPr>
        <w:tab/>
        <w:t>[name(s) and business address(es)]</w:t>
      </w:r>
    </w:p>
    <w:p w14:paraId="6BB082AC" w14:textId="77777777" w:rsidR="006E50FF" w:rsidRPr="006E50FF" w:rsidRDefault="006E50FF" w:rsidP="006E50FF">
      <w:pPr>
        <w:ind w:left="432" w:right="432"/>
        <w:jc w:val="both"/>
        <w:rPr>
          <w:noProof/>
          <w:sz w:val="16"/>
          <w:szCs w:val="16"/>
        </w:rPr>
      </w:pPr>
      <w:r w:rsidRPr="006E50FF">
        <w:rPr>
          <w:noProof/>
          <w:sz w:val="16"/>
          <w:szCs w:val="16"/>
        </w:rPr>
        <w:t>[Site identification number, site name, facility name, facility address, and closure amount(s) for each facility guaranteed by this bond]</w:t>
      </w:r>
    </w:p>
    <w:p w14:paraId="6D91FAB1" w14:textId="77777777" w:rsidR="006E50FF" w:rsidRPr="006E50FF" w:rsidRDefault="006E50FF" w:rsidP="006E50FF">
      <w:pPr>
        <w:ind w:left="432" w:right="432"/>
        <w:jc w:val="both"/>
        <w:rPr>
          <w:noProof/>
          <w:sz w:val="16"/>
          <w:szCs w:val="16"/>
        </w:rPr>
      </w:pPr>
      <w:r w:rsidRPr="006E50FF">
        <w:rPr>
          <w:noProof/>
          <w:sz w:val="16"/>
          <w:szCs w:val="16"/>
        </w:rPr>
        <w:t>Total penal sum of bond:</w:t>
      </w:r>
      <w:r w:rsidRPr="006E50FF">
        <w:rPr>
          <w:noProof/>
          <w:sz w:val="16"/>
          <w:szCs w:val="16"/>
        </w:rPr>
        <w:tab/>
        <w:t>$</w:t>
      </w:r>
    </w:p>
    <w:p w14:paraId="144B3C09" w14:textId="77777777" w:rsidR="006E50FF" w:rsidRPr="006E50FF" w:rsidRDefault="006E50FF" w:rsidP="006E50FF">
      <w:pPr>
        <w:ind w:left="432" w:right="432"/>
        <w:jc w:val="both"/>
        <w:rPr>
          <w:noProof/>
          <w:sz w:val="16"/>
          <w:szCs w:val="16"/>
        </w:rPr>
      </w:pPr>
      <w:r w:rsidRPr="006E50FF">
        <w:rPr>
          <w:noProof/>
          <w:sz w:val="16"/>
          <w:szCs w:val="16"/>
        </w:rPr>
        <w:t>Surety's bond number:</w:t>
      </w:r>
    </w:p>
    <w:p w14:paraId="254ACFC1" w14:textId="77777777" w:rsidR="006E50FF" w:rsidRPr="006E50FF" w:rsidRDefault="006E50FF" w:rsidP="006E50FF">
      <w:pPr>
        <w:ind w:left="432" w:right="432"/>
        <w:jc w:val="both"/>
        <w:rPr>
          <w:noProof/>
          <w:sz w:val="16"/>
          <w:szCs w:val="16"/>
        </w:rPr>
      </w:pPr>
      <w:r w:rsidRPr="006E50FF">
        <w:rPr>
          <w:noProof/>
          <w:sz w:val="16"/>
          <w:szCs w:val="16"/>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of liability is indicated, the limit of liability shall be the full amount of the penal sum.</w:t>
      </w:r>
    </w:p>
    <w:p w14:paraId="4210F894" w14:textId="77777777" w:rsidR="006E50FF" w:rsidRPr="006E50FF" w:rsidRDefault="006E50FF" w:rsidP="006E50FF">
      <w:pPr>
        <w:ind w:left="432" w:right="432"/>
        <w:jc w:val="both"/>
        <w:rPr>
          <w:noProof/>
          <w:sz w:val="16"/>
          <w:szCs w:val="16"/>
        </w:rPr>
      </w:pPr>
      <w:r w:rsidRPr="006E50FF">
        <w:rPr>
          <w:noProof/>
          <w:sz w:val="16"/>
          <w:szCs w:val="16"/>
        </w:rPr>
        <w:tab/>
        <w:t>whereas, said Principal is required, under the Louisiana Environmental Quality Act, R.S. 30:2001 et seq., to have a permit in order to own or operate the waste tire facility identified above; and</w:t>
      </w:r>
    </w:p>
    <w:p w14:paraId="201D1AF6" w14:textId="77777777" w:rsidR="006E50FF" w:rsidRPr="006E50FF" w:rsidRDefault="006E50FF" w:rsidP="006E50FF">
      <w:pPr>
        <w:ind w:left="432" w:right="432"/>
        <w:jc w:val="both"/>
        <w:rPr>
          <w:noProof/>
          <w:sz w:val="16"/>
          <w:szCs w:val="16"/>
        </w:rPr>
      </w:pPr>
      <w:r w:rsidRPr="006E50FF">
        <w:rPr>
          <w:noProof/>
          <w:sz w:val="16"/>
          <w:szCs w:val="16"/>
        </w:rPr>
        <w:tab/>
        <w:t>whereas, the Principal is required by law to provide financial assurance for closure care, as a condition of the permit;</w:t>
      </w:r>
    </w:p>
    <w:p w14:paraId="17A01700" w14:textId="77777777" w:rsidR="006E50FF" w:rsidRPr="006E50FF" w:rsidRDefault="006E50FF" w:rsidP="006E50FF">
      <w:pPr>
        <w:ind w:left="432" w:right="432"/>
        <w:jc w:val="both"/>
        <w:rPr>
          <w:noProof/>
          <w:sz w:val="16"/>
          <w:szCs w:val="16"/>
        </w:rPr>
      </w:pPr>
      <w:r w:rsidRPr="006E50FF">
        <w:rPr>
          <w:noProof/>
          <w:sz w:val="16"/>
          <w:szCs w:val="16"/>
        </w:rPr>
        <w:tab/>
        <w:t>therefore, the conditions of this obligation are such that if the Principal shall faithfully perform closure, whenever required to do so, of the facility for which this bond guarantees closure, in accordance with the closure plan and other requirements of the permit as such plan and permit may be amended, pursuant to all applicable laws, statutes, rules, and regulations, as such laws, statutes, rules, and regulations may be amended;</w:t>
      </w:r>
    </w:p>
    <w:p w14:paraId="739F2759" w14:textId="77777777" w:rsidR="006E50FF" w:rsidRPr="006E50FF" w:rsidRDefault="006E50FF" w:rsidP="006E50FF">
      <w:pPr>
        <w:ind w:left="432" w:right="432"/>
        <w:jc w:val="both"/>
        <w:rPr>
          <w:noProof/>
          <w:sz w:val="16"/>
          <w:szCs w:val="16"/>
        </w:rPr>
      </w:pPr>
      <w:r w:rsidRPr="006E50FF">
        <w:rPr>
          <w:noProof/>
          <w:sz w:val="16"/>
          <w:szCs w:val="16"/>
        </w:rPr>
        <w:tab/>
        <w:t xml:space="preserve">or, if the Principal shall provide financial assurance as specified in LAC 33:VII.10525.G.14-16 and obtain written </w:t>
      </w:r>
      <w:r w:rsidRPr="006E50FF">
        <w:rPr>
          <w:noProof/>
          <w:sz w:val="16"/>
          <w:szCs w:val="16"/>
        </w:rPr>
        <w:lastRenderedPageBreak/>
        <w:t>approval of the Office of Management and Finance, Financial Services Division of such assurance, within 90 days after the date of notice of cancellation is received by both the Principal and the administrative authority, then this obligation shall be null and void; otherwise it is to remain in full force and effect.</w:t>
      </w:r>
    </w:p>
    <w:p w14:paraId="3BB5850E" w14:textId="77777777" w:rsidR="006E50FF" w:rsidRPr="006E50FF" w:rsidRDefault="006E50FF" w:rsidP="006E50FF">
      <w:pPr>
        <w:ind w:left="432" w:right="432"/>
        <w:jc w:val="both"/>
        <w:rPr>
          <w:noProof/>
          <w:sz w:val="16"/>
          <w:szCs w:val="16"/>
        </w:rPr>
      </w:pPr>
      <w:r w:rsidRPr="006E50FF">
        <w:rPr>
          <w:noProof/>
          <w:sz w:val="16"/>
          <w:szCs w:val="16"/>
        </w:rPr>
        <w:tab/>
        <w:t>The Surety shall become liable on this bond obligation only when the Principal has failed to fulfill the conditions described hereinabove.</w:t>
      </w:r>
    </w:p>
    <w:p w14:paraId="3DBE5083" w14:textId="77777777" w:rsidR="006E50FF" w:rsidRPr="006E50FF" w:rsidRDefault="006E50FF" w:rsidP="006E50FF">
      <w:pPr>
        <w:ind w:left="432" w:right="432"/>
        <w:jc w:val="both"/>
        <w:rPr>
          <w:noProof/>
          <w:sz w:val="16"/>
          <w:szCs w:val="16"/>
        </w:rPr>
      </w:pPr>
      <w:r w:rsidRPr="006E50FF">
        <w:rPr>
          <w:noProof/>
          <w:sz w:val="16"/>
          <w:szCs w:val="16"/>
        </w:rPr>
        <w:tab/>
        <w:t>Upon notification by the administrative authority that the Principal has been found in violation of the closure requirements of the Louisiana Administrative Code, Title 33, Part VII, or of its permit, for the facility for which this bond guarantees performances of closure, the Surety shall either perform closure, in accordance with the closure plan and other permit requirements, or place the closure amount guaranteed for the facility into the Waste Tire Management Fund as directed by the administrative authority.</w:t>
      </w:r>
    </w:p>
    <w:p w14:paraId="4923970B" w14:textId="77777777" w:rsidR="006E50FF" w:rsidRPr="006E50FF" w:rsidRDefault="006E50FF" w:rsidP="006E50FF">
      <w:pPr>
        <w:ind w:left="432" w:right="432"/>
        <w:jc w:val="both"/>
        <w:rPr>
          <w:noProof/>
          <w:sz w:val="16"/>
          <w:szCs w:val="16"/>
        </w:rPr>
      </w:pPr>
      <w:r w:rsidRPr="006E50FF">
        <w:rPr>
          <w:noProof/>
          <w:sz w:val="16"/>
          <w:szCs w:val="16"/>
        </w:rPr>
        <w:tab/>
        <w:t>Upon notification by the administrative authority that the Principal has failed to provide alternate financial assurance as specified in LAC 33:VII.10525.G.15-16 and obtain written approval of such assurance from the Office of Management and Finance, Financial Services Division during the 90 days following receipt by both the Principal and the administrative authority of a notice of cancellation of the bond, the surety shall place funds in the amount guaranteed for the facility into the standby trust as directed by the administrative authority.</w:t>
      </w:r>
    </w:p>
    <w:p w14:paraId="75665896" w14:textId="77777777" w:rsidR="006E50FF" w:rsidRPr="006E50FF" w:rsidRDefault="006E50FF" w:rsidP="006E50FF">
      <w:pPr>
        <w:ind w:left="432" w:right="432"/>
        <w:jc w:val="both"/>
        <w:rPr>
          <w:noProof/>
          <w:sz w:val="16"/>
          <w:szCs w:val="16"/>
        </w:rPr>
      </w:pPr>
      <w:r w:rsidRPr="006E50FF">
        <w:rPr>
          <w:noProof/>
          <w:sz w:val="16"/>
          <w:szCs w:val="16"/>
        </w:rPr>
        <w:tab/>
        <w:t>The Surety hereby waives notification of amendments to closure plans, permits, applicable laws, statutes, rules, and regulations, and agrees that no such amendment shall in any way alleviate its obligation on this bond.</w:t>
      </w:r>
    </w:p>
    <w:p w14:paraId="7261594B" w14:textId="77777777" w:rsidR="006E50FF" w:rsidRPr="006E50FF" w:rsidRDefault="006E50FF" w:rsidP="006E50FF">
      <w:pPr>
        <w:ind w:left="432" w:right="432"/>
        <w:jc w:val="both"/>
        <w:rPr>
          <w:noProof/>
          <w:sz w:val="16"/>
          <w:szCs w:val="16"/>
        </w:rPr>
      </w:pPr>
      <w:r w:rsidRPr="006E50FF">
        <w:rPr>
          <w:noProof/>
          <w:sz w:val="16"/>
          <w:szCs w:val="16"/>
        </w:rPr>
        <w:tab/>
        <w:t>The liability of the Surety(ies)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1BAB742E" w14:textId="77777777" w:rsidR="006E50FF" w:rsidRPr="006E50FF" w:rsidRDefault="006E50FF" w:rsidP="006E50FF">
      <w:pPr>
        <w:ind w:left="432" w:right="432"/>
        <w:jc w:val="both"/>
        <w:rPr>
          <w:noProof/>
          <w:sz w:val="16"/>
          <w:szCs w:val="16"/>
        </w:rPr>
      </w:pPr>
      <w:r w:rsidRPr="006E50FF">
        <w:rPr>
          <w:noProof/>
          <w:sz w:val="16"/>
          <w:szCs w:val="16"/>
        </w:rPr>
        <w:tab/>
        <w:t>The Surety may cancel the bond by sending notice of cancellation by certified mail to the Principal and to the Office of Management and Finance, Financial Services Division. Cancellation shall not occur before 120 days have elapsed beginning on the date that both the Principal and the administrative authority received the notice of cancellation, as evidenced by the return receipts.</w:t>
      </w:r>
    </w:p>
    <w:p w14:paraId="1B94CBC6" w14:textId="77777777" w:rsidR="006E50FF" w:rsidRPr="006E50FF" w:rsidRDefault="006E50FF" w:rsidP="006E50FF">
      <w:pPr>
        <w:ind w:left="432" w:right="432"/>
        <w:jc w:val="both"/>
        <w:rPr>
          <w:noProof/>
          <w:sz w:val="16"/>
          <w:szCs w:val="16"/>
        </w:rPr>
      </w:pPr>
      <w:r w:rsidRPr="006E50FF">
        <w:rPr>
          <w:noProof/>
          <w:sz w:val="16"/>
          <w:szCs w:val="16"/>
        </w:rPr>
        <w:tab/>
        <w:t>The Principal may terminate this bond by sending written notice to the Surety and to the administrative authority, provided, however, that no such notice shall become effective until the Surety receives written authorization for termination of the bond by the administrative authority.</w:t>
      </w:r>
    </w:p>
    <w:p w14:paraId="365A3436" w14:textId="77777777" w:rsidR="006E50FF" w:rsidRPr="006E50FF" w:rsidRDefault="006E50FF" w:rsidP="006E50FF">
      <w:pPr>
        <w:ind w:left="432" w:right="432"/>
        <w:jc w:val="both"/>
        <w:rPr>
          <w:noProof/>
          <w:sz w:val="16"/>
          <w:szCs w:val="16"/>
        </w:rPr>
      </w:pPr>
      <w:r w:rsidRPr="006E50FF">
        <w:rPr>
          <w:noProof/>
          <w:sz w:val="16"/>
          <w:szCs w:val="16"/>
        </w:rPr>
        <w:tab/>
        <w:t>The Principal and Surety hereby agree that no portion of the penal sum may be expended without prior written approval of the administrative authority.</w:t>
      </w:r>
    </w:p>
    <w:p w14:paraId="3D91C7D2" w14:textId="77777777" w:rsidR="006E50FF" w:rsidRPr="006E50FF" w:rsidRDefault="006E50FF" w:rsidP="006E50FF">
      <w:pPr>
        <w:ind w:left="432" w:right="432"/>
        <w:jc w:val="both"/>
        <w:rPr>
          <w:noProof/>
          <w:sz w:val="16"/>
          <w:szCs w:val="16"/>
        </w:rPr>
      </w:pPr>
      <w:r w:rsidRPr="006E50FF">
        <w:rPr>
          <w:noProof/>
          <w:sz w:val="16"/>
          <w:szCs w:val="16"/>
        </w:rPr>
        <w:t>in witness whereof, the Principal and the Surety have executed this performance bond and have affixed their seals on the date set forth above.</w:t>
      </w:r>
    </w:p>
    <w:p w14:paraId="1CAB92B7" w14:textId="77777777" w:rsidR="006E50FF" w:rsidRPr="006E50FF" w:rsidRDefault="006E50FF" w:rsidP="006E50FF">
      <w:pPr>
        <w:ind w:left="432" w:right="432"/>
        <w:jc w:val="both"/>
        <w:rPr>
          <w:noProof/>
          <w:sz w:val="16"/>
          <w:szCs w:val="16"/>
        </w:rPr>
      </w:pPr>
      <w:r w:rsidRPr="006E50FF">
        <w:rPr>
          <w:noProof/>
          <w:sz w:val="16"/>
          <w:szCs w:val="16"/>
        </w:rPr>
        <w:tab/>
        <w:t>Those persons whose signatures appear below hereby certify that they are authorized to execute this surety bond on behalf of the Principal and Surety, that each Surety hereto is authorized to do business in the state of Louisiana and that the wording of this surety bond is identical to the wording specified by the Louisiana Department of Environmental Quality's Waste Tire Regulations, LAC 33:VII.11103.B.2 effective on the date this bond was executed.</w:t>
      </w:r>
    </w:p>
    <w:p w14:paraId="7D283EA2"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PRINCIPAL</w:t>
      </w:r>
    </w:p>
    <w:p w14:paraId="0BF7C9FC"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3C0C8936"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w:t>
      </w:r>
    </w:p>
    <w:p w14:paraId="47F8AD17"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[Title(s)]</w:t>
      </w:r>
    </w:p>
    <w:p w14:paraId="2A152858"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08B97B68"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CORPORATE SURETY</w:t>
      </w:r>
    </w:p>
    <w:p w14:paraId="4EC00A8A"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 and Address]</w:t>
      </w:r>
    </w:p>
    <w:p w14:paraId="38612E18"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State of incorporation:</w:t>
      </w:r>
    </w:p>
    <w:p w14:paraId="03322005"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Liability limit:</w:t>
      </w:r>
    </w:p>
    <w:p w14:paraId="3503165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527DD09E"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 and title(s)]</w:t>
      </w:r>
    </w:p>
    <w:p w14:paraId="3FB91E48"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3BCB84A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[For every cosurety, provide signature(s), corporate seal, and other information in the same manner as for Surety above.]</w:t>
      </w:r>
    </w:p>
    <w:p w14:paraId="09ADB67F"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Bond Premium:</w:t>
      </w:r>
      <w:r w:rsidRPr="006E50FF">
        <w:rPr>
          <w:rFonts w:eastAsia="Calibri"/>
          <w:noProof/>
          <w:sz w:val="16"/>
          <w:szCs w:val="16"/>
        </w:rPr>
        <w:tab/>
        <w:t>$</w:t>
      </w:r>
    </w:p>
    <w:p w14:paraId="683ECAD9" w14:textId="77777777" w:rsidR="006E50FF" w:rsidRPr="006E50FF" w:rsidRDefault="006E50FF" w:rsidP="006E50FF">
      <w:pPr>
        <w:ind w:left="432" w:right="432"/>
        <w:jc w:val="both"/>
        <w:rPr>
          <w:rFonts w:eastAsia="Calibri"/>
          <w:noProof/>
          <w:sz w:val="16"/>
          <w:szCs w:val="16"/>
        </w:rPr>
      </w:pPr>
    </w:p>
    <w:p w14:paraId="4BF8E7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Irrevocable Letter of Credit</w:t>
      </w:r>
    </w:p>
    <w:p w14:paraId="26C9D5AF"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SAMPLE DOCUMENT 3:</w:t>
      </w:r>
    </w:p>
    <w:p w14:paraId="28176BB9"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WASTE TIRE FACILITY</w:t>
      </w:r>
    </w:p>
    <w:p w14:paraId="258C672F"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IRREVOCABLE LETTER OF CREDIT</w:t>
      </w:r>
    </w:p>
    <w:p w14:paraId="165F3AC9" w14:textId="77777777" w:rsidR="006E50FF" w:rsidRPr="006E50FF" w:rsidRDefault="006E50FF" w:rsidP="006E50FF">
      <w:pPr>
        <w:ind w:left="432" w:right="432"/>
        <w:jc w:val="both"/>
        <w:rPr>
          <w:noProof/>
          <w:sz w:val="16"/>
          <w:szCs w:val="16"/>
        </w:rPr>
      </w:pPr>
      <w:r w:rsidRPr="006E50FF">
        <w:rPr>
          <w:noProof/>
          <w:sz w:val="16"/>
          <w:szCs w:val="16"/>
        </w:rPr>
        <w:t>Secretary</w:t>
      </w:r>
    </w:p>
    <w:p w14:paraId="5E5EFA26" w14:textId="77777777" w:rsidR="006E50FF" w:rsidRPr="006E50FF" w:rsidRDefault="006E50FF" w:rsidP="006E50FF">
      <w:pPr>
        <w:ind w:left="432" w:right="432"/>
        <w:jc w:val="both"/>
        <w:rPr>
          <w:noProof/>
          <w:sz w:val="16"/>
          <w:szCs w:val="16"/>
        </w:rPr>
      </w:pPr>
      <w:r w:rsidRPr="006E50FF">
        <w:rPr>
          <w:noProof/>
          <w:sz w:val="16"/>
          <w:szCs w:val="16"/>
        </w:rPr>
        <w:t>Louisiana Department of Environmental Quality</w:t>
      </w:r>
    </w:p>
    <w:p w14:paraId="7CAF686E" w14:textId="77777777" w:rsidR="006E50FF" w:rsidRPr="006E50FF" w:rsidRDefault="006E50FF" w:rsidP="006E50FF">
      <w:pPr>
        <w:ind w:left="432" w:right="432"/>
        <w:jc w:val="both"/>
        <w:rPr>
          <w:noProof/>
          <w:sz w:val="16"/>
          <w:szCs w:val="16"/>
        </w:rPr>
      </w:pPr>
      <w:r w:rsidRPr="006E50FF">
        <w:rPr>
          <w:noProof/>
          <w:sz w:val="16"/>
          <w:szCs w:val="16"/>
        </w:rPr>
        <w:t>Post Office Box 4303</w:t>
      </w:r>
    </w:p>
    <w:p w14:paraId="704641FD" w14:textId="77777777" w:rsidR="006E50FF" w:rsidRPr="006E50FF" w:rsidRDefault="006E50FF" w:rsidP="006E50FF">
      <w:pPr>
        <w:ind w:left="432" w:right="432"/>
        <w:jc w:val="both"/>
        <w:rPr>
          <w:noProof/>
          <w:sz w:val="16"/>
          <w:szCs w:val="16"/>
        </w:rPr>
      </w:pPr>
      <w:r w:rsidRPr="006E50FF">
        <w:rPr>
          <w:noProof/>
          <w:sz w:val="16"/>
          <w:szCs w:val="16"/>
        </w:rPr>
        <w:t>Baton Rouge, Louisiana 70821-4303</w:t>
      </w:r>
    </w:p>
    <w:p w14:paraId="525E74D4" w14:textId="77777777" w:rsidR="006E50FF" w:rsidRPr="006E50FF" w:rsidRDefault="006E50FF" w:rsidP="006E50FF">
      <w:pPr>
        <w:ind w:left="432" w:right="432"/>
        <w:jc w:val="both"/>
        <w:rPr>
          <w:noProof/>
          <w:sz w:val="16"/>
          <w:szCs w:val="16"/>
        </w:rPr>
      </w:pPr>
      <w:r w:rsidRPr="006E50FF">
        <w:rPr>
          <w:noProof/>
          <w:sz w:val="16"/>
          <w:szCs w:val="16"/>
        </w:rPr>
        <w:t>Attention:</w:t>
      </w:r>
      <w:r w:rsidRPr="006E50FF">
        <w:rPr>
          <w:noProof/>
          <w:sz w:val="16"/>
          <w:szCs w:val="16"/>
        </w:rPr>
        <w:tab/>
        <w:t>Office of Management and Finance,</w:t>
      </w:r>
    </w:p>
    <w:p w14:paraId="0CB4D4D7" w14:textId="77777777" w:rsidR="006E50FF" w:rsidRPr="006E50FF" w:rsidRDefault="006E50FF" w:rsidP="006E50FF">
      <w:pPr>
        <w:ind w:left="432" w:right="432"/>
        <w:jc w:val="both"/>
        <w:rPr>
          <w:noProof/>
          <w:sz w:val="16"/>
          <w:szCs w:val="16"/>
        </w:rPr>
      </w:pPr>
      <w:r w:rsidRPr="006E50FF">
        <w:rPr>
          <w:noProof/>
          <w:sz w:val="16"/>
          <w:szCs w:val="16"/>
        </w:rPr>
        <w:t>Financial Services Division</w:t>
      </w:r>
    </w:p>
    <w:p w14:paraId="1055FE32" w14:textId="77777777" w:rsidR="006E50FF" w:rsidRPr="006E50FF" w:rsidRDefault="006E50FF" w:rsidP="006E50FF">
      <w:pPr>
        <w:ind w:left="432" w:right="432"/>
        <w:jc w:val="both"/>
        <w:rPr>
          <w:noProof/>
          <w:sz w:val="16"/>
          <w:szCs w:val="16"/>
        </w:rPr>
      </w:pPr>
      <w:r w:rsidRPr="006E50FF">
        <w:rPr>
          <w:noProof/>
          <w:sz w:val="16"/>
          <w:szCs w:val="16"/>
        </w:rPr>
        <w:t>Dear Sir:</w:t>
      </w:r>
    </w:p>
    <w:p w14:paraId="4E057F95" w14:textId="77777777" w:rsidR="006E50FF" w:rsidRPr="006E50FF" w:rsidRDefault="006E50FF" w:rsidP="006E50FF">
      <w:pPr>
        <w:ind w:left="432" w:right="432"/>
        <w:jc w:val="both"/>
        <w:rPr>
          <w:noProof/>
          <w:sz w:val="16"/>
          <w:szCs w:val="16"/>
        </w:rPr>
      </w:pPr>
      <w:r w:rsidRPr="006E50FF">
        <w:rPr>
          <w:noProof/>
          <w:sz w:val="16"/>
          <w:szCs w:val="16"/>
        </w:rPr>
        <w:tab/>
        <w:t>We hereby establish our Irrevocable Standby Letter of Credit Number [number] in favor of the Department of Environmental Quality of the State of Louisiana at the request and for the account of [permit holder's or applicant's name and address] for the closure fund for its [list site identification number, site name, and facility name] at [location], Louisiana for any sum or sums up to the aggregate amount of U.S. dollars $ [number] upon presentation of:</w:t>
      </w:r>
    </w:p>
    <w:p w14:paraId="43FC528B" w14:textId="77777777" w:rsidR="006E50FF" w:rsidRPr="006E50FF" w:rsidRDefault="006E50FF" w:rsidP="006E50FF">
      <w:pPr>
        <w:tabs>
          <w:tab w:val="left" w:pos="720"/>
          <w:tab w:val="left" w:pos="1080"/>
        </w:tabs>
        <w:ind w:left="432" w:right="432"/>
        <w:jc w:val="both"/>
        <w:rPr>
          <w:rFonts w:eastAsia="Calibri"/>
          <w:noProof/>
          <w:kern w:val="2"/>
          <w:sz w:val="16"/>
          <w:szCs w:val="16"/>
        </w:rPr>
      </w:pPr>
      <w:r w:rsidRPr="006E50FF">
        <w:rPr>
          <w:rFonts w:eastAsia="Calibri"/>
          <w:noProof/>
          <w:kern w:val="2"/>
          <w:sz w:val="16"/>
          <w:szCs w:val="16"/>
        </w:rPr>
        <w:tab/>
      </w:r>
      <w:r w:rsidRPr="006E50FF">
        <w:rPr>
          <w:rFonts w:eastAsia="Calibri"/>
          <w:noProof/>
          <w:kern w:val="2"/>
          <w:sz w:val="16"/>
          <w:szCs w:val="16"/>
        </w:rPr>
        <w:tab/>
        <w:t>(1)</w:t>
      </w:r>
      <w:r w:rsidRPr="006E50FF">
        <w:rPr>
          <w:rFonts w:eastAsia="Calibri"/>
          <w:noProof/>
          <w:kern w:val="2"/>
          <w:sz w:val="16"/>
          <w:szCs w:val="16"/>
        </w:rPr>
        <w:tab/>
        <w:t>A sight draft, bearing reference to the Letter of Credit Number [number] drawn by the administrative authority together with;</w:t>
      </w:r>
    </w:p>
    <w:p w14:paraId="41F7690D" w14:textId="77777777" w:rsidR="006E50FF" w:rsidRPr="006E50FF" w:rsidRDefault="006E50FF" w:rsidP="006E50FF">
      <w:pPr>
        <w:tabs>
          <w:tab w:val="left" w:pos="720"/>
          <w:tab w:val="left" w:pos="1080"/>
        </w:tabs>
        <w:ind w:left="432" w:right="432"/>
        <w:jc w:val="both"/>
        <w:rPr>
          <w:rFonts w:eastAsia="Calibri"/>
          <w:noProof/>
          <w:kern w:val="2"/>
          <w:sz w:val="16"/>
          <w:szCs w:val="16"/>
        </w:rPr>
      </w:pPr>
      <w:r w:rsidRPr="006E50FF">
        <w:rPr>
          <w:rFonts w:eastAsia="Calibri"/>
          <w:noProof/>
          <w:kern w:val="2"/>
          <w:sz w:val="16"/>
          <w:szCs w:val="16"/>
        </w:rPr>
        <w:tab/>
      </w:r>
      <w:r w:rsidRPr="006E50FF">
        <w:rPr>
          <w:rFonts w:eastAsia="Calibri"/>
          <w:noProof/>
          <w:kern w:val="2"/>
          <w:sz w:val="16"/>
          <w:szCs w:val="16"/>
        </w:rPr>
        <w:tab/>
        <w:t>(2)</w:t>
      </w:r>
      <w:r w:rsidRPr="006E50FF">
        <w:rPr>
          <w:rFonts w:eastAsia="Calibri"/>
          <w:noProof/>
          <w:kern w:val="2"/>
          <w:sz w:val="16"/>
          <w:szCs w:val="16"/>
        </w:rPr>
        <w:tab/>
        <w:t xml:space="preserve">A statement signed by the administrative authority, declaring that the operator has failed to perform closure in accordance with the closure plan and permit requirements and that the amount of the draft is payable into the standby trust. </w:t>
      </w:r>
    </w:p>
    <w:p w14:paraId="4B85E74C" w14:textId="77777777" w:rsidR="006E50FF" w:rsidRPr="006E50FF" w:rsidRDefault="006E50FF" w:rsidP="006E50FF">
      <w:pPr>
        <w:ind w:left="432" w:right="432"/>
        <w:jc w:val="both"/>
        <w:rPr>
          <w:noProof/>
          <w:sz w:val="16"/>
          <w:szCs w:val="16"/>
        </w:rPr>
      </w:pPr>
      <w:r w:rsidRPr="006E50FF">
        <w:rPr>
          <w:noProof/>
          <w:sz w:val="16"/>
          <w:szCs w:val="16"/>
        </w:rPr>
        <w:tab/>
        <w:t>The Letter of Credit is effective as of [date] and will expire on [date], but such expiration date will be automatically extended for a period of at least one year on the above expiration date, and on each successive expiration date thereof, unless, at least 120 days before the then current expiration date, we notify both the Office of Management and Finance, Financial Services Division and the [name of permit holder or applicant] by certified mail that we have decided not to extend this Letter of Credit beyond the then current expiration date. In the event we give such notification, any unused portion of this Letter of Credit shall be available upon presentation of your sight draft for 120 days after the date of receipt by both the Department of Environmental Quality and [name of permit holder/applicant] as shown on the signed return receipts.</w:t>
      </w:r>
    </w:p>
    <w:p w14:paraId="6B0724B3" w14:textId="77777777" w:rsidR="006E50FF" w:rsidRPr="006E50FF" w:rsidRDefault="006E50FF" w:rsidP="006E50FF">
      <w:pPr>
        <w:ind w:left="432" w:right="432"/>
        <w:jc w:val="both"/>
        <w:rPr>
          <w:noProof/>
          <w:sz w:val="16"/>
          <w:szCs w:val="16"/>
        </w:rPr>
      </w:pPr>
      <w:r w:rsidRPr="006E50FF">
        <w:rPr>
          <w:noProof/>
          <w:sz w:val="16"/>
          <w:szCs w:val="16"/>
        </w:rPr>
        <w:tab/>
        <w:t>Whenever this Letter of Credit is drawn under and in compliance with the terms of this credit, we shall duly honor such draft upon presentation to us, and we shall deposit the amount of the draft to the Department of Environmental Quality for deposit into the Waste Tire Management Fund in the name of [name of permit holder or applicant] in accordance with the administrative authority's instructions.</w:t>
      </w:r>
    </w:p>
    <w:p w14:paraId="0C17DBEB" w14:textId="77777777" w:rsidR="006E50FF" w:rsidRPr="006E50FF" w:rsidRDefault="006E50FF" w:rsidP="006E50FF">
      <w:pPr>
        <w:ind w:left="432" w:right="432"/>
        <w:jc w:val="both"/>
        <w:rPr>
          <w:noProof/>
          <w:sz w:val="16"/>
          <w:szCs w:val="16"/>
        </w:rPr>
      </w:pPr>
      <w:r w:rsidRPr="006E50FF">
        <w:rPr>
          <w:noProof/>
          <w:sz w:val="16"/>
          <w:szCs w:val="16"/>
        </w:rPr>
        <w:tab/>
        <w:t>Except as otherwise expressly agreed upon, this credit is subject to the uniform Customs and Practice for Documentary Credits (1983 Revision), International Chamber of Commerce Publication Number 400, or any revision thereof effective on the date of issue of this credit.</w:t>
      </w:r>
    </w:p>
    <w:p w14:paraId="0A5C87A3" w14:textId="77777777" w:rsidR="006E50FF" w:rsidRPr="006E50FF" w:rsidRDefault="006E50FF" w:rsidP="006E50FF">
      <w:pPr>
        <w:ind w:left="432" w:right="432"/>
        <w:jc w:val="both"/>
        <w:rPr>
          <w:noProof/>
          <w:sz w:val="16"/>
          <w:szCs w:val="16"/>
        </w:rPr>
      </w:pPr>
      <w:r w:rsidRPr="006E50FF">
        <w:rPr>
          <w:noProof/>
          <w:sz w:val="16"/>
          <w:szCs w:val="16"/>
        </w:rPr>
        <w:tab/>
        <w:t>We certify that the wording of this Letter of Credit is identical to the wording specified in the Louisiana Department of Environmental Quality's Waste Tire Regulations, LAC 33:VII.11103.B.3 effective on the date shown immediately below.</w:t>
      </w:r>
    </w:p>
    <w:p w14:paraId="1ACC33B6" w14:textId="77777777" w:rsidR="006E50FF" w:rsidRPr="006E50FF" w:rsidRDefault="006E50FF" w:rsidP="006E50FF">
      <w:pPr>
        <w:ind w:left="432" w:right="432"/>
        <w:jc w:val="both"/>
        <w:rPr>
          <w:noProof/>
          <w:sz w:val="16"/>
          <w:szCs w:val="16"/>
        </w:rPr>
      </w:pPr>
      <w:r w:rsidRPr="006E50FF">
        <w:rPr>
          <w:noProof/>
          <w:sz w:val="16"/>
          <w:szCs w:val="16"/>
        </w:rPr>
        <w:t>[Signature(s) and Title(s) of Official(s) of Issuing Institutions]</w:t>
      </w:r>
    </w:p>
    <w:p w14:paraId="26E88923" w14:textId="77777777" w:rsidR="006E50FF" w:rsidRPr="006E50FF" w:rsidRDefault="006E50FF" w:rsidP="006E50FF">
      <w:pPr>
        <w:ind w:left="432" w:right="432"/>
        <w:jc w:val="both"/>
        <w:rPr>
          <w:noProof/>
          <w:sz w:val="16"/>
          <w:szCs w:val="16"/>
        </w:rPr>
      </w:pPr>
      <w:r w:rsidRPr="006E50FF">
        <w:rPr>
          <w:noProof/>
          <w:sz w:val="16"/>
          <w:szCs w:val="16"/>
        </w:rPr>
        <w:t>[Date]</w:t>
      </w:r>
    </w:p>
    <w:p w14:paraId="41E1CA26" w14:textId="77777777" w:rsidR="006E50FF" w:rsidRPr="006E50FF" w:rsidRDefault="006E50FF" w:rsidP="006E50FF">
      <w:pPr>
        <w:ind w:left="432" w:right="432"/>
        <w:jc w:val="both"/>
        <w:rPr>
          <w:noProof/>
          <w:sz w:val="16"/>
          <w:szCs w:val="16"/>
        </w:rPr>
      </w:pPr>
    </w:p>
    <w:p w14:paraId="0E14E3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Standby Trust Agreement</w:t>
      </w:r>
    </w:p>
    <w:p w14:paraId="527235AF" w14:textId="77777777" w:rsidR="006E50FF" w:rsidRPr="006E50FF" w:rsidRDefault="006E50FF" w:rsidP="006E50FF">
      <w:pPr>
        <w:ind w:left="432" w:right="432"/>
        <w:jc w:val="center"/>
        <w:rPr>
          <w:b/>
          <w:noProof/>
          <w:sz w:val="16"/>
          <w:szCs w:val="16"/>
        </w:rPr>
      </w:pPr>
      <w:r w:rsidRPr="006E50FF">
        <w:rPr>
          <w:b/>
          <w:noProof/>
          <w:sz w:val="16"/>
          <w:szCs w:val="16"/>
        </w:rPr>
        <w:t>SAMPLE DOCUMENT 4:</w:t>
      </w:r>
    </w:p>
    <w:p w14:paraId="02825ADC" w14:textId="77777777" w:rsidR="006E50FF" w:rsidRPr="006E50FF" w:rsidRDefault="006E50FF" w:rsidP="006E50FF">
      <w:pPr>
        <w:ind w:left="432" w:right="432"/>
        <w:jc w:val="center"/>
        <w:rPr>
          <w:b/>
          <w:noProof/>
          <w:sz w:val="16"/>
          <w:szCs w:val="16"/>
        </w:rPr>
      </w:pPr>
      <w:r w:rsidRPr="006E50FF">
        <w:rPr>
          <w:b/>
          <w:noProof/>
          <w:sz w:val="16"/>
          <w:szCs w:val="16"/>
        </w:rPr>
        <w:t>WASTE TIRE FACILITY</w:t>
      </w:r>
    </w:p>
    <w:p w14:paraId="5DE46D0E" w14:textId="77777777" w:rsidR="006E50FF" w:rsidRPr="006E50FF" w:rsidRDefault="006E50FF" w:rsidP="006E50FF">
      <w:pPr>
        <w:ind w:left="432" w:right="432"/>
        <w:jc w:val="center"/>
        <w:rPr>
          <w:b/>
          <w:noProof/>
          <w:sz w:val="16"/>
          <w:szCs w:val="16"/>
        </w:rPr>
      </w:pPr>
      <w:r w:rsidRPr="006E50FF">
        <w:rPr>
          <w:b/>
          <w:noProof/>
          <w:sz w:val="16"/>
          <w:szCs w:val="16"/>
        </w:rPr>
        <w:t>STANDBY TRUST AGREEMENT</w:t>
      </w:r>
    </w:p>
    <w:p w14:paraId="1F38A8B4" w14:textId="77777777" w:rsidR="006E50FF" w:rsidRPr="006E50FF" w:rsidRDefault="006E50FF" w:rsidP="006E50FF">
      <w:pPr>
        <w:ind w:left="432" w:right="432"/>
        <w:jc w:val="both"/>
        <w:rPr>
          <w:noProof/>
          <w:sz w:val="16"/>
          <w:szCs w:val="16"/>
        </w:rPr>
      </w:pPr>
      <w:r w:rsidRPr="006E50FF">
        <w:rPr>
          <w:noProof/>
          <w:sz w:val="16"/>
          <w:szCs w:val="16"/>
        </w:rPr>
        <w:t>[Facility name, agency interest number, and permit number]</w:t>
      </w:r>
    </w:p>
    <w:p w14:paraId="5BACBA1C" w14:textId="77777777" w:rsidR="006E50FF" w:rsidRPr="006E50FF" w:rsidRDefault="006E50FF" w:rsidP="006E50FF">
      <w:pPr>
        <w:ind w:left="432" w:right="432"/>
        <w:jc w:val="both"/>
        <w:rPr>
          <w:noProof/>
          <w:sz w:val="16"/>
          <w:szCs w:val="16"/>
        </w:rPr>
      </w:pPr>
      <w:r w:rsidRPr="006E50FF">
        <w:rPr>
          <w:noProof/>
          <w:sz w:val="16"/>
          <w:szCs w:val="16"/>
        </w:rPr>
        <w:t>This Trust Agreement, the "Agreement," is entered into as of [date] by and between [name of permit holder or applicant], a [name of state] [insert "corporation," "partnership," "association," or "proprietorship"], the "Grantor," and [name of corporate trustee], [insert "incorporated in the state of" or "a national bank" or "a state bank"], the "Trustee."</w:t>
      </w:r>
    </w:p>
    <w:p w14:paraId="0C6CB145" w14:textId="77777777" w:rsidR="006E50FF" w:rsidRPr="006E50FF" w:rsidRDefault="006E50FF" w:rsidP="006E50FF">
      <w:pPr>
        <w:ind w:left="432" w:right="432"/>
        <w:jc w:val="both"/>
        <w:rPr>
          <w:noProof/>
          <w:sz w:val="16"/>
          <w:szCs w:val="16"/>
        </w:rPr>
      </w:pPr>
      <w:r w:rsidRPr="006E50FF">
        <w:rPr>
          <w:noProof/>
          <w:sz w:val="16"/>
          <w:szCs w:val="16"/>
        </w:rPr>
        <w:tab/>
        <w:t>WHEREAS, the Department of Environmental Quality of the State of Louisiana, an agency of the state of Louisiana, has established certain regulations applicable to the Grantor, requiring that a permit holder or applicant for a permit of a waste tire processing facility shall provide assurance that funds will be available when needed for closure of the facility;</w:t>
      </w:r>
    </w:p>
    <w:p w14:paraId="40D96986" w14:textId="77777777" w:rsidR="006E50FF" w:rsidRPr="006E50FF" w:rsidRDefault="006E50FF" w:rsidP="006E50FF">
      <w:pPr>
        <w:ind w:left="432" w:right="432"/>
        <w:jc w:val="both"/>
        <w:rPr>
          <w:noProof/>
          <w:sz w:val="16"/>
          <w:szCs w:val="16"/>
        </w:rPr>
      </w:pPr>
      <w:r w:rsidRPr="006E50FF">
        <w:rPr>
          <w:noProof/>
          <w:sz w:val="16"/>
          <w:szCs w:val="16"/>
        </w:rPr>
        <w:lastRenderedPageBreak/>
        <w:tab/>
        <w:t>WHEREAS, the Grantor has elected to establish a trust to provide all or part of such financial assurance for the facility identified herein;</w:t>
      </w:r>
    </w:p>
    <w:p w14:paraId="6FB22221" w14:textId="77777777" w:rsidR="006E50FF" w:rsidRPr="006E50FF" w:rsidRDefault="006E50FF" w:rsidP="006E50FF">
      <w:pPr>
        <w:ind w:left="432" w:right="432"/>
        <w:jc w:val="both"/>
        <w:rPr>
          <w:noProof/>
          <w:sz w:val="16"/>
          <w:szCs w:val="16"/>
        </w:rPr>
      </w:pPr>
      <w:r w:rsidRPr="006E50FF">
        <w:rPr>
          <w:noProof/>
          <w:sz w:val="16"/>
          <w:szCs w:val="16"/>
        </w:rPr>
        <w:tab/>
        <w:t>WHEREAS, the Grantor, acting through its duly authorized officers, has selected [the Trustee] to be the trustee under this Agreement, and [the Trustee] is willing to act as trustee.</w:t>
      </w:r>
    </w:p>
    <w:p w14:paraId="1FD42DC6" w14:textId="77777777" w:rsidR="006E50FF" w:rsidRPr="006E50FF" w:rsidRDefault="006E50FF" w:rsidP="006E50FF">
      <w:pPr>
        <w:ind w:left="432" w:right="432"/>
        <w:jc w:val="both"/>
        <w:rPr>
          <w:noProof/>
          <w:sz w:val="16"/>
          <w:szCs w:val="16"/>
        </w:rPr>
      </w:pPr>
      <w:r w:rsidRPr="006E50FF">
        <w:rPr>
          <w:noProof/>
          <w:sz w:val="16"/>
          <w:szCs w:val="16"/>
        </w:rPr>
        <w:tab/>
        <w:t>NOW, THEREFORE, the Grantor and the Trustee agree as follows:</w:t>
      </w:r>
    </w:p>
    <w:p w14:paraId="29ECBA0E" w14:textId="77777777" w:rsidR="006E50FF" w:rsidRPr="006E50FF" w:rsidRDefault="006E50FF" w:rsidP="006E50FF">
      <w:pPr>
        <w:ind w:left="432" w:right="432"/>
        <w:jc w:val="center"/>
        <w:rPr>
          <w:b/>
          <w:noProof/>
          <w:sz w:val="16"/>
          <w:szCs w:val="16"/>
        </w:rPr>
      </w:pPr>
      <w:r w:rsidRPr="006E50FF">
        <w:rPr>
          <w:b/>
          <w:noProof/>
          <w:sz w:val="16"/>
          <w:szCs w:val="16"/>
        </w:rPr>
        <w:t>SECTION 1. DEFINITIONS</w:t>
      </w:r>
    </w:p>
    <w:p w14:paraId="79AA7C9B" w14:textId="77777777" w:rsidR="006E50FF" w:rsidRPr="006E50FF" w:rsidRDefault="006E50FF" w:rsidP="006E50FF">
      <w:pPr>
        <w:ind w:left="432" w:right="432"/>
        <w:jc w:val="both"/>
        <w:rPr>
          <w:noProof/>
          <w:sz w:val="16"/>
          <w:szCs w:val="16"/>
        </w:rPr>
      </w:pPr>
      <w:r w:rsidRPr="006E50FF">
        <w:rPr>
          <w:noProof/>
          <w:sz w:val="16"/>
          <w:szCs w:val="16"/>
        </w:rPr>
        <w:t>As used in this Agreement:</w:t>
      </w:r>
    </w:p>
    <w:p w14:paraId="1C7B3821"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The term Grantor means the permit holder or applicant who enters into this Agreement and any successors or assigns of the Grantor.</w:t>
      </w:r>
    </w:p>
    <w:p w14:paraId="3E24FA2B"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The term Trustee means the Trustee who enters into this Agreement and any successor trustee.</w:t>
      </w:r>
    </w:p>
    <w:p w14:paraId="2B9E1598"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(c).</w:t>
      </w:r>
      <w:r w:rsidRPr="006E50FF">
        <w:rPr>
          <w:noProof/>
          <w:sz w:val="16"/>
          <w:szCs w:val="16"/>
        </w:rPr>
        <w:tab/>
        <w:t>The term Secretary means the Secretary of the Louisiana Department of Environmental Quality.</w:t>
      </w:r>
    </w:p>
    <w:p w14:paraId="6AAF371E"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(d).</w:t>
      </w:r>
      <w:r w:rsidRPr="006E50FF">
        <w:rPr>
          <w:noProof/>
          <w:sz w:val="16"/>
          <w:szCs w:val="16"/>
        </w:rPr>
        <w:tab/>
        <w:t>The term Administrative Authority means the Secretary or his designee or the appropriate assistant secretary or his designee.</w:t>
      </w:r>
    </w:p>
    <w:p w14:paraId="5EE25E00" w14:textId="77777777" w:rsidR="006E50FF" w:rsidRPr="006E50FF" w:rsidRDefault="006E50FF" w:rsidP="006E50FF">
      <w:pPr>
        <w:ind w:left="432" w:right="432"/>
        <w:jc w:val="center"/>
        <w:rPr>
          <w:b/>
          <w:noProof/>
          <w:sz w:val="16"/>
          <w:szCs w:val="16"/>
        </w:rPr>
      </w:pPr>
      <w:r w:rsidRPr="006E50FF">
        <w:rPr>
          <w:b/>
          <w:noProof/>
          <w:sz w:val="16"/>
          <w:szCs w:val="16"/>
        </w:rPr>
        <w:t>SECTION 2. IDENTIFICATION OF FACILITIES AND COST ESTIMATES</w:t>
      </w:r>
    </w:p>
    <w:p w14:paraId="2D3D199E" w14:textId="77777777" w:rsidR="006E50FF" w:rsidRPr="006E50FF" w:rsidRDefault="006E50FF" w:rsidP="006E50FF">
      <w:pPr>
        <w:ind w:left="432" w:right="432"/>
        <w:jc w:val="both"/>
        <w:rPr>
          <w:noProof/>
          <w:sz w:val="16"/>
          <w:szCs w:val="16"/>
        </w:rPr>
      </w:pPr>
      <w:r w:rsidRPr="006E50FF">
        <w:rPr>
          <w:noProof/>
          <w:sz w:val="16"/>
          <w:szCs w:val="16"/>
        </w:rPr>
        <w:tab/>
        <w:t>This Agreement pertains to the facilities and cost estimates identified on attached Schedule A. [On Schedule A, list the site identification number, site name, facility name, facility permit number, and the annual aggregate amount of current closure cost estimates, or portions thereof, for which financial assurance is demonstrated by this Agreement.]</w:t>
      </w:r>
    </w:p>
    <w:p w14:paraId="1C0C804B" w14:textId="77777777" w:rsidR="006E50FF" w:rsidRPr="006E50FF" w:rsidRDefault="006E50FF" w:rsidP="006E50FF">
      <w:pPr>
        <w:ind w:left="432" w:right="432"/>
        <w:jc w:val="center"/>
        <w:rPr>
          <w:b/>
          <w:noProof/>
          <w:sz w:val="16"/>
          <w:szCs w:val="16"/>
        </w:rPr>
      </w:pPr>
      <w:r w:rsidRPr="006E50FF">
        <w:rPr>
          <w:b/>
          <w:noProof/>
          <w:sz w:val="16"/>
          <w:szCs w:val="16"/>
        </w:rPr>
        <w:t>SECTION 3. ESTABLISHMENT OF FUND</w:t>
      </w:r>
    </w:p>
    <w:p w14:paraId="26A27213" w14:textId="77777777" w:rsidR="006E50FF" w:rsidRPr="006E50FF" w:rsidRDefault="006E50FF" w:rsidP="006E50FF">
      <w:pPr>
        <w:ind w:left="432" w:right="432"/>
        <w:jc w:val="both"/>
        <w:rPr>
          <w:noProof/>
          <w:sz w:val="16"/>
          <w:szCs w:val="16"/>
        </w:rPr>
      </w:pPr>
      <w:r w:rsidRPr="006E50FF">
        <w:rPr>
          <w:noProof/>
          <w:sz w:val="16"/>
          <w:szCs w:val="16"/>
        </w:rPr>
        <w:tab/>
        <w:t>The Grantor and the Trustee hereby establish a trust fund, the "Fund," for the benefit of the Louisiana Department of Environmental Quality. The Grantor and the Trustee intend that no third party shall have access to the Fund, except as herein provided. The Fund is established initially as consisting of the property, which is acceptable to the Trustee, described in Schedule B attached hereto. [Note: Standby Trust Agreements need not be funded at the time of execution. In the case of Standby Trust Agreements, Schedule B should be blank except for a statement that the Agreement is not presently funded, but shall be funded by the financial assurance document used by the Grantor in accordance with the terms of that document.] Such property and any other property subsequently transferred to the Trustee is referred to as the Fund, together with all earnings and profits thereon, less any payments or distributions made by the Trustee pursuant to this Agreement. The Fund shall be held by the Trustee, in trust, as hereinafter provided. The Trustee shall not be responsible nor shall it undertake any responsibility for the amount or adequacy of, nor any duty to collect from the Grantor, any payments necessary to discharge any liabilities of the Grantor established by the administrative authority.</w:t>
      </w:r>
    </w:p>
    <w:p w14:paraId="40FEF88D" w14:textId="77777777" w:rsidR="006E50FF" w:rsidRPr="006E50FF" w:rsidRDefault="006E50FF" w:rsidP="006E50FF">
      <w:pPr>
        <w:ind w:left="432" w:right="432"/>
        <w:jc w:val="center"/>
        <w:rPr>
          <w:b/>
          <w:noProof/>
          <w:sz w:val="16"/>
          <w:szCs w:val="16"/>
        </w:rPr>
      </w:pPr>
      <w:r w:rsidRPr="006E50FF">
        <w:rPr>
          <w:b/>
          <w:noProof/>
          <w:sz w:val="16"/>
          <w:szCs w:val="16"/>
        </w:rPr>
        <w:t>SECTION 4. PAYMENT FOR CLOSURE</w:t>
      </w:r>
    </w:p>
    <w:p w14:paraId="1092152A" w14:textId="77777777" w:rsidR="006E50FF" w:rsidRPr="006E50FF" w:rsidRDefault="006E50FF" w:rsidP="006E50FF">
      <w:pPr>
        <w:ind w:left="432" w:right="432"/>
        <w:jc w:val="both"/>
        <w:rPr>
          <w:noProof/>
          <w:sz w:val="16"/>
          <w:szCs w:val="16"/>
        </w:rPr>
      </w:pPr>
      <w:r w:rsidRPr="006E50FF">
        <w:rPr>
          <w:noProof/>
          <w:sz w:val="16"/>
          <w:szCs w:val="16"/>
        </w:rPr>
        <w:tab/>
        <w:t>The Trustee shall make payments from the Fund as the administrative authority shall direct, in writing, to provide for the payment of the costs of closure care of the facility covered by this Agreement. The Trustee shall reimburse the Grantor or other persons as specified by the administrative authority from the Fund for closure expenditures in such amounts as the administrative authority shall direct in writing. In addition, the Trustee shall refund to the Grantor such amounts as the administrative authority specifies in writing. Upon refund, such funds shall no longer constitute part of the Fund as defined herein.</w:t>
      </w:r>
    </w:p>
    <w:p w14:paraId="4F429A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b/>
          <w:noProof/>
          <w:sz w:val="16"/>
          <w:szCs w:val="16"/>
        </w:rPr>
      </w:pPr>
      <w:r w:rsidRPr="006E50FF">
        <w:rPr>
          <w:b/>
          <w:noProof/>
          <w:sz w:val="16"/>
          <w:szCs w:val="16"/>
        </w:rPr>
        <w:t>SECTION 5. PAYMENTS COMPRISED BY THE</w:t>
      </w:r>
      <w:r w:rsidRPr="006E50FF">
        <w:rPr>
          <w:kern w:val="2"/>
        </w:rPr>
        <w:t xml:space="preserve"> </w:t>
      </w:r>
      <w:r w:rsidRPr="006E50FF">
        <w:rPr>
          <w:b/>
          <w:noProof/>
          <w:sz w:val="16"/>
          <w:szCs w:val="16"/>
        </w:rPr>
        <w:t>FUND</w:t>
      </w:r>
    </w:p>
    <w:p w14:paraId="493BE960" w14:textId="77777777" w:rsidR="006E50FF" w:rsidRPr="006E50FF" w:rsidRDefault="006E50FF" w:rsidP="006E50FF">
      <w:pPr>
        <w:ind w:left="432" w:right="432"/>
        <w:jc w:val="both"/>
        <w:rPr>
          <w:noProof/>
          <w:sz w:val="16"/>
          <w:szCs w:val="16"/>
        </w:rPr>
      </w:pPr>
      <w:r w:rsidRPr="006E50FF">
        <w:rPr>
          <w:noProof/>
          <w:sz w:val="16"/>
          <w:szCs w:val="16"/>
        </w:rPr>
        <w:tab/>
        <w:t>Payments made to the Trustee for the Fund shall consist of cash or securities acceptable to the Trustee.</w:t>
      </w:r>
    </w:p>
    <w:p w14:paraId="1A74E098" w14:textId="77777777" w:rsidR="006E50FF" w:rsidRPr="006E50FF" w:rsidRDefault="006E50FF" w:rsidP="006E50FF">
      <w:pPr>
        <w:ind w:left="432" w:right="432"/>
        <w:jc w:val="center"/>
        <w:rPr>
          <w:b/>
          <w:noProof/>
          <w:sz w:val="16"/>
          <w:szCs w:val="16"/>
        </w:rPr>
      </w:pPr>
      <w:r w:rsidRPr="006E50FF">
        <w:rPr>
          <w:b/>
          <w:noProof/>
          <w:sz w:val="16"/>
          <w:szCs w:val="16"/>
        </w:rPr>
        <w:t>SECTION 6. TRUSTEE MANAGEMENT</w:t>
      </w:r>
    </w:p>
    <w:p w14:paraId="10D8DD18" w14:textId="77777777" w:rsidR="006E50FF" w:rsidRPr="006E50FF" w:rsidRDefault="006E50FF" w:rsidP="006E50FF">
      <w:pPr>
        <w:ind w:left="432" w:right="432"/>
        <w:jc w:val="both"/>
        <w:rPr>
          <w:noProof/>
          <w:sz w:val="16"/>
          <w:szCs w:val="16"/>
        </w:rPr>
      </w:pPr>
      <w:r w:rsidRPr="006E50FF">
        <w:rPr>
          <w:noProof/>
          <w:sz w:val="16"/>
          <w:szCs w:val="16"/>
        </w:rPr>
        <w:tab/>
        <w:t xml:space="preserve">The Trustee shall invest and reinvest the principal and income of the Fund and keep the Fund invested as a single fund, without distinction between principal and income, in accordance with general investment policies and guidelines, which the Grantor may communicate in writing to the Trustee from time to time, subject, however, to the provisions of this Section. In investing, reinvesting, exchanging, selling, and managing the Fund, the Trustee shall discharge his duties with respect to the trust fund solely in the interest of the beneficiary and with the care, skill, prudence, and diligence under the circumstances then prevailing that persons of prudence, acting </w:t>
      </w:r>
      <w:r w:rsidRPr="006E50FF">
        <w:rPr>
          <w:noProof/>
          <w:sz w:val="16"/>
          <w:szCs w:val="16"/>
        </w:rPr>
        <w:t>in a like capacity and familiar with such matters, would use in the conduct of an enterprise of like character and with like aims, except that:</w:t>
      </w:r>
    </w:p>
    <w:p w14:paraId="6AA6AC32"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Securities or other obligations of the Grantor, or any owner of the [facility or facilities] or any of their affiliates, as defined in the Investment Company Act of 1940, as amended, 15 U.S.C. 80a-2.(a), shall not be acquired or held, unless they are securities or other obligations of the federal or a state government;</w:t>
      </w:r>
    </w:p>
    <w:p w14:paraId="1728E923"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The Trustee is authorized to invest the Fund in time or demand deposits of the Trustee, to the extent insured by an agency of the federal or state government; and</w:t>
      </w:r>
    </w:p>
    <w:p w14:paraId="17849791"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(c).</w:t>
      </w:r>
      <w:r w:rsidRPr="006E50FF">
        <w:rPr>
          <w:noProof/>
          <w:sz w:val="16"/>
          <w:szCs w:val="16"/>
        </w:rPr>
        <w:tab/>
        <w:t>The Trustee is authorized to hold cash awaiting investment or distribution, uninvested for a reasonable time and without liability for the payment of interest thereon.</w:t>
      </w:r>
    </w:p>
    <w:p w14:paraId="54B763D3" w14:textId="77777777" w:rsidR="006E50FF" w:rsidRPr="006E50FF" w:rsidRDefault="006E50FF" w:rsidP="006E50FF">
      <w:pPr>
        <w:ind w:left="432" w:right="432"/>
        <w:jc w:val="center"/>
        <w:rPr>
          <w:b/>
          <w:noProof/>
          <w:sz w:val="16"/>
          <w:szCs w:val="16"/>
        </w:rPr>
      </w:pPr>
      <w:r w:rsidRPr="006E50FF">
        <w:rPr>
          <w:b/>
          <w:noProof/>
          <w:sz w:val="16"/>
          <w:szCs w:val="16"/>
        </w:rPr>
        <w:t>SECTION 7. COMMINGLING AND INVESTMENT</w:t>
      </w:r>
    </w:p>
    <w:p w14:paraId="1A7D80CD" w14:textId="77777777" w:rsidR="006E50FF" w:rsidRPr="006E50FF" w:rsidRDefault="006E50FF" w:rsidP="006E50FF">
      <w:pPr>
        <w:ind w:left="432" w:right="432"/>
        <w:jc w:val="both"/>
        <w:rPr>
          <w:noProof/>
          <w:sz w:val="16"/>
          <w:szCs w:val="16"/>
        </w:rPr>
      </w:pPr>
      <w:r w:rsidRPr="006E50FF">
        <w:rPr>
          <w:noProof/>
          <w:sz w:val="16"/>
          <w:szCs w:val="16"/>
        </w:rPr>
        <w:tab/>
        <w:t>The Trustee is expressly authorized, at its discretion:</w:t>
      </w:r>
    </w:p>
    <w:p w14:paraId="5BC30892"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To transfer from time to time any or all of the assets of the Fund to any common, commingled, or collective trust fund created by the Trustee in which the Fund is eligible to participate, subject to all provisions thereof, to be commingled with the assets of other trusts participating therein; and</w:t>
      </w:r>
    </w:p>
    <w:p w14:paraId="642CA98B"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To purchase shares in any investment company registered under the Investment Company Act of 1940, 15 U.S.C. 80a-1 et seq., including one which may be created, managed, or underwritten, or one to which investment advice is rendered or the shares of which are sold by the Trustee. The Trustee may vote such shares at its discretion.</w:t>
      </w:r>
    </w:p>
    <w:p w14:paraId="207137E7" w14:textId="77777777" w:rsidR="006E50FF" w:rsidRPr="006E50FF" w:rsidRDefault="006E50FF" w:rsidP="006E50FF">
      <w:pPr>
        <w:ind w:left="432" w:right="432"/>
        <w:jc w:val="center"/>
        <w:rPr>
          <w:b/>
          <w:noProof/>
          <w:sz w:val="16"/>
          <w:szCs w:val="16"/>
        </w:rPr>
      </w:pPr>
      <w:r w:rsidRPr="006E50FF">
        <w:rPr>
          <w:b/>
          <w:noProof/>
          <w:sz w:val="16"/>
          <w:szCs w:val="16"/>
        </w:rPr>
        <w:t>SECTION 8. EXPRESS POWERS OF TRUSTEE</w:t>
      </w:r>
    </w:p>
    <w:p w14:paraId="327A5CCE" w14:textId="77777777" w:rsidR="006E50FF" w:rsidRPr="006E50FF" w:rsidRDefault="006E50FF" w:rsidP="006E50FF">
      <w:pPr>
        <w:ind w:left="432" w:right="432"/>
        <w:jc w:val="both"/>
        <w:rPr>
          <w:noProof/>
          <w:sz w:val="16"/>
          <w:szCs w:val="16"/>
        </w:rPr>
      </w:pPr>
      <w:r w:rsidRPr="006E50FF">
        <w:rPr>
          <w:noProof/>
          <w:sz w:val="16"/>
          <w:szCs w:val="16"/>
        </w:rPr>
        <w:tab/>
        <w:t>Without in any way limiting the powers and discretion conferred upon the Trustee by the other provisions of this Agreement or by law, the Trustee is expressly authorized and empowered:</w:t>
      </w:r>
    </w:p>
    <w:p w14:paraId="1B47140B"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To sell, exchange, convey, transfer, or otherwise dispose of any property held by it, by public or private sale. No person dealing with the Trustee shall be bound to see to the application of the purchase money or to inquire into the validity or expediency of any such sale or other disposition;</w:t>
      </w:r>
    </w:p>
    <w:p w14:paraId="10D8AF3C"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To make, execute, acknowledge, and deliver any and all documents of transfer and conveyance and any and all other instruments that may be necessary or appropriate to carry out the powers herein granted;</w:t>
      </w:r>
    </w:p>
    <w:p w14:paraId="63C73DFA"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(c).</w:t>
      </w:r>
      <w:r w:rsidRPr="006E50FF">
        <w:rPr>
          <w:noProof/>
          <w:sz w:val="16"/>
          <w:szCs w:val="16"/>
        </w:rPr>
        <w:tab/>
        <w:t>To register any securities held in the Fund in its own name or in the name of a nominee and to hold any security in bearer form or in book entry, or to combine certificates representing such securities with certificates of the same issue held by the Trustee in other fiduciary capacities, or to deposit or arrange for the deposit of such securities in a qualified central depository even though, when so deposited, such securities may be merged and held in bulk in the name of the nominee of such depository with other securities deposited therein by another person, or to deposit or arrange for the deposit of any securities issued by the United States Government, or any agency or instrumentality thereof, with a Federal Reserve Bank, but the books and records of the Trustee shall at all times show that all securities are part of the Fund;</w:t>
      </w:r>
    </w:p>
    <w:p w14:paraId="6DA18DF6"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(d).</w:t>
      </w:r>
      <w:r w:rsidRPr="006E50FF">
        <w:rPr>
          <w:noProof/>
          <w:sz w:val="16"/>
          <w:szCs w:val="16"/>
        </w:rPr>
        <w:tab/>
        <w:t>To deposit any cash in the Fund in interest-bearing accounts maintained or savings certificates issued by the Trustee, in its separate corporate capacity, or in any other banking institution affiliated with the Trustee, to the extent insured by an agency of the federal or state government; and</w:t>
      </w:r>
    </w:p>
    <w:p w14:paraId="69D01704"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(e).</w:t>
      </w:r>
      <w:r w:rsidRPr="006E50FF">
        <w:rPr>
          <w:noProof/>
          <w:sz w:val="16"/>
          <w:szCs w:val="16"/>
        </w:rPr>
        <w:tab/>
        <w:t>To compromise or otherwise adjust all claims in favor of, or against, the Fund.</w:t>
      </w:r>
    </w:p>
    <w:p w14:paraId="6F0FF002" w14:textId="77777777" w:rsidR="006E50FF" w:rsidRPr="006E50FF" w:rsidRDefault="006E50FF" w:rsidP="006E50FF">
      <w:pPr>
        <w:ind w:left="432" w:right="432"/>
        <w:jc w:val="center"/>
        <w:rPr>
          <w:b/>
          <w:noProof/>
          <w:sz w:val="16"/>
          <w:szCs w:val="16"/>
        </w:rPr>
      </w:pPr>
      <w:r w:rsidRPr="006E50FF">
        <w:rPr>
          <w:b/>
          <w:noProof/>
          <w:sz w:val="16"/>
          <w:szCs w:val="16"/>
        </w:rPr>
        <w:t>SECTION 9. TAXES AND EXPENSES</w:t>
      </w:r>
    </w:p>
    <w:p w14:paraId="51776AB8" w14:textId="77777777" w:rsidR="006E50FF" w:rsidRPr="006E50FF" w:rsidRDefault="006E50FF" w:rsidP="006E50FF">
      <w:pPr>
        <w:ind w:left="432" w:right="432"/>
        <w:jc w:val="both"/>
        <w:rPr>
          <w:noProof/>
          <w:sz w:val="16"/>
          <w:szCs w:val="16"/>
        </w:rPr>
      </w:pPr>
      <w:r w:rsidRPr="006E50FF">
        <w:rPr>
          <w:noProof/>
          <w:sz w:val="16"/>
          <w:szCs w:val="16"/>
        </w:rPr>
        <w:tab/>
        <w:t>All taxes of any kind that may be assessed or levied against or in respect of the Fund and all brokerage commissions incurred by the Fund shall be paid from the Fund. All other expenses incurred by the Trustee in connection with the administration of this Trust, including fees for legal services rendered to the Trustee, the compensation of the Trustee to the extent not paid directly by the Grantor, and other proper charges and disbursements of the Trustee, shall be paid from the Fund.</w:t>
      </w:r>
    </w:p>
    <w:p w14:paraId="6D46078E" w14:textId="77777777" w:rsidR="006E50FF" w:rsidRPr="006E50FF" w:rsidRDefault="006E50FF" w:rsidP="006E50FF">
      <w:pPr>
        <w:ind w:left="432" w:right="432"/>
        <w:jc w:val="center"/>
        <w:rPr>
          <w:b/>
          <w:noProof/>
          <w:sz w:val="16"/>
          <w:szCs w:val="16"/>
        </w:rPr>
      </w:pPr>
      <w:r w:rsidRPr="006E50FF">
        <w:rPr>
          <w:b/>
          <w:noProof/>
          <w:sz w:val="16"/>
          <w:szCs w:val="16"/>
        </w:rPr>
        <w:t>SECTION 10. ANNUAL VALUATION</w:t>
      </w:r>
    </w:p>
    <w:p w14:paraId="329CD650" w14:textId="77777777" w:rsidR="006E50FF" w:rsidRPr="006E50FF" w:rsidRDefault="006E50FF" w:rsidP="006E50FF">
      <w:pPr>
        <w:ind w:left="432" w:right="432"/>
        <w:jc w:val="both"/>
        <w:rPr>
          <w:noProof/>
          <w:sz w:val="16"/>
          <w:szCs w:val="16"/>
        </w:rPr>
      </w:pPr>
      <w:r w:rsidRPr="006E50FF">
        <w:rPr>
          <w:noProof/>
          <w:sz w:val="16"/>
          <w:szCs w:val="16"/>
        </w:rPr>
        <w:tab/>
        <w:t xml:space="preserve">The Trustee shall annually, at least 30 days prior to the anniversary date of establishment of the Fund, furnish to the Grantor and to the administrative authority a statement confirming the value of the Trust. Any securities in the Fund shall be valued at market value as of no more than 60 days prior </w:t>
      </w:r>
      <w:r w:rsidRPr="006E50FF">
        <w:rPr>
          <w:noProof/>
          <w:sz w:val="16"/>
          <w:szCs w:val="16"/>
        </w:rPr>
        <w:lastRenderedPageBreak/>
        <w:t>to the anniversary date of establishment of the Fund. The failure of the Grantor to object in writing to the Trustee, within 90 days after the statement has been furnished to the Grantor and the administrative authority, shall constitute a conclusively binding assent by the Grantor, barring the Grantor from asserting any claim or liability against the Trustee with respect to matters disclosed in the statement.</w:t>
      </w:r>
    </w:p>
    <w:p w14:paraId="45D67B20" w14:textId="77777777" w:rsidR="006E50FF" w:rsidRPr="006E50FF" w:rsidRDefault="006E50FF" w:rsidP="006E50FF">
      <w:pPr>
        <w:ind w:left="432" w:right="432"/>
        <w:jc w:val="center"/>
        <w:rPr>
          <w:b/>
          <w:noProof/>
          <w:sz w:val="16"/>
          <w:szCs w:val="16"/>
        </w:rPr>
      </w:pPr>
      <w:r w:rsidRPr="006E50FF">
        <w:rPr>
          <w:b/>
          <w:noProof/>
          <w:sz w:val="16"/>
          <w:szCs w:val="16"/>
        </w:rPr>
        <w:t>SECTION 11. ADVICE OF COUNSEL</w:t>
      </w:r>
    </w:p>
    <w:p w14:paraId="503E6014" w14:textId="77777777" w:rsidR="006E50FF" w:rsidRPr="006E50FF" w:rsidRDefault="006E50FF" w:rsidP="006E50FF">
      <w:pPr>
        <w:ind w:left="432" w:right="432"/>
        <w:jc w:val="both"/>
        <w:rPr>
          <w:noProof/>
          <w:sz w:val="16"/>
          <w:szCs w:val="16"/>
        </w:rPr>
      </w:pPr>
      <w:r w:rsidRPr="006E50FF">
        <w:rPr>
          <w:noProof/>
          <w:sz w:val="16"/>
          <w:szCs w:val="16"/>
        </w:rPr>
        <w:tab/>
        <w:t>The Trustee may from time to time consult with counsel, who may be counsel to the Grantor, with respect to any questions arising as to the construction of this Agreement or any action to be taken hereunder. The Trustee shall be fully protected, to the extent permitted by law, in acting upon the advice of counsel.</w:t>
      </w:r>
    </w:p>
    <w:p w14:paraId="03F8B6DC" w14:textId="77777777" w:rsidR="006E50FF" w:rsidRPr="006E50FF" w:rsidRDefault="006E50FF" w:rsidP="006E50FF">
      <w:pPr>
        <w:ind w:left="432" w:right="432"/>
        <w:jc w:val="center"/>
        <w:rPr>
          <w:b/>
          <w:noProof/>
          <w:sz w:val="16"/>
          <w:szCs w:val="16"/>
        </w:rPr>
      </w:pPr>
      <w:r w:rsidRPr="006E50FF">
        <w:rPr>
          <w:b/>
          <w:noProof/>
          <w:sz w:val="16"/>
          <w:szCs w:val="16"/>
        </w:rPr>
        <w:t>SECTION 12. TRUSTEE COMPENSATION</w:t>
      </w:r>
    </w:p>
    <w:p w14:paraId="778BD65B" w14:textId="77777777" w:rsidR="006E50FF" w:rsidRPr="006E50FF" w:rsidRDefault="006E50FF" w:rsidP="006E50FF">
      <w:pPr>
        <w:ind w:left="432" w:right="432"/>
        <w:jc w:val="both"/>
        <w:rPr>
          <w:noProof/>
          <w:sz w:val="16"/>
          <w:szCs w:val="16"/>
        </w:rPr>
      </w:pPr>
      <w:r w:rsidRPr="006E50FF">
        <w:rPr>
          <w:noProof/>
          <w:sz w:val="16"/>
          <w:szCs w:val="16"/>
        </w:rPr>
        <w:tab/>
        <w:t>The Trustee shall be entitled to reasonable compensation for its services, as agreed upon in writing from time to time with the Grantor.</w:t>
      </w:r>
    </w:p>
    <w:p w14:paraId="4AAB695A" w14:textId="77777777" w:rsidR="006E50FF" w:rsidRPr="006E50FF" w:rsidRDefault="006E50FF" w:rsidP="006E50FF">
      <w:pPr>
        <w:ind w:left="432" w:right="432"/>
        <w:jc w:val="center"/>
        <w:rPr>
          <w:b/>
          <w:noProof/>
          <w:sz w:val="16"/>
          <w:szCs w:val="16"/>
        </w:rPr>
      </w:pPr>
      <w:r w:rsidRPr="006E50FF">
        <w:rPr>
          <w:b/>
          <w:noProof/>
          <w:sz w:val="16"/>
          <w:szCs w:val="16"/>
        </w:rPr>
        <w:t>SECTION 13. SUCCESSOR TRUSTEE</w:t>
      </w:r>
    </w:p>
    <w:p w14:paraId="2CF58B1F" w14:textId="77777777" w:rsidR="006E50FF" w:rsidRPr="006E50FF" w:rsidRDefault="006E50FF" w:rsidP="006E50FF">
      <w:pPr>
        <w:ind w:left="432" w:right="432"/>
        <w:jc w:val="both"/>
        <w:rPr>
          <w:noProof/>
          <w:sz w:val="16"/>
          <w:szCs w:val="16"/>
        </w:rPr>
      </w:pPr>
      <w:r w:rsidRPr="006E50FF">
        <w:rPr>
          <w:noProof/>
          <w:sz w:val="16"/>
          <w:szCs w:val="16"/>
        </w:rPr>
        <w:tab/>
        <w:t>The Trustee may resign or the Grantor may replace the Trustee, but such resignation or replacement shall not be effective until the Grantor has appointed a successor trustee and this successor accepts the appointment. The successor trustee shall have the same powers and duties as those conferred upon the Trustee hereunder. Upon the successor trustee's acceptance of the appointment, the Trustee shall assign, transfer, and pay over to the successor trustee the funds and properties then constituting the Fund. If for any reason the Grantor cannot or does not act in the event of the resignation of the Trustee, the Trustee may apply to a court of competent jurisdiction for the appointment of a successor trustee or for instructions. The successor trustee shall, in writing, specify to the Grantor, the administrative authority, and the present Trustee, by certified mail 10 days before such change becomes effective, the date on which it assumes administration of the trust. Any expenses incurred by the Trustee as a result of any of the acts contemplated by this Section shall be paid as provided in Section 9.</w:t>
      </w:r>
    </w:p>
    <w:p w14:paraId="62E6ED8A" w14:textId="77777777" w:rsidR="006E50FF" w:rsidRPr="006E50FF" w:rsidRDefault="006E50FF" w:rsidP="006E50FF">
      <w:pPr>
        <w:ind w:left="432" w:right="432"/>
        <w:jc w:val="center"/>
        <w:rPr>
          <w:b/>
          <w:noProof/>
          <w:sz w:val="16"/>
          <w:szCs w:val="16"/>
        </w:rPr>
      </w:pPr>
      <w:r w:rsidRPr="006E50FF">
        <w:rPr>
          <w:b/>
          <w:noProof/>
          <w:sz w:val="16"/>
          <w:szCs w:val="16"/>
        </w:rPr>
        <w:t>SECTION 14. INSTRUCTIONS TO THE TRUSTEE</w:t>
      </w:r>
    </w:p>
    <w:p w14:paraId="5033B9B3" w14:textId="77777777" w:rsidR="006E50FF" w:rsidRPr="006E50FF" w:rsidRDefault="006E50FF" w:rsidP="006E50FF">
      <w:pPr>
        <w:ind w:left="432" w:right="432"/>
        <w:jc w:val="both"/>
        <w:rPr>
          <w:noProof/>
          <w:sz w:val="16"/>
          <w:szCs w:val="16"/>
        </w:rPr>
      </w:pPr>
      <w:r w:rsidRPr="006E50FF">
        <w:rPr>
          <w:noProof/>
          <w:sz w:val="16"/>
          <w:szCs w:val="16"/>
        </w:rPr>
        <w:tab/>
        <w:t>All orders, requests, and instructions by the Grantor to the Trustee shall be in writing, signed by the persons designated in the attached Exhibit A or such other persons as the Grantor may designate by amendment to Exhibit A. The Trustee shall be fully protected in acting without inquiry in accordance with the Grantor's orders, requests, and instructions. All orders, requests, and instructions by the administrative authority to the Trustee shall be in writing and signed by the administrative authority. The Trustee shall act and shall be fully protected in acting in accordance with such orders, requests, and instructions. The Trustee shall have the right to assume, in the absence of written notice to the contrary, that no event constituting a change or termination of the authority of any person to act on behalf of the Grantor or administrative authority hereunder has occurred. The Trustee shall have no duty to act in the absence of such orders, requests, and instructions from the Grantor and/or administrative authority, except as provided for herein.</w:t>
      </w:r>
    </w:p>
    <w:p w14:paraId="6B67D773" w14:textId="77777777" w:rsidR="006E50FF" w:rsidRPr="006E50FF" w:rsidRDefault="006E50FF" w:rsidP="006E50FF">
      <w:pPr>
        <w:ind w:left="432" w:right="432"/>
        <w:jc w:val="center"/>
        <w:rPr>
          <w:b/>
          <w:noProof/>
          <w:sz w:val="16"/>
          <w:szCs w:val="16"/>
        </w:rPr>
      </w:pPr>
      <w:r w:rsidRPr="006E50FF">
        <w:rPr>
          <w:b/>
          <w:noProof/>
          <w:sz w:val="16"/>
          <w:szCs w:val="16"/>
        </w:rPr>
        <w:t>SECTION 15. NOTICE OF NONPAYMENT</w:t>
      </w:r>
    </w:p>
    <w:p w14:paraId="09C1454D" w14:textId="77777777" w:rsidR="006E50FF" w:rsidRPr="006E50FF" w:rsidRDefault="006E50FF" w:rsidP="006E50FF">
      <w:pPr>
        <w:ind w:left="432" w:right="432"/>
        <w:jc w:val="both"/>
        <w:rPr>
          <w:noProof/>
          <w:sz w:val="16"/>
          <w:szCs w:val="16"/>
        </w:rPr>
      </w:pPr>
      <w:r w:rsidRPr="006E50FF">
        <w:rPr>
          <w:noProof/>
          <w:sz w:val="16"/>
          <w:szCs w:val="16"/>
        </w:rPr>
        <w:tab/>
        <w:t>The Trustee shall notify the Grantor and the administrative authority, by certified mail, within 10 days following the expiration of the 30-day period after the anniversary of the establishment of the Trust, if no payment is received from the Grantor during that period. After the pay-in period is completed, the Trustee shall not be required to send a notice of nonpayment.</w:t>
      </w:r>
    </w:p>
    <w:p w14:paraId="568C4B73" w14:textId="77777777" w:rsidR="006E50FF" w:rsidRPr="006E50FF" w:rsidRDefault="006E50FF" w:rsidP="006E50FF">
      <w:pPr>
        <w:ind w:left="432" w:right="432"/>
        <w:jc w:val="center"/>
        <w:rPr>
          <w:b/>
          <w:noProof/>
          <w:sz w:val="16"/>
          <w:szCs w:val="16"/>
        </w:rPr>
      </w:pPr>
      <w:r w:rsidRPr="006E50FF">
        <w:rPr>
          <w:b/>
          <w:noProof/>
          <w:sz w:val="16"/>
          <w:szCs w:val="16"/>
        </w:rPr>
        <w:t>SECTION 16. AMENDMENT OF AGREEMENT</w:t>
      </w:r>
    </w:p>
    <w:p w14:paraId="5F37689F" w14:textId="77777777" w:rsidR="006E50FF" w:rsidRPr="006E50FF" w:rsidRDefault="006E50FF" w:rsidP="006E50FF">
      <w:pPr>
        <w:ind w:left="432" w:right="432"/>
        <w:jc w:val="both"/>
        <w:rPr>
          <w:noProof/>
          <w:sz w:val="16"/>
          <w:szCs w:val="16"/>
        </w:rPr>
      </w:pPr>
      <w:r w:rsidRPr="006E50FF">
        <w:rPr>
          <w:noProof/>
          <w:sz w:val="16"/>
          <w:szCs w:val="16"/>
        </w:rPr>
        <w:tab/>
        <w:t>This Agreement may be amended by an instrument, in writing, executed by the Grantor, the Trustee, and the administrative authority, or by the Trustee and the administrative authority, if the Grantor ceases to exist.</w:t>
      </w:r>
    </w:p>
    <w:p w14:paraId="6BB580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b/>
          <w:noProof/>
          <w:sz w:val="16"/>
          <w:szCs w:val="16"/>
        </w:rPr>
        <w:t>SECTION 17. IRREVOCABILITY AND TERMINATION</w:t>
      </w:r>
    </w:p>
    <w:p w14:paraId="2D1113BD" w14:textId="77777777" w:rsidR="006E50FF" w:rsidRPr="006E50FF" w:rsidRDefault="006E50FF" w:rsidP="006E50FF">
      <w:pPr>
        <w:ind w:left="432" w:right="432"/>
        <w:jc w:val="both"/>
        <w:rPr>
          <w:noProof/>
          <w:sz w:val="16"/>
          <w:szCs w:val="16"/>
        </w:rPr>
      </w:pPr>
      <w:r w:rsidRPr="006E50FF">
        <w:rPr>
          <w:noProof/>
          <w:sz w:val="16"/>
          <w:szCs w:val="16"/>
        </w:rPr>
        <w:tab/>
        <w:t>Subject to the right of the parties to amend this Agreement, as provided in Section 16, this Trust shall be irrevocable and shall continue until terminated at the written agreement of the Grantor, the Trustee, and the administrative authority, or by the Trustee and the administrative authority, if the Grantor ceases to exist. Upon termination of the Trust, all remaining trust property, less final trust administration expenses, shall be delivered to the Grantor.</w:t>
      </w:r>
    </w:p>
    <w:p w14:paraId="032EF8D4" w14:textId="77777777" w:rsidR="006E50FF" w:rsidRPr="006E50FF" w:rsidRDefault="006E50FF" w:rsidP="006E50FF">
      <w:pPr>
        <w:ind w:left="432" w:right="432"/>
        <w:jc w:val="center"/>
        <w:rPr>
          <w:b/>
          <w:noProof/>
          <w:sz w:val="16"/>
          <w:szCs w:val="16"/>
        </w:rPr>
      </w:pPr>
      <w:r w:rsidRPr="006E50FF">
        <w:rPr>
          <w:b/>
          <w:noProof/>
          <w:sz w:val="16"/>
          <w:szCs w:val="16"/>
        </w:rPr>
        <w:t>SECTION 18. IMMUNITY AND INDEMNIFICATION</w:t>
      </w:r>
    </w:p>
    <w:p w14:paraId="3C0C9536" w14:textId="77777777" w:rsidR="006E50FF" w:rsidRPr="006E50FF" w:rsidRDefault="006E50FF" w:rsidP="006E50FF">
      <w:pPr>
        <w:ind w:left="432" w:right="432"/>
        <w:jc w:val="both"/>
        <w:rPr>
          <w:noProof/>
          <w:sz w:val="16"/>
          <w:szCs w:val="16"/>
        </w:rPr>
      </w:pPr>
      <w:r w:rsidRPr="006E50FF">
        <w:rPr>
          <w:noProof/>
          <w:sz w:val="16"/>
          <w:szCs w:val="16"/>
        </w:rPr>
        <w:tab/>
        <w:t>The Trustee shall not incur personal liability of any nature in connection with any act or omission, made in good faith, in the administration of this Trust, or in carrying out any direction by the Grantor or the administrative authority issued in accordance with this Agreement. The Trustee shall be indemnified and saved harmless by the Grantor or from the Trust Fund, or both, from and against any personal liability to which the Trustee may be subjected by reason of any act or conduct in its official capacity, including all reasonable expenses incurred in its defense in the event that the Grantor fails to provide such defense.</w:t>
      </w:r>
    </w:p>
    <w:p w14:paraId="49C51B4D" w14:textId="77777777" w:rsidR="006E50FF" w:rsidRPr="006E50FF" w:rsidRDefault="006E50FF" w:rsidP="006E50FF">
      <w:pPr>
        <w:ind w:left="432" w:right="432"/>
        <w:jc w:val="center"/>
        <w:rPr>
          <w:b/>
          <w:noProof/>
          <w:sz w:val="16"/>
          <w:szCs w:val="16"/>
        </w:rPr>
      </w:pPr>
      <w:r w:rsidRPr="006E50FF">
        <w:rPr>
          <w:b/>
          <w:noProof/>
          <w:sz w:val="16"/>
          <w:szCs w:val="16"/>
        </w:rPr>
        <w:t>SECTION 19. CHOICE OF LAW</w:t>
      </w:r>
    </w:p>
    <w:p w14:paraId="29B52BEC" w14:textId="77777777" w:rsidR="006E50FF" w:rsidRPr="006E50FF" w:rsidRDefault="006E50FF" w:rsidP="006E50FF">
      <w:pPr>
        <w:ind w:left="432" w:right="432"/>
        <w:jc w:val="both"/>
        <w:rPr>
          <w:noProof/>
          <w:sz w:val="16"/>
          <w:szCs w:val="16"/>
        </w:rPr>
      </w:pPr>
      <w:r w:rsidRPr="006E50FF">
        <w:rPr>
          <w:noProof/>
          <w:sz w:val="16"/>
          <w:szCs w:val="16"/>
        </w:rPr>
        <w:tab/>
        <w:t>This Agreement shall be administered, construed, and enforced according to the laws of the state of Louisiana.</w:t>
      </w:r>
    </w:p>
    <w:p w14:paraId="2662B322" w14:textId="77777777" w:rsidR="006E50FF" w:rsidRPr="006E50FF" w:rsidRDefault="006E50FF" w:rsidP="006E50FF">
      <w:pPr>
        <w:ind w:left="432" w:right="432"/>
        <w:jc w:val="center"/>
        <w:rPr>
          <w:b/>
          <w:noProof/>
          <w:sz w:val="16"/>
          <w:szCs w:val="16"/>
        </w:rPr>
      </w:pPr>
      <w:r w:rsidRPr="006E50FF">
        <w:rPr>
          <w:b/>
          <w:noProof/>
          <w:sz w:val="16"/>
          <w:szCs w:val="16"/>
        </w:rPr>
        <w:t>SECTION 20. INTERPRETATION</w:t>
      </w:r>
    </w:p>
    <w:p w14:paraId="337EF43F" w14:textId="77777777" w:rsidR="006E50FF" w:rsidRPr="006E50FF" w:rsidRDefault="006E50FF" w:rsidP="006E50FF">
      <w:pPr>
        <w:ind w:left="432" w:right="432"/>
        <w:jc w:val="both"/>
        <w:rPr>
          <w:noProof/>
          <w:sz w:val="16"/>
          <w:szCs w:val="16"/>
        </w:rPr>
      </w:pPr>
      <w:r w:rsidRPr="006E50FF">
        <w:rPr>
          <w:noProof/>
          <w:sz w:val="16"/>
          <w:szCs w:val="16"/>
        </w:rPr>
        <w:tab/>
        <w:t>As used in this Agreement, words in the singular include the plural and words in the plural include the singular. The descriptive headings for each Section of this Agreement shall not affect the interpretation or the legal efficacy of this Agreement.</w:t>
      </w:r>
    </w:p>
    <w:p w14:paraId="286CE703" w14:textId="77777777" w:rsidR="006E50FF" w:rsidRPr="006E50FF" w:rsidRDefault="006E50FF" w:rsidP="006E50FF">
      <w:pPr>
        <w:ind w:left="432" w:right="432"/>
        <w:jc w:val="both"/>
        <w:rPr>
          <w:noProof/>
          <w:sz w:val="16"/>
          <w:szCs w:val="16"/>
        </w:rPr>
      </w:pPr>
      <w:r w:rsidRPr="006E50FF">
        <w:rPr>
          <w:noProof/>
          <w:sz w:val="16"/>
          <w:szCs w:val="16"/>
        </w:rPr>
        <w:tab/>
        <w:t>IN WITNESS WHEREOF, the parties have caused this Agreement to be executed by their respective officers duly authorized [and their corporate seals to be hereunto affixed] and attested to as of the date first above written. The parties below certify that the wording of this Agreement is identical to the wording specified in LAC 33:VII.11103.B.4, on the date first written above.</w:t>
      </w:r>
    </w:p>
    <w:p w14:paraId="74E714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tbl>
      <w:tblPr>
        <w:tblW w:w="0" w:type="auto"/>
        <w:jc w:val="center"/>
        <w:tblLook w:val="01E0" w:firstRow="1" w:lastRow="1" w:firstColumn="1" w:lastColumn="1" w:noHBand="0" w:noVBand="0"/>
      </w:tblPr>
      <w:tblGrid>
        <w:gridCol w:w="2569"/>
        <w:gridCol w:w="2327"/>
      </w:tblGrid>
      <w:tr w:rsidR="006E50FF" w:rsidRPr="006E50FF" w14:paraId="6EDF2348" w14:textId="77777777" w:rsidTr="0088638B">
        <w:trPr>
          <w:cantSplit/>
          <w:jc w:val="center"/>
        </w:trPr>
        <w:tc>
          <w:tcPr>
            <w:tcW w:w="2568" w:type="dxa"/>
          </w:tcPr>
          <w:p w14:paraId="600CB42C" w14:textId="77777777" w:rsidR="006E50FF" w:rsidRPr="006E50FF" w:rsidRDefault="006E50FF" w:rsidP="006E50FF">
            <w:pPr>
              <w:ind w:left="432" w:right="432"/>
              <w:jc w:val="center"/>
              <w:rPr>
                <w:b/>
                <w:noProof/>
                <w:sz w:val="16"/>
                <w:szCs w:val="16"/>
              </w:rPr>
            </w:pPr>
            <w:r w:rsidRPr="006E50FF">
              <w:rPr>
                <w:b/>
                <w:noProof/>
                <w:sz w:val="16"/>
                <w:szCs w:val="16"/>
              </w:rPr>
              <w:t>WITNESSES:</w:t>
            </w:r>
          </w:p>
        </w:tc>
        <w:tc>
          <w:tcPr>
            <w:tcW w:w="2435" w:type="dxa"/>
          </w:tcPr>
          <w:p w14:paraId="6268F07F" w14:textId="77777777" w:rsidR="006E50FF" w:rsidRPr="006E50FF" w:rsidRDefault="006E50FF" w:rsidP="006E50FF">
            <w:pPr>
              <w:ind w:left="432" w:right="432"/>
              <w:jc w:val="center"/>
              <w:rPr>
                <w:b/>
                <w:noProof/>
                <w:sz w:val="16"/>
                <w:szCs w:val="16"/>
              </w:rPr>
            </w:pPr>
            <w:r w:rsidRPr="006E50FF">
              <w:rPr>
                <w:b/>
                <w:noProof/>
                <w:sz w:val="16"/>
                <w:szCs w:val="16"/>
              </w:rPr>
              <w:t>GRANTOR:</w:t>
            </w:r>
          </w:p>
        </w:tc>
      </w:tr>
      <w:tr w:rsidR="006E50FF" w:rsidRPr="006E50FF" w14:paraId="49812432" w14:textId="77777777" w:rsidTr="0088638B">
        <w:trPr>
          <w:cantSplit/>
          <w:jc w:val="center"/>
        </w:trPr>
        <w:tc>
          <w:tcPr>
            <w:tcW w:w="2568" w:type="dxa"/>
          </w:tcPr>
          <w:p w14:paraId="0159779F" w14:textId="77777777" w:rsidR="006E50FF" w:rsidRPr="006E50FF" w:rsidRDefault="006E50FF" w:rsidP="006E50FF">
            <w:pPr>
              <w:keepNext/>
              <w:widowControl w:val="0"/>
              <w:ind w:right="432"/>
              <w:rPr>
                <w:noProof/>
                <w:sz w:val="24"/>
                <w:szCs w:val="16"/>
              </w:rPr>
            </w:pPr>
            <w:r w:rsidRPr="006E50FF">
              <w:rPr>
                <w:noProof/>
                <w:sz w:val="24"/>
                <w:szCs w:val="16"/>
              </w:rPr>
              <w:t>________________</w:t>
            </w:r>
          </w:p>
        </w:tc>
        <w:tc>
          <w:tcPr>
            <w:tcW w:w="2435" w:type="dxa"/>
          </w:tcPr>
          <w:p w14:paraId="604EC8FB" w14:textId="77777777" w:rsidR="006E50FF" w:rsidRPr="006E50FF" w:rsidRDefault="006E50FF" w:rsidP="006E50FF">
            <w:pPr>
              <w:keepNext/>
              <w:widowControl w:val="0"/>
              <w:ind w:right="432"/>
              <w:rPr>
                <w:noProof/>
                <w:sz w:val="24"/>
                <w:szCs w:val="16"/>
              </w:rPr>
            </w:pPr>
            <w:r w:rsidRPr="006E50FF">
              <w:rPr>
                <w:noProof/>
                <w:sz w:val="24"/>
                <w:szCs w:val="16"/>
              </w:rPr>
              <w:t>____________</w:t>
            </w:r>
          </w:p>
        </w:tc>
      </w:tr>
      <w:tr w:rsidR="006E50FF" w:rsidRPr="006E50FF" w14:paraId="4B886E0E" w14:textId="77777777" w:rsidTr="0088638B">
        <w:trPr>
          <w:cantSplit/>
          <w:jc w:val="center"/>
        </w:trPr>
        <w:tc>
          <w:tcPr>
            <w:tcW w:w="2568" w:type="dxa"/>
          </w:tcPr>
          <w:p w14:paraId="7A565D64" w14:textId="77777777" w:rsidR="006E50FF" w:rsidRPr="006E50FF" w:rsidRDefault="006E50FF" w:rsidP="006E50FF">
            <w:pPr>
              <w:keepNext/>
              <w:widowControl w:val="0"/>
              <w:ind w:right="432"/>
              <w:rPr>
                <w:noProof/>
                <w:sz w:val="24"/>
                <w:szCs w:val="16"/>
              </w:rPr>
            </w:pPr>
            <w:r w:rsidRPr="006E50FF">
              <w:rPr>
                <w:noProof/>
                <w:sz w:val="24"/>
                <w:szCs w:val="16"/>
              </w:rPr>
              <w:t>________________</w:t>
            </w:r>
          </w:p>
        </w:tc>
        <w:tc>
          <w:tcPr>
            <w:tcW w:w="2435" w:type="dxa"/>
          </w:tcPr>
          <w:p w14:paraId="5E49AD41" w14:textId="77777777" w:rsidR="006E50FF" w:rsidRPr="006E50FF" w:rsidRDefault="006E50FF" w:rsidP="006E50FF">
            <w:pPr>
              <w:keepNext/>
              <w:widowControl w:val="0"/>
              <w:ind w:right="432"/>
              <w:rPr>
                <w:noProof/>
                <w:sz w:val="24"/>
                <w:szCs w:val="16"/>
              </w:rPr>
            </w:pPr>
            <w:r w:rsidRPr="006E50FF">
              <w:rPr>
                <w:noProof/>
                <w:sz w:val="16"/>
                <w:szCs w:val="16"/>
              </w:rPr>
              <w:t>By:</w:t>
            </w:r>
            <w:r w:rsidRPr="006E50FF">
              <w:rPr>
                <w:noProof/>
                <w:sz w:val="24"/>
                <w:szCs w:val="16"/>
              </w:rPr>
              <w:t>____________</w:t>
            </w:r>
          </w:p>
        </w:tc>
      </w:tr>
      <w:tr w:rsidR="006E50FF" w:rsidRPr="006E50FF" w14:paraId="40B93F73" w14:textId="77777777" w:rsidTr="0088638B">
        <w:trPr>
          <w:gridAfter w:val="1"/>
          <w:wAfter w:w="2435" w:type="dxa"/>
          <w:cantSplit/>
          <w:jc w:val="center"/>
        </w:trPr>
        <w:tc>
          <w:tcPr>
            <w:tcW w:w="2568" w:type="dxa"/>
          </w:tcPr>
          <w:p w14:paraId="4BF2E7F3" w14:textId="77777777" w:rsidR="006E50FF" w:rsidRPr="006E50FF" w:rsidRDefault="006E50FF" w:rsidP="006E50FF">
            <w:pPr>
              <w:keepNext/>
              <w:widowControl w:val="0"/>
              <w:ind w:right="432"/>
              <w:rPr>
                <w:noProof/>
                <w:sz w:val="24"/>
                <w:szCs w:val="16"/>
              </w:rPr>
            </w:pPr>
            <w:r w:rsidRPr="006E50FF">
              <w:rPr>
                <w:noProof/>
                <w:sz w:val="16"/>
                <w:szCs w:val="16"/>
              </w:rPr>
              <w:t>Its:</w:t>
            </w:r>
            <w:r w:rsidRPr="006E50FF">
              <w:rPr>
                <w:noProof/>
                <w:sz w:val="24"/>
                <w:szCs w:val="16"/>
              </w:rPr>
              <w:t xml:space="preserve">_____________ </w:t>
            </w:r>
          </w:p>
        </w:tc>
      </w:tr>
      <w:tr w:rsidR="006E50FF" w:rsidRPr="006E50FF" w14:paraId="5350E363" w14:textId="77777777" w:rsidTr="0088638B">
        <w:trPr>
          <w:cantSplit/>
          <w:jc w:val="center"/>
        </w:trPr>
        <w:tc>
          <w:tcPr>
            <w:tcW w:w="2568" w:type="dxa"/>
          </w:tcPr>
          <w:p w14:paraId="1DC40761" w14:textId="77777777" w:rsidR="006E50FF" w:rsidRPr="006E50FF" w:rsidRDefault="006E50FF" w:rsidP="006E50FF">
            <w:pPr>
              <w:widowControl w:val="0"/>
              <w:ind w:right="432"/>
              <w:rPr>
                <w:noProof/>
                <w:sz w:val="24"/>
                <w:szCs w:val="16"/>
              </w:rPr>
            </w:pPr>
          </w:p>
        </w:tc>
        <w:tc>
          <w:tcPr>
            <w:tcW w:w="2435" w:type="dxa"/>
          </w:tcPr>
          <w:p w14:paraId="045BDD99" w14:textId="77777777" w:rsidR="006E50FF" w:rsidRPr="006E50FF" w:rsidRDefault="006E50FF" w:rsidP="006E50FF">
            <w:pPr>
              <w:widowControl w:val="0"/>
              <w:ind w:right="432"/>
              <w:rPr>
                <w:noProof/>
                <w:sz w:val="24"/>
                <w:szCs w:val="16"/>
              </w:rPr>
            </w:pPr>
          </w:p>
        </w:tc>
      </w:tr>
    </w:tbl>
    <w:p w14:paraId="61303EA1" w14:textId="77777777" w:rsidR="006E50FF" w:rsidRPr="006E50FF" w:rsidRDefault="006E50FF" w:rsidP="006E50FF">
      <w:pPr>
        <w:widowControl w:val="0"/>
        <w:spacing w:line="480" w:lineRule="auto"/>
        <w:rPr>
          <w:sz w:val="24"/>
        </w:rPr>
      </w:pPr>
    </w:p>
    <w:tbl>
      <w:tblPr>
        <w:tblW w:w="0" w:type="auto"/>
        <w:jc w:val="center"/>
        <w:tblLook w:val="01E0" w:firstRow="1" w:lastRow="1" w:firstColumn="1" w:lastColumn="1" w:noHBand="0" w:noVBand="0"/>
      </w:tblPr>
      <w:tblGrid>
        <w:gridCol w:w="2323"/>
      </w:tblGrid>
      <w:tr w:rsidR="006E50FF" w:rsidRPr="006E50FF" w14:paraId="2672A3D9" w14:textId="77777777" w:rsidTr="0088638B">
        <w:trPr>
          <w:cantSplit/>
          <w:jc w:val="center"/>
        </w:trPr>
        <w:tc>
          <w:tcPr>
            <w:tcW w:w="2323" w:type="dxa"/>
          </w:tcPr>
          <w:p w14:paraId="12DF9563" w14:textId="77777777" w:rsidR="006E50FF" w:rsidRPr="006E50FF" w:rsidRDefault="006E50FF" w:rsidP="006E50FF">
            <w:pPr>
              <w:ind w:left="432" w:right="432"/>
              <w:jc w:val="center"/>
              <w:rPr>
                <w:b/>
                <w:noProof/>
                <w:sz w:val="16"/>
                <w:szCs w:val="16"/>
              </w:rPr>
            </w:pPr>
            <w:r w:rsidRPr="006E50FF">
              <w:rPr>
                <w:b/>
                <w:noProof/>
                <w:sz w:val="16"/>
                <w:szCs w:val="16"/>
              </w:rPr>
              <w:t>TRUSTEE:</w:t>
            </w:r>
          </w:p>
        </w:tc>
      </w:tr>
      <w:tr w:rsidR="006E50FF" w:rsidRPr="006E50FF" w14:paraId="24CC6638" w14:textId="77777777" w:rsidTr="0088638B">
        <w:trPr>
          <w:cantSplit/>
          <w:jc w:val="center"/>
        </w:trPr>
        <w:tc>
          <w:tcPr>
            <w:tcW w:w="2323" w:type="dxa"/>
          </w:tcPr>
          <w:p w14:paraId="17048E1B" w14:textId="77777777" w:rsidR="006E50FF" w:rsidRPr="006E50FF" w:rsidRDefault="006E50FF" w:rsidP="006E50FF">
            <w:pPr>
              <w:widowControl w:val="0"/>
              <w:rPr>
                <w:noProof/>
                <w:sz w:val="24"/>
                <w:szCs w:val="16"/>
              </w:rPr>
            </w:pPr>
            <w:r w:rsidRPr="006E50FF">
              <w:rPr>
                <w:noProof/>
                <w:sz w:val="24"/>
                <w:szCs w:val="16"/>
              </w:rPr>
              <w:t>_________________</w:t>
            </w:r>
          </w:p>
        </w:tc>
      </w:tr>
      <w:tr w:rsidR="006E50FF" w:rsidRPr="006E50FF" w14:paraId="7DDAE37A" w14:textId="77777777" w:rsidTr="0088638B">
        <w:trPr>
          <w:cantSplit/>
          <w:jc w:val="center"/>
        </w:trPr>
        <w:tc>
          <w:tcPr>
            <w:tcW w:w="2323" w:type="dxa"/>
          </w:tcPr>
          <w:p w14:paraId="507A45F7" w14:textId="77777777" w:rsidR="006E50FF" w:rsidRPr="006E50FF" w:rsidRDefault="006E50FF" w:rsidP="006E50FF">
            <w:pPr>
              <w:widowControl w:val="0"/>
              <w:rPr>
                <w:noProof/>
                <w:sz w:val="24"/>
                <w:szCs w:val="16"/>
              </w:rPr>
            </w:pPr>
            <w:r w:rsidRPr="006E50FF">
              <w:rPr>
                <w:noProof/>
                <w:sz w:val="16"/>
                <w:szCs w:val="16"/>
              </w:rPr>
              <w:t>By:</w:t>
            </w:r>
            <w:r w:rsidRPr="006E50FF">
              <w:rPr>
                <w:noProof/>
                <w:sz w:val="24"/>
                <w:szCs w:val="16"/>
              </w:rPr>
              <w:t xml:space="preserve"> ______________</w:t>
            </w:r>
          </w:p>
        </w:tc>
      </w:tr>
      <w:tr w:rsidR="006E50FF" w:rsidRPr="006E50FF" w14:paraId="61146FD6" w14:textId="77777777" w:rsidTr="0088638B">
        <w:trPr>
          <w:cantSplit/>
          <w:jc w:val="center"/>
        </w:trPr>
        <w:tc>
          <w:tcPr>
            <w:tcW w:w="2323" w:type="dxa"/>
          </w:tcPr>
          <w:p w14:paraId="5155BBDA" w14:textId="77777777" w:rsidR="006E50FF" w:rsidRPr="006E50FF" w:rsidRDefault="006E50FF" w:rsidP="006E50FF">
            <w:pPr>
              <w:widowControl w:val="0"/>
              <w:rPr>
                <w:noProof/>
                <w:sz w:val="24"/>
                <w:szCs w:val="16"/>
              </w:rPr>
            </w:pPr>
            <w:r w:rsidRPr="006E50FF">
              <w:rPr>
                <w:noProof/>
                <w:sz w:val="16"/>
                <w:szCs w:val="16"/>
              </w:rPr>
              <w:t>Its:</w:t>
            </w:r>
            <w:r w:rsidRPr="006E50FF">
              <w:rPr>
                <w:noProof/>
                <w:sz w:val="24"/>
                <w:szCs w:val="16"/>
              </w:rPr>
              <w:t>_______________</w:t>
            </w:r>
          </w:p>
        </w:tc>
      </w:tr>
      <w:tr w:rsidR="006E50FF" w:rsidRPr="006E50FF" w14:paraId="48DE2310" w14:textId="77777777" w:rsidTr="0088638B">
        <w:trPr>
          <w:cantSplit/>
          <w:jc w:val="center"/>
        </w:trPr>
        <w:tc>
          <w:tcPr>
            <w:tcW w:w="2323" w:type="dxa"/>
          </w:tcPr>
          <w:p w14:paraId="6813562E" w14:textId="77777777" w:rsidR="006E50FF" w:rsidRPr="006E50FF" w:rsidRDefault="006E50FF" w:rsidP="006E50FF">
            <w:pPr>
              <w:ind w:left="432" w:right="432"/>
              <w:jc w:val="center"/>
              <w:rPr>
                <w:noProof/>
                <w:sz w:val="24"/>
                <w:szCs w:val="16"/>
              </w:rPr>
            </w:pPr>
            <w:r w:rsidRPr="006E50FF">
              <w:rPr>
                <w:b/>
                <w:noProof/>
                <w:sz w:val="16"/>
                <w:szCs w:val="16"/>
              </w:rPr>
              <w:t>[Seal]</w:t>
            </w:r>
          </w:p>
        </w:tc>
      </w:tr>
    </w:tbl>
    <w:p w14:paraId="0CF3FC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7278C63" w14:textId="77777777" w:rsidR="006E50FF" w:rsidRPr="006E50FF" w:rsidRDefault="006E50FF" w:rsidP="006E50FF">
      <w:pPr>
        <w:ind w:left="432" w:right="432"/>
        <w:jc w:val="both"/>
        <w:rPr>
          <w:noProof/>
          <w:sz w:val="16"/>
          <w:szCs w:val="16"/>
        </w:rPr>
      </w:pPr>
      <w:r w:rsidRPr="006E50FF">
        <w:rPr>
          <w:noProof/>
          <w:sz w:val="16"/>
          <w:szCs w:val="16"/>
        </w:rPr>
        <w:tab/>
        <w:t>THUS DONE AND PASSED in my office in _________, on the ________ day of ________, 20 ________, in the presence of ______________ and ________________, competent witnesses, who hereunto sign their names with the said appearers and me, Notary, after reading the whole.</w:t>
      </w:r>
    </w:p>
    <w:p w14:paraId="13415A94" w14:textId="77777777" w:rsidR="006E50FF" w:rsidRPr="006E50FF" w:rsidRDefault="006E50FF" w:rsidP="006E50FF">
      <w:pPr>
        <w:ind w:left="432" w:right="432"/>
        <w:jc w:val="both"/>
        <w:rPr>
          <w:noProof/>
          <w:sz w:val="16"/>
          <w:szCs w:val="16"/>
        </w:rPr>
      </w:pPr>
      <w:r w:rsidRPr="006E50FF">
        <w:rPr>
          <w:noProof/>
          <w:sz w:val="16"/>
          <w:szCs w:val="16"/>
        </w:rPr>
        <w:t>__________________</w:t>
      </w:r>
    </w:p>
    <w:p w14:paraId="4D3CA479" w14:textId="77777777" w:rsidR="006E50FF" w:rsidRPr="006E50FF" w:rsidRDefault="006E50FF" w:rsidP="006E50FF">
      <w:pPr>
        <w:ind w:left="432" w:right="432"/>
        <w:jc w:val="both"/>
        <w:rPr>
          <w:noProof/>
          <w:sz w:val="16"/>
          <w:szCs w:val="16"/>
        </w:rPr>
      </w:pPr>
      <w:r w:rsidRPr="006E50FF">
        <w:rPr>
          <w:noProof/>
          <w:sz w:val="16"/>
          <w:szCs w:val="16"/>
        </w:rPr>
        <w:t>Notary Public</w:t>
      </w:r>
    </w:p>
    <w:p w14:paraId="2A7EA574" w14:textId="77777777" w:rsidR="006E50FF" w:rsidRPr="006E50FF" w:rsidRDefault="006E50FF" w:rsidP="006E50FF">
      <w:pPr>
        <w:ind w:left="432" w:right="432"/>
        <w:jc w:val="both"/>
        <w:rPr>
          <w:noProof/>
          <w:sz w:val="16"/>
          <w:szCs w:val="16"/>
        </w:rPr>
      </w:pPr>
      <w:r w:rsidRPr="006E50FF">
        <w:rPr>
          <w:noProof/>
          <w:sz w:val="16"/>
          <w:szCs w:val="16"/>
        </w:rPr>
        <w:t>[Example of Formal Certification of Acknowledgement]</w:t>
      </w:r>
    </w:p>
    <w:p w14:paraId="579E1168" w14:textId="77777777" w:rsidR="006E50FF" w:rsidRPr="006E50FF" w:rsidRDefault="006E50FF" w:rsidP="006E50FF">
      <w:pPr>
        <w:ind w:left="432" w:right="432"/>
        <w:jc w:val="center"/>
        <w:rPr>
          <w:b/>
          <w:noProof/>
          <w:sz w:val="16"/>
          <w:szCs w:val="16"/>
        </w:rPr>
      </w:pPr>
      <w:r w:rsidRPr="006E50FF">
        <w:rPr>
          <w:b/>
          <w:noProof/>
          <w:sz w:val="16"/>
          <w:szCs w:val="16"/>
        </w:rPr>
        <w:t>STATE OF LOUISIANA</w:t>
      </w:r>
    </w:p>
    <w:p w14:paraId="660E9A72" w14:textId="77777777" w:rsidR="006E50FF" w:rsidRPr="006E50FF" w:rsidRDefault="006E50FF" w:rsidP="006E50FF">
      <w:pPr>
        <w:ind w:left="432" w:right="432"/>
        <w:jc w:val="both"/>
        <w:rPr>
          <w:noProof/>
          <w:sz w:val="16"/>
          <w:szCs w:val="16"/>
        </w:rPr>
      </w:pPr>
      <w:r w:rsidRPr="006E50FF">
        <w:rPr>
          <w:noProof/>
          <w:sz w:val="16"/>
          <w:szCs w:val="16"/>
        </w:rPr>
        <w:t>PARISH OF _________________</w:t>
      </w:r>
    </w:p>
    <w:p w14:paraId="5947F52F" w14:textId="77777777" w:rsidR="006E50FF" w:rsidRPr="006E50FF" w:rsidRDefault="006E50FF" w:rsidP="006E50FF">
      <w:pPr>
        <w:ind w:left="432" w:right="432"/>
        <w:jc w:val="both"/>
        <w:rPr>
          <w:noProof/>
          <w:sz w:val="16"/>
          <w:szCs w:val="16"/>
        </w:rPr>
      </w:pPr>
      <w:r w:rsidRPr="006E50FF">
        <w:rPr>
          <w:noProof/>
          <w:sz w:val="16"/>
          <w:szCs w:val="16"/>
        </w:rPr>
        <w:t>BE IT KNOWN, that on this ________ day of __________, 20__, before me, the undersigned Notary Public, duly commissioned and qualified within the State and Parish aforesaid, and in the presence of the witnesses hereinafter named and undersigned, personally came and appeared ___________, to me well known, who declared and acknowledged that he had signed and executed the foregoing instrument as his act and deed, and as the act and deed of the ____________________, a corporation, for the consideration, uses, and purposes and on terms and conditions therein set forth.</w:t>
      </w:r>
    </w:p>
    <w:p w14:paraId="3895E9E3" w14:textId="77777777" w:rsidR="006E50FF" w:rsidRPr="006E50FF" w:rsidRDefault="006E50FF" w:rsidP="006E50FF">
      <w:pPr>
        <w:ind w:left="432" w:right="432"/>
        <w:jc w:val="both"/>
        <w:rPr>
          <w:noProof/>
          <w:sz w:val="16"/>
          <w:szCs w:val="16"/>
        </w:rPr>
      </w:pPr>
      <w:r w:rsidRPr="006E50FF">
        <w:rPr>
          <w:noProof/>
          <w:sz w:val="16"/>
          <w:szCs w:val="16"/>
        </w:rPr>
        <w:t>And the said appearer, being by me first duly sworn, did depose and say that he is the ___________ of said corporation and that he signed and executed said instrument in his said capacity, and under authority of the Board of Directors of said corporation.</w:t>
      </w:r>
    </w:p>
    <w:p w14:paraId="6A3A6CD3" w14:textId="77777777" w:rsidR="006E50FF" w:rsidRPr="006E50FF" w:rsidRDefault="006E50FF" w:rsidP="006E50FF">
      <w:pPr>
        <w:ind w:left="432" w:right="432"/>
        <w:jc w:val="both"/>
        <w:rPr>
          <w:noProof/>
          <w:sz w:val="16"/>
          <w:szCs w:val="16"/>
        </w:rPr>
      </w:pPr>
      <w:r w:rsidRPr="006E50FF">
        <w:rPr>
          <w:noProof/>
          <w:sz w:val="16"/>
          <w:szCs w:val="16"/>
        </w:rPr>
        <w:t>Thus done and passed in the State and Parish aforesaid, on the day and date first hereinabove written, and in the presence of ______________ and ________________, competent witnesses, who have hereunto subscribed their names as such, together with said appearer and me, said authority, after due reading of the whole.</w:t>
      </w:r>
    </w:p>
    <w:p w14:paraId="5E6DBFCE" w14:textId="77777777" w:rsidR="006E50FF" w:rsidRPr="006E50FF" w:rsidRDefault="006E50FF" w:rsidP="006E50FF">
      <w:pPr>
        <w:ind w:left="432" w:right="432"/>
        <w:rPr>
          <w:b/>
          <w:noProof/>
          <w:sz w:val="16"/>
          <w:szCs w:val="16"/>
        </w:rPr>
      </w:pPr>
      <w:r w:rsidRPr="006E50FF">
        <w:rPr>
          <w:b/>
          <w:noProof/>
          <w:sz w:val="16"/>
          <w:szCs w:val="16"/>
        </w:rPr>
        <w:lastRenderedPageBreak/>
        <w:t>WITNESSES:</w:t>
      </w:r>
    </w:p>
    <w:p w14:paraId="336423EB" w14:textId="77777777" w:rsidR="006E50FF" w:rsidRPr="006E50FF" w:rsidRDefault="006E50FF" w:rsidP="006E50FF">
      <w:pPr>
        <w:ind w:left="432" w:right="432"/>
        <w:jc w:val="both"/>
        <w:rPr>
          <w:noProof/>
          <w:sz w:val="16"/>
          <w:szCs w:val="16"/>
        </w:rPr>
      </w:pPr>
      <w:r w:rsidRPr="006E50FF">
        <w:rPr>
          <w:noProof/>
          <w:sz w:val="16"/>
          <w:szCs w:val="16"/>
        </w:rPr>
        <w:t>___________________</w:t>
      </w:r>
    </w:p>
    <w:p w14:paraId="23C2BF4C" w14:textId="77777777" w:rsidR="006E50FF" w:rsidRPr="006E50FF" w:rsidRDefault="006E50FF" w:rsidP="006E50FF">
      <w:pPr>
        <w:ind w:left="432" w:right="432"/>
        <w:jc w:val="both"/>
        <w:rPr>
          <w:noProof/>
          <w:sz w:val="16"/>
          <w:szCs w:val="16"/>
        </w:rPr>
      </w:pPr>
      <w:r w:rsidRPr="006E50FF">
        <w:rPr>
          <w:noProof/>
          <w:sz w:val="16"/>
          <w:szCs w:val="16"/>
        </w:rPr>
        <w:t>___________________</w:t>
      </w:r>
    </w:p>
    <w:p w14:paraId="013180AF" w14:textId="77777777" w:rsidR="006E50FF" w:rsidRPr="006E50FF" w:rsidRDefault="006E50FF" w:rsidP="006E50FF">
      <w:pPr>
        <w:ind w:left="432" w:right="432"/>
        <w:rPr>
          <w:b/>
          <w:noProof/>
          <w:sz w:val="16"/>
          <w:szCs w:val="16"/>
        </w:rPr>
      </w:pPr>
      <w:r w:rsidRPr="006E50FF">
        <w:rPr>
          <w:b/>
          <w:noProof/>
          <w:sz w:val="16"/>
          <w:szCs w:val="16"/>
        </w:rPr>
        <w:t>NOTARY PUBLIC:</w:t>
      </w:r>
    </w:p>
    <w:p w14:paraId="63226448" w14:textId="77777777" w:rsidR="006E50FF" w:rsidRPr="006E50FF" w:rsidRDefault="006E50FF" w:rsidP="006E50FF">
      <w:pPr>
        <w:ind w:left="432" w:right="432"/>
        <w:jc w:val="both"/>
        <w:rPr>
          <w:noProof/>
          <w:sz w:val="16"/>
          <w:szCs w:val="16"/>
        </w:rPr>
      </w:pPr>
      <w:r w:rsidRPr="006E50FF">
        <w:rPr>
          <w:noProof/>
          <w:sz w:val="16"/>
          <w:szCs w:val="16"/>
        </w:rPr>
        <w:t>___________________</w:t>
      </w:r>
    </w:p>
    <w:p w14:paraId="396E0C87" w14:textId="77777777" w:rsidR="006E50FF" w:rsidRPr="006E50FF" w:rsidRDefault="006E50FF" w:rsidP="006E50FF">
      <w:pPr>
        <w:ind w:left="432" w:right="432"/>
        <w:jc w:val="both"/>
        <w:rPr>
          <w:noProof/>
        </w:rPr>
      </w:pPr>
    </w:p>
    <w:p w14:paraId="4DE36B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Waste Tire Transporter Sample Documents</w:t>
      </w:r>
    </w:p>
    <w:p w14:paraId="2899A9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2A026C69"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SAMPLE DOCUMENT:</w:t>
      </w:r>
    </w:p>
    <w:p w14:paraId="3A05D103"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WASTE TIRE TRANSPORTER</w:t>
      </w:r>
    </w:p>
    <w:p w14:paraId="0C3023E7"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FINANCIAL GUARANTEE BOND</w:t>
      </w:r>
    </w:p>
    <w:p w14:paraId="2DDE1728" w14:textId="77777777" w:rsidR="006E50FF" w:rsidRPr="006E50FF" w:rsidRDefault="006E50FF" w:rsidP="006E50FF">
      <w:pPr>
        <w:ind w:left="432" w:right="432"/>
        <w:jc w:val="both"/>
        <w:rPr>
          <w:noProof/>
          <w:sz w:val="16"/>
          <w:szCs w:val="16"/>
        </w:rPr>
      </w:pPr>
      <w:r w:rsidRPr="006E50FF">
        <w:rPr>
          <w:noProof/>
          <w:sz w:val="16"/>
          <w:szCs w:val="16"/>
        </w:rPr>
        <w:t>Date bond was executed: [Date bond executed]</w:t>
      </w:r>
    </w:p>
    <w:p w14:paraId="3C2B22E3" w14:textId="77777777" w:rsidR="006E50FF" w:rsidRPr="006E50FF" w:rsidRDefault="006E50FF" w:rsidP="006E50FF">
      <w:pPr>
        <w:ind w:left="432" w:right="432"/>
        <w:jc w:val="both"/>
        <w:rPr>
          <w:noProof/>
          <w:sz w:val="16"/>
          <w:szCs w:val="16"/>
        </w:rPr>
      </w:pPr>
      <w:r w:rsidRPr="006E50FF">
        <w:rPr>
          <w:noProof/>
          <w:sz w:val="16"/>
          <w:szCs w:val="16"/>
        </w:rPr>
        <w:t>Effective date: [Effective date of bond]</w:t>
      </w:r>
    </w:p>
    <w:p w14:paraId="5DE631A2" w14:textId="77777777" w:rsidR="006E50FF" w:rsidRPr="006E50FF" w:rsidRDefault="006E50FF" w:rsidP="006E50FF">
      <w:pPr>
        <w:ind w:left="432" w:right="432"/>
        <w:jc w:val="both"/>
        <w:rPr>
          <w:noProof/>
          <w:sz w:val="16"/>
          <w:szCs w:val="16"/>
        </w:rPr>
      </w:pPr>
      <w:r w:rsidRPr="006E50FF">
        <w:rPr>
          <w:noProof/>
          <w:sz w:val="16"/>
          <w:szCs w:val="16"/>
        </w:rPr>
        <w:t>Principal:</w:t>
      </w:r>
      <w:r w:rsidRPr="006E50FF">
        <w:rPr>
          <w:noProof/>
          <w:sz w:val="16"/>
          <w:szCs w:val="16"/>
        </w:rPr>
        <w:tab/>
        <w:t>[legal name and business address of permit holder or applicant]</w:t>
      </w:r>
    </w:p>
    <w:p w14:paraId="630B0584" w14:textId="77777777" w:rsidR="006E50FF" w:rsidRPr="006E50FF" w:rsidRDefault="006E50FF" w:rsidP="006E50FF">
      <w:pPr>
        <w:ind w:left="432" w:right="432"/>
        <w:jc w:val="both"/>
        <w:rPr>
          <w:noProof/>
          <w:sz w:val="16"/>
          <w:szCs w:val="16"/>
        </w:rPr>
      </w:pPr>
      <w:r w:rsidRPr="006E50FF">
        <w:rPr>
          <w:noProof/>
          <w:sz w:val="16"/>
          <w:szCs w:val="16"/>
        </w:rPr>
        <w:t>Type of organization:</w:t>
      </w:r>
      <w:r w:rsidRPr="006E50FF">
        <w:rPr>
          <w:noProof/>
          <w:sz w:val="16"/>
          <w:szCs w:val="16"/>
        </w:rPr>
        <w:tab/>
        <w:t>[insert "individual," "joint venture," "partnership," or "corporation"]</w:t>
      </w:r>
    </w:p>
    <w:p w14:paraId="38DF87D9" w14:textId="77777777" w:rsidR="006E50FF" w:rsidRPr="006E50FF" w:rsidRDefault="006E50FF" w:rsidP="006E50FF">
      <w:pPr>
        <w:ind w:left="432" w:right="432"/>
        <w:jc w:val="both"/>
        <w:rPr>
          <w:noProof/>
          <w:sz w:val="16"/>
          <w:szCs w:val="16"/>
        </w:rPr>
      </w:pPr>
      <w:r w:rsidRPr="006E50FF">
        <w:rPr>
          <w:noProof/>
          <w:sz w:val="16"/>
          <w:szCs w:val="16"/>
        </w:rPr>
        <w:t>State of incorporation:</w:t>
      </w:r>
    </w:p>
    <w:p w14:paraId="726B6313" w14:textId="77777777" w:rsidR="006E50FF" w:rsidRPr="006E50FF" w:rsidRDefault="006E50FF" w:rsidP="006E50FF">
      <w:pPr>
        <w:ind w:left="432" w:right="432"/>
        <w:jc w:val="both"/>
        <w:rPr>
          <w:noProof/>
          <w:sz w:val="16"/>
          <w:szCs w:val="16"/>
        </w:rPr>
      </w:pPr>
      <w:r w:rsidRPr="006E50FF">
        <w:rPr>
          <w:noProof/>
          <w:sz w:val="16"/>
          <w:szCs w:val="16"/>
        </w:rPr>
        <w:t>Surety: [name and business address]</w:t>
      </w:r>
    </w:p>
    <w:p w14:paraId="1CC4C88A" w14:textId="77777777" w:rsidR="006E50FF" w:rsidRPr="006E50FF" w:rsidRDefault="006E50FF" w:rsidP="006E50FF">
      <w:pPr>
        <w:ind w:left="432" w:right="432"/>
        <w:jc w:val="both"/>
        <w:rPr>
          <w:noProof/>
          <w:sz w:val="16"/>
          <w:szCs w:val="16"/>
        </w:rPr>
      </w:pPr>
      <w:r w:rsidRPr="006E50FF">
        <w:rPr>
          <w:noProof/>
          <w:sz w:val="16"/>
          <w:szCs w:val="16"/>
        </w:rPr>
        <w:t>[site identification number, site name, facility name, and current closure amount for each facility guaranteed by this bond]</w:t>
      </w:r>
    </w:p>
    <w:p w14:paraId="444E1AB1" w14:textId="77777777" w:rsidR="006E50FF" w:rsidRPr="006E50FF" w:rsidRDefault="006E50FF" w:rsidP="006E50FF">
      <w:pPr>
        <w:ind w:left="432" w:right="432"/>
        <w:jc w:val="both"/>
        <w:rPr>
          <w:noProof/>
          <w:sz w:val="16"/>
          <w:szCs w:val="16"/>
        </w:rPr>
      </w:pPr>
      <w:r w:rsidRPr="006E50FF">
        <w:rPr>
          <w:noProof/>
          <w:sz w:val="16"/>
          <w:szCs w:val="16"/>
        </w:rPr>
        <w:t>Total penal sum of bond: $</w:t>
      </w:r>
    </w:p>
    <w:p w14:paraId="0362D9DD" w14:textId="77777777" w:rsidR="006E50FF" w:rsidRPr="006E50FF" w:rsidRDefault="006E50FF" w:rsidP="006E50FF">
      <w:pPr>
        <w:ind w:left="432" w:right="432"/>
        <w:jc w:val="both"/>
        <w:rPr>
          <w:noProof/>
          <w:sz w:val="16"/>
          <w:szCs w:val="16"/>
        </w:rPr>
      </w:pPr>
      <w:r w:rsidRPr="006E50FF">
        <w:rPr>
          <w:noProof/>
          <w:sz w:val="16"/>
          <w:szCs w:val="16"/>
        </w:rPr>
        <w:t>Surety's bond number:</w:t>
      </w:r>
    </w:p>
    <w:p w14:paraId="024C936F" w14:textId="77777777" w:rsidR="006E50FF" w:rsidRPr="006E50FF" w:rsidRDefault="006E50FF" w:rsidP="006E50FF">
      <w:pPr>
        <w:ind w:left="432" w:right="432"/>
        <w:jc w:val="both"/>
        <w:rPr>
          <w:noProof/>
          <w:sz w:val="16"/>
          <w:szCs w:val="16"/>
        </w:rPr>
      </w:pPr>
      <w:r w:rsidRPr="006E50FF">
        <w:rPr>
          <w:noProof/>
          <w:sz w:val="16"/>
          <w:szCs w:val="16"/>
        </w:rPr>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or liability is indicated, the limit of liability shall be the full amount of the penal sum.</w:t>
      </w:r>
    </w:p>
    <w:p w14:paraId="4EC0B9E1" w14:textId="77777777" w:rsidR="006E50FF" w:rsidRPr="006E50FF" w:rsidRDefault="006E50FF" w:rsidP="006E50FF">
      <w:pPr>
        <w:ind w:left="432" w:right="432"/>
        <w:jc w:val="both"/>
        <w:rPr>
          <w:noProof/>
          <w:sz w:val="16"/>
          <w:szCs w:val="16"/>
        </w:rPr>
      </w:pPr>
      <w:r w:rsidRPr="006E50FF">
        <w:rPr>
          <w:noProof/>
          <w:sz w:val="16"/>
          <w:szCs w:val="16"/>
        </w:rPr>
        <w:t>WHEREAS, said Principal is required by La. R.S. 30:2418 and LAC 33:10523 to obtain authorization from the administrative authority in order to transport waste tires; and</w:t>
      </w:r>
    </w:p>
    <w:p w14:paraId="52A7BB31" w14:textId="77777777" w:rsidR="006E50FF" w:rsidRPr="006E50FF" w:rsidRDefault="006E50FF" w:rsidP="006E50FF">
      <w:pPr>
        <w:ind w:left="432" w:right="432"/>
        <w:jc w:val="both"/>
        <w:rPr>
          <w:noProof/>
          <w:sz w:val="16"/>
          <w:szCs w:val="16"/>
        </w:rPr>
      </w:pPr>
      <w:r w:rsidRPr="006E50FF">
        <w:rPr>
          <w:noProof/>
          <w:sz w:val="16"/>
          <w:szCs w:val="16"/>
        </w:rPr>
        <w:t>WHEREAS, the Principal is required by law to provide a surety bond to ensure proper management of waste tires in accordance with the Department of Environmental Quality’s Waste Tire Regulations as a condition of the authorization;</w:t>
      </w:r>
    </w:p>
    <w:p w14:paraId="07C5181A" w14:textId="77777777" w:rsidR="006E50FF" w:rsidRPr="006E50FF" w:rsidRDefault="006E50FF" w:rsidP="006E50FF">
      <w:pPr>
        <w:ind w:left="432" w:right="432"/>
        <w:jc w:val="both"/>
        <w:rPr>
          <w:noProof/>
          <w:sz w:val="16"/>
          <w:szCs w:val="16"/>
        </w:rPr>
      </w:pPr>
      <w:r w:rsidRPr="006E50FF">
        <w:rPr>
          <w:noProof/>
          <w:sz w:val="16"/>
          <w:szCs w:val="16"/>
        </w:rPr>
        <w:t>The Surety shall become liable on this bond obligation only when the Principal has failed to fulfill the conditions described above. Upon notification by the administrative authority that the Principal has failed to properly manage waste tires in its possession as guaranteed by this bond, the Surety shall place funds in the amount guaranteed for the facility into the Waste Tire Management Fund as directed by the administrative authority.</w:t>
      </w:r>
    </w:p>
    <w:p w14:paraId="2F3A53FF" w14:textId="77777777" w:rsidR="006E50FF" w:rsidRPr="006E50FF" w:rsidRDefault="006E50FF" w:rsidP="006E50FF">
      <w:pPr>
        <w:ind w:left="432" w:right="432"/>
        <w:jc w:val="both"/>
        <w:rPr>
          <w:noProof/>
          <w:sz w:val="16"/>
          <w:szCs w:val="16"/>
        </w:rPr>
      </w:pPr>
      <w:r w:rsidRPr="006E50FF">
        <w:rPr>
          <w:noProof/>
          <w:sz w:val="16"/>
          <w:szCs w:val="16"/>
        </w:rPr>
        <w:t>The Surety hereby waives notification of amendments to transporter authorizations, applicable laws, statutes, rules, and regulations, and agrees that no such amendment shall in any way alleviate its obligation on this bond.</w:t>
      </w:r>
    </w:p>
    <w:p w14:paraId="6BB51A1A" w14:textId="77777777" w:rsidR="006E50FF" w:rsidRPr="006E50FF" w:rsidRDefault="006E50FF" w:rsidP="006E50FF">
      <w:pPr>
        <w:ind w:left="432" w:right="432"/>
        <w:jc w:val="both"/>
        <w:rPr>
          <w:noProof/>
          <w:sz w:val="16"/>
          <w:szCs w:val="16"/>
        </w:rPr>
      </w:pPr>
      <w:r w:rsidRPr="006E50FF">
        <w:rPr>
          <w:noProof/>
          <w:sz w:val="16"/>
          <w:szCs w:val="16"/>
        </w:rPr>
        <w:t>The liability of the Surety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1DB747B1" w14:textId="77777777" w:rsidR="006E50FF" w:rsidRPr="006E50FF" w:rsidRDefault="006E50FF" w:rsidP="006E50FF">
      <w:pPr>
        <w:ind w:left="432" w:right="432"/>
        <w:jc w:val="both"/>
        <w:rPr>
          <w:noProof/>
          <w:sz w:val="16"/>
          <w:szCs w:val="16"/>
        </w:rPr>
      </w:pPr>
      <w:r w:rsidRPr="006E50FF">
        <w:rPr>
          <w:noProof/>
          <w:sz w:val="16"/>
          <w:szCs w:val="16"/>
        </w:rPr>
        <w:t>The Surety may cancel the bond by sending notice of cancellation by certified mail to the Principal and to the Office of Environmental Compliance, Waste Permits Division. Cancellation shall not occur before 120 days have elapsed beginning on the date that both the Principal and the administrative authority received the notice of cancellation, as evidenced by the return receipts.</w:t>
      </w:r>
    </w:p>
    <w:p w14:paraId="1B4608AD" w14:textId="77777777" w:rsidR="006E50FF" w:rsidRPr="006E50FF" w:rsidRDefault="006E50FF" w:rsidP="006E50FF">
      <w:pPr>
        <w:ind w:left="432" w:right="432"/>
        <w:jc w:val="both"/>
        <w:rPr>
          <w:noProof/>
          <w:sz w:val="16"/>
          <w:szCs w:val="16"/>
        </w:rPr>
      </w:pPr>
      <w:r w:rsidRPr="006E50FF">
        <w:rPr>
          <w:noProof/>
          <w:sz w:val="16"/>
          <w:szCs w:val="16"/>
        </w:rPr>
        <w:t>The Principal may terminate this bond by sending written notice to the Surety and to the Office of Environmental Compliance, Waste Permits Division, provided; however, that no such notice shall become effective until the Surety receives written authorization for termination of the bond by the administrative authority.</w:t>
      </w:r>
    </w:p>
    <w:p w14:paraId="68C7913D" w14:textId="77777777" w:rsidR="006E50FF" w:rsidRPr="006E50FF" w:rsidRDefault="006E50FF" w:rsidP="006E50FF">
      <w:pPr>
        <w:ind w:left="432" w:right="432"/>
        <w:jc w:val="both"/>
        <w:rPr>
          <w:noProof/>
          <w:sz w:val="16"/>
          <w:szCs w:val="16"/>
        </w:rPr>
      </w:pPr>
      <w:r w:rsidRPr="006E50FF">
        <w:rPr>
          <w:noProof/>
          <w:sz w:val="16"/>
          <w:szCs w:val="16"/>
        </w:rPr>
        <w:t>The Principal and Surety hereby agree that no portion of the penal sum may be expended without prior written approval of the administrative authority.</w:t>
      </w:r>
    </w:p>
    <w:p w14:paraId="4B1BBA6F" w14:textId="77777777" w:rsidR="006E50FF" w:rsidRPr="006E50FF" w:rsidRDefault="006E50FF" w:rsidP="006E50FF">
      <w:pPr>
        <w:ind w:left="432" w:right="432"/>
        <w:jc w:val="both"/>
        <w:rPr>
          <w:noProof/>
          <w:sz w:val="16"/>
          <w:szCs w:val="16"/>
        </w:rPr>
      </w:pPr>
      <w:r w:rsidRPr="006E50FF">
        <w:rPr>
          <w:noProof/>
          <w:sz w:val="16"/>
          <w:szCs w:val="16"/>
        </w:rPr>
        <w:t>IN WITNESS WHEREOF, the Principal and the Surety have executed this FINANCIAL GUARANTEE BOND and have affixed their seals on the date set forth above.</w:t>
      </w:r>
    </w:p>
    <w:p w14:paraId="01CC1609" w14:textId="77777777" w:rsidR="006E50FF" w:rsidRPr="006E50FF" w:rsidRDefault="006E50FF" w:rsidP="006E50FF">
      <w:pPr>
        <w:ind w:left="432" w:right="432"/>
        <w:jc w:val="both"/>
        <w:rPr>
          <w:noProof/>
          <w:sz w:val="16"/>
          <w:szCs w:val="16"/>
        </w:rPr>
      </w:pPr>
      <w:r w:rsidRPr="006E50FF">
        <w:rPr>
          <w:noProof/>
          <w:sz w:val="16"/>
          <w:szCs w:val="16"/>
        </w:rPr>
        <w:t>Those persons whose signatures appear below hereby certify that they are authorized to execute this FINANCIAL GUARANTEE BOND on behalf of the Principal and Surety, that each Surety hereto is authorized to do business in the state of Louisiana and that the wording of this surety bond is identical to the wording specified in the Louisiana Department of Environmental Quality's Waste Tire Regulations, LAC 33:VII.11103.C.</w:t>
      </w:r>
    </w:p>
    <w:p w14:paraId="0D76055B" w14:textId="77777777" w:rsidR="006E50FF" w:rsidRPr="006E50FF" w:rsidRDefault="006E50FF" w:rsidP="006E50FF">
      <w:pPr>
        <w:ind w:left="432" w:right="432"/>
        <w:jc w:val="both"/>
        <w:rPr>
          <w:noProof/>
          <w:sz w:val="16"/>
          <w:szCs w:val="16"/>
        </w:rPr>
      </w:pPr>
    </w:p>
    <w:p w14:paraId="03B81C60"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PRINCIPAL</w:t>
      </w:r>
    </w:p>
    <w:p w14:paraId="49254EB7" w14:textId="77777777" w:rsidR="006E50FF" w:rsidRPr="006E50FF" w:rsidRDefault="006E50FF" w:rsidP="006E50FF">
      <w:pPr>
        <w:ind w:left="432" w:right="432"/>
        <w:jc w:val="both"/>
        <w:rPr>
          <w:noProof/>
          <w:sz w:val="16"/>
          <w:szCs w:val="16"/>
        </w:rPr>
      </w:pPr>
      <w:r w:rsidRPr="006E50FF">
        <w:rPr>
          <w:noProof/>
          <w:sz w:val="16"/>
          <w:szCs w:val="16"/>
        </w:rPr>
        <w:t>[Signature(s)]</w:t>
      </w:r>
    </w:p>
    <w:p w14:paraId="37499307" w14:textId="77777777" w:rsidR="006E50FF" w:rsidRPr="006E50FF" w:rsidRDefault="006E50FF" w:rsidP="006E50FF">
      <w:pPr>
        <w:ind w:left="432" w:right="432"/>
        <w:jc w:val="both"/>
        <w:rPr>
          <w:noProof/>
          <w:sz w:val="16"/>
          <w:szCs w:val="16"/>
        </w:rPr>
      </w:pPr>
      <w:r w:rsidRPr="006E50FF">
        <w:rPr>
          <w:noProof/>
          <w:sz w:val="16"/>
          <w:szCs w:val="16"/>
        </w:rPr>
        <w:t>[Name(s)]</w:t>
      </w:r>
    </w:p>
    <w:p w14:paraId="1C9A5780" w14:textId="77777777" w:rsidR="006E50FF" w:rsidRPr="006E50FF" w:rsidRDefault="006E50FF" w:rsidP="006E50FF">
      <w:pPr>
        <w:ind w:left="432" w:right="432"/>
        <w:jc w:val="both"/>
        <w:rPr>
          <w:noProof/>
          <w:sz w:val="16"/>
          <w:szCs w:val="16"/>
        </w:rPr>
      </w:pPr>
      <w:r w:rsidRPr="006E50FF">
        <w:rPr>
          <w:noProof/>
          <w:sz w:val="16"/>
          <w:szCs w:val="16"/>
        </w:rPr>
        <w:t>[Title(s)]</w:t>
      </w:r>
    </w:p>
    <w:p w14:paraId="681B88D0" w14:textId="77777777" w:rsidR="006E50FF" w:rsidRPr="006E50FF" w:rsidRDefault="006E50FF" w:rsidP="006E50FF">
      <w:pPr>
        <w:ind w:left="432" w:right="432"/>
        <w:jc w:val="both"/>
        <w:rPr>
          <w:noProof/>
          <w:sz w:val="16"/>
          <w:szCs w:val="16"/>
        </w:rPr>
      </w:pPr>
      <w:r w:rsidRPr="006E50FF">
        <w:rPr>
          <w:noProof/>
          <w:sz w:val="16"/>
          <w:szCs w:val="16"/>
        </w:rPr>
        <w:t>[Corporate Seal]</w:t>
      </w:r>
    </w:p>
    <w:p w14:paraId="035C8010"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CORPORATE SURETIES</w:t>
      </w:r>
    </w:p>
    <w:p w14:paraId="0EA999E4" w14:textId="77777777" w:rsidR="006E50FF" w:rsidRPr="006E50FF" w:rsidRDefault="006E50FF" w:rsidP="006E50FF">
      <w:pPr>
        <w:ind w:left="432" w:right="432"/>
        <w:jc w:val="both"/>
        <w:rPr>
          <w:noProof/>
          <w:sz w:val="16"/>
          <w:szCs w:val="16"/>
        </w:rPr>
      </w:pPr>
      <w:r w:rsidRPr="006E50FF">
        <w:rPr>
          <w:noProof/>
          <w:sz w:val="16"/>
          <w:szCs w:val="16"/>
        </w:rPr>
        <w:t>[Name and Address]</w:t>
      </w:r>
    </w:p>
    <w:p w14:paraId="1B817C86" w14:textId="77777777" w:rsidR="006E50FF" w:rsidRPr="006E50FF" w:rsidRDefault="006E50FF" w:rsidP="006E50FF">
      <w:pPr>
        <w:ind w:left="432" w:right="432"/>
        <w:jc w:val="both"/>
        <w:rPr>
          <w:noProof/>
          <w:sz w:val="16"/>
          <w:szCs w:val="16"/>
        </w:rPr>
      </w:pPr>
      <w:r w:rsidRPr="006E50FF">
        <w:rPr>
          <w:noProof/>
          <w:sz w:val="16"/>
          <w:szCs w:val="16"/>
        </w:rPr>
        <w:t xml:space="preserve">State of incorporation: </w:t>
      </w:r>
    </w:p>
    <w:p w14:paraId="5192D91A" w14:textId="77777777" w:rsidR="006E50FF" w:rsidRPr="006E50FF" w:rsidRDefault="006E50FF" w:rsidP="006E50FF">
      <w:pPr>
        <w:ind w:left="432" w:right="432"/>
        <w:jc w:val="both"/>
        <w:rPr>
          <w:noProof/>
          <w:sz w:val="16"/>
          <w:szCs w:val="16"/>
        </w:rPr>
      </w:pPr>
      <w:r w:rsidRPr="006E50FF">
        <w:rPr>
          <w:noProof/>
          <w:sz w:val="16"/>
          <w:szCs w:val="16"/>
        </w:rPr>
        <w:t xml:space="preserve">Liability limit: </w:t>
      </w:r>
    </w:p>
    <w:p w14:paraId="099F8BAC" w14:textId="77777777" w:rsidR="006E50FF" w:rsidRPr="006E50FF" w:rsidRDefault="006E50FF" w:rsidP="006E50FF">
      <w:pPr>
        <w:ind w:left="432" w:right="432"/>
        <w:jc w:val="both"/>
        <w:rPr>
          <w:noProof/>
          <w:sz w:val="16"/>
          <w:szCs w:val="16"/>
        </w:rPr>
      </w:pPr>
      <w:r w:rsidRPr="006E50FF">
        <w:rPr>
          <w:noProof/>
          <w:sz w:val="16"/>
          <w:szCs w:val="16"/>
        </w:rPr>
        <w:t>[Signature(s)]</w:t>
      </w:r>
    </w:p>
    <w:p w14:paraId="48BDF510" w14:textId="77777777" w:rsidR="006E50FF" w:rsidRPr="006E50FF" w:rsidRDefault="006E50FF" w:rsidP="006E50FF">
      <w:pPr>
        <w:ind w:left="432" w:right="432"/>
        <w:jc w:val="both"/>
        <w:rPr>
          <w:noProof/>
          <w:sz w:val="16"/>
          <w:szCs w:val="16"/>
        </w:rPr>
      </w:pPr>
      <w:r w:rsidRPr="006E50FF">
        <w:rPr>
          <w:noProof/>
          <w:sz w:val="16"/>
          <w:szCs w:val="16"/>
        </w:rPr>
        <w:t>[Name(s) and title(s)]</w:t>
      </w:r>
    </w:p>
    <w:p w14:paraId="3A6F4DC4" w14:textId="77777777" w:rsidR="006E50FF" w:rsidRPr="006E50FF" w:rsidRDefault="006E50FF" w:rsidP="006E50FF">
      <w:pPr>
        <w:ind w:left="432" w:right="432"/>
        <w:jc w:val="both"/>
        <w:rPr>
          <w:noProof/>
          <w:sz w:val="16"/>
          <w:szCs w:val="16"/>
        </w:rPr>
      </w:pPr>
      <w:r w:rsidRPr="006E50FF">
        <w:rPr>
          <w:noProof/>
          <w:sz w:val="16"/>
          <w:szCs w:val="16"/>
        </w:rPr>
        <w:t>[Corporate seal]</w:t>
      </w:r>
    </w:p>
    <w:p w14:paraId="5B0721B5" w14:textId="77777777" w:rsidR="006E50FF" w:rsidRPr="006E50FF" w:rsidRDefault="006E50FF" w:rsidP="006E50FF">
      <w:pPr>
        <w:ind w:left="432" w:right="432"/>
        <w:jc w:val="both"/>
        <w:rPr>
          <w:noProof/>
          <w:sz w:val="16"/>
          <w:szCs w:val="16"/>
        </w:rPr>
      </w:pPr>
      <w:r w:rsidRPr="006E50FF">
        <w:rPr>
          <w:noProof/>
          <w:sz w:val="16"/>
          <w:szCs w:val="16"/>
        </w:rPr>
        <w:t>[This information must be provided for each cosurety]</w:t>
      </w:r>
    </w:p>
    <w:p w14:paraId="3BA4FDDD" w14:textId="77777777" w:rsidR="006E50FF" w:rsidRPr="006E50FF" w:rsidRDefault="006E50FF" w:rsidP="006E50FF">
      <w:pPr>
        <w:ind w:left="432" w:right="432"/>
        <w:jc w:val="both"/>
        <w:rPr>
          <w:noProof/>
          <w:sz w:val="16"/>
          <w:szCs w:val="16"/>
        </w:rPr>
      </w:pPr>
      <w:r w:rsidRPr="006E50FF">
        <w:rPr>
          <w:noProof/>
          <w:sz w:val="16"/>
          <w:szCs w:val="16"/>
        </w:rPr>
        <w:t>Bond Premium: $</w:t>
      </w:r>
    </w:p>
    <w:p w14:paraId="43ABCA59" w14:textId="77777777" w:rsidR="006E50FF" w:rsidRPr="006E50FF" w:rsidRDefault="006E50FF" w:rsidP="006E50FF">
      <w:pPr>
        <w:ind w:left="432" w:right="432"/>
        <w:jc w:val="both"/>
        <w:rPr>
          <w:noProof/>
        </w:rPr>
      </w:pPr>
    </w:p>
    <w:p w14:paraId="307E81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003F30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Solid Waste Division, LR 20:1001 (September 1994), amended LR 22:1214 (December 1996), amended by the Office of Environmental Assessment, Environmental Planning Division, LR 26:2782 (December 2000), LR 27:832 (June 2001), amended by the Office of Environmental Assessment, LR 30:2027 (September 2004), amended by the Office of the Secretary, Legal Division, LR 42:271 (February 2016), </w:t>
      </w:r>
      <w:r w:rsidRPr="006E50FF">
        <w:rPr>
          <w:kern w:val="2"/>
          <w:sz w:val="18"/>
          <w:szCs w:val="24"/>
        </w:rPr>
        <w:t>amended by the Office of the Secretary, Legal Affairs Division, LR 52:</w:t>
      </w:r>
    </w:p>
    <w:p w14:paraId="132A63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§11105.</w:t>
      </w:r>
      <w:r w:rsidRPr="006E50FF">
        <w:rPr>
          <w:b/>
          <w:kern w:val="2"/>
        </w:rPr>
        <w:tab/>
        <w:t xml:space="preserve">Document to be Filed in the Parish Records upon Completion of a Waste Tire End-Market Use Project―Appendix </w:t>
      </w:r>
      <w:bookmarkEnd w:id="556"/>
      <w:r w:rsidRPr="006E50FF">
        <w:rPr>
          <w:b/>
          <w:kern w:val="2"/>
        </w:rPr>
        <w:t>C</w:t>
      </w:r>
    </w:p>
    <w:p w14:paraId="5C3B39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71F7A70"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Document to be Filed in the Parish Records upon Completion of a Waste Tire End-Market Use Project</w:t>
      </w:r>
    </w:p>
    <w:p w14:paraId="3DA904A3" w14:textId="77777777" w:rsidR="006E50FF" w:rsidRPr="006E50FF" w:rsidRDefault="006E50FF" w:rsidP="006E50FF">
      <w:pPr>
        <w:ind w:left="432" w:right="432"/>
        <w:jc w:val="both"/>
        <w:rPr>
          <w:noProof/>
          <w:sz w:val="16"/>
          <w:szCs w:val="16"/>
        </w:rPr>
      </w:pPr>
      <w:r w:rsidRPr="006E50FF">
        <w:rPr>
          <w:noProof/>
          <w:sz w:val="16"/>
          <w:szCs w:val="16"/>
        </w:rPr>
        <w:tab/>
        <w:t>[Name of property owner] hereby notifies the public that the following described property was used for an end-market use project. This project was completed on [date project was completed] in accordance with the Louisiana Administrative Code, Title 33, Part VII. Inquiries regarding the contents of [the project] may be directed to [name of person with knowledge of the contents of the project] at [address of person with knowledge of the contents of the project].</w:t>
      </w:r>
    </w:p>
    <w:p w14:paraId="1823B4EA" w14:textId="77777777" w:rsidR="006E50FF" w:rsidRPr="006E50FF" w:rsidRDefault="006E50FF" w:rsidP="006E50FF">
      <w:pPr>
        <w:ind w:left="432" w:right="432"/>
        <w:jc w:val="center"/>
        <w:rPr>
          <w:rFonts w:eastAsia="Calibri"/>
          <w:b/>
          <w:bCs/>
          <w:noProof/>
          <w:sz w:val="16"/>
          <w:szCs w:val="16"/>
        </w:rPr>
      </w:pPr>
      <w:r w:rsidRPr="006E50FF">
        <w:rPr>
          <w:rFonts w:eastAsia="Calibri"/>
          <w:b/>
          <w:bCs/>
          <w:noProof/>
          <w:sz w:val="16"/>
          <w:szCs w:val="16"/>
        </w:rPr>
        <w:t>Property Description</w:t>
      </w:r>
    </w:p>
    <w:p w14:paraId="2CE0245D" w14:textId="77777777" w:rsidR="006E50FF" w:rsidRPr="006E50FF" w:rsidRDefault="006E50FF" w:rsidP="006E50FF">
      <w:pPr>
        <w:ind w:left="432" w:right="432"/>
        <w:jc w:val="both"/>
        <w:rPr>
          <w:noProof/>
          <w:sz w:val="16"/>
          <w:szCs w:val="16"/>
        </w:rPr>
      </w:pPr>
      <w:r w:rsidRPr="006E50FF">
        <w:rPr>
          <w:noProof/>
          <w:sz w:val="16"/>
          <w:szCs w:val="16"/>
        </w:rPr>
        <w:t>[Provide the specific description of the location of the facility]</w:t>
      </w:r>
    </w:p>
    <w:p w14:paraId="2DDFD5D5"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7F1B223E" w14:textId="77777777" w:rsidR="006E50FF" w:rsidRPr="006E50FF" w:rsidRDefault="006E50FF" w:rsidP="006E50FF">
      <w:pPr>
        <w:ind w:left="432" w:right="432"/>
        <w:jc w:val="both"/>
        <w:rPr>
          <w:noProof/>
          <w:sz w:val="16"/>
          <w:szCs w:val="16"/>
        </w:rPr>
      </w:pPr>
      <w:r w:rsidRPr="006E50FF">
        <w:rPr>
          <w:noProof/>
          <w:sz w:val="16"/>
          <w:szCs w:val="16"/>
        </w:rPr>
        <w:t>Signature of Person Filing Parish Record</w:t>
      </w:r>
    </w:p>
    <w:p w14:paraId="4EFDAADF"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7490FAB6" w14:textId="77777777" w:rsidR="006E50FF" w:rsidRPr="006E50FF" w:rsidRDefault="006E50FF" w:rsidP="006E50FF">
      <w:pPr>
        <w:ind w:left="432" w:right="432"/>
        <w:jc w:val="both"/>
        <w:rPr>
          <w:noProof/>
          <w:sz w:val="16"/>
          <w:szCs w:val="16"/>
        </w:rPr>
      </w:pPr>
      <w:r w:rsidRPr="006E50FF">
        <w:rPr>
          <w:noProof/>
          <w:sz w:val="16"/>
          <w:szCs w:val="16"/>
        </w:rPr>
        <w:t>Typed Name and Title of Person Filing Parish Record</w:t>
      </w:r>
    </w:p>
    <w:p w14:paraId="78EEFFD1"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03D8DDC1" w14:textId="77777777" w:rsidR="006E50FF" w:rsidRPr="006E50FF" w:rsidRDefault="006E50FF" w:rsidP="006E50FF">
      <w:pPr>
        <w:ind w:left="432" w:right="432"/>
        <w:jc w:val="both"/>
        <w:rPr>
          <w:noProof/>
          <w:sz w:val="16"/>
          <w:szCs w:val="16"/>
        </w:rPr>
      </w:pPr>
      <w:r w:rsidRPr="006E50FF">
        <w:rPr>
          <w:noProof/>
          <w:sz w:val="16"/>
          <w:szCs w:val="16"/>
        </w:rPr>
        <w:t>Date</w:t>
      </w:r>
    </w:p>
    <w:p w14:paraId="31BFED16"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2AF732C5" w14:textId="77777777" w:rsidR="006E50FF" w:rsidRPr="006E50FF" w:rsidRDefault="006E50FF" w:rsidP="006E50FF">
      <w:pPr>
        <w:ind w:left="432" w:right="432"/>
        <w:jc w:val="both"/>
        <w:rPr>
          <w:noProof/>
          <w:sz w:val="16"/>
          <w:szCs w:val="16"/>
        </w:rPr>
      </w:pPr>
      <w:r w:rsidRPr="006E50FF">
        <w:rPr>
          <w:noProof/>
          <w:sz w:val="16"/>
          <w:szCs w:val="16"/>
        </w:rPr>
        <w:t>Louisiana Department of Environmental Quality Agency Interest Number</w:t>
      </w:r>
    </w:p>
    <w:p w14:paraId="686377DF" w14:textId="77777777" w:rsidR="006E50FF" w:rsidRPr="006E50FF" w:rsidRDefault="006E50FF" w:rsidP="006E50FF">
      <w:pPr>
        <w:ind w:left="432" w:right="432"/>
        <w:jc w:val="both"/>
        <w:rPr>
          <w:noProof/>
          <w:sz w:val="16"/>
          <w:szCs w:val="16"/>
        </w:rPr>
      </w:pPr>
      <w:r w:rsidRPr="006E50FF">
        <w:rPr>
          <w:noProof/>
          <w:sz w:val="16"/>
          <w:szCs w:val="16"/>
        </w:rPr>
        <w:t>(A true copy of the document shall be certified by the parish clerk of court.)</w:t>
      </w:r>
    </w:p>
    <w:p w14:paraId="4AFA8AB7" w14:textId="77777777" w:rsidR="006E50FF" w:rsidRPr="006E50FF" w:rsidRDefault="006E50FF" w:rsidP="006E50FF">
      <w:pPr>
        <w:ind w:left="432" w:right="432"/>
        <w:jc w:val="both"/>
        <w:rPr>
          <w:noProof/>
        </w:rPr>
      </w:pPr>
    </w:p>
    <w:p w14:paraId="08A86D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406EDB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the Office of the Secretary, Legal Affairs Division, LR 52:</w:t>
      </w:r>
    </w:p>
    <w:p w14:paraId="77DB7842" w14:textId="77777777" w:rsidR="006E50FF" w:rsidRPr="006E50FF" w:rsidRDefault="006E50FF" w:rsidP="006E50FF">
      <w:pPr>
        <w:keepNext/>
        <w:jc w:val="center"/>
        <w:rPr>
          <w:b/>
          <w:kern w:val="28"/>
        </w:rPr>
      </w:pPr>
      <w:r w:rsidRPr="006E50FF">
        <w:rPr>
          <w:b/>
          <w:kern w:val="28"/>
        </w:rPr>
        <w:lastRenderedPageBreak/>
        <w:t>Family Impact Statement</w:t>
      </w:r>
    </w:p>
    <w:p w14:paraId="39A162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family formation, stability, and autonomy as described in R.S. 49:972.</w:t>
      </w:r>
    </w:p>
    <w:p w14:paraId="7F404F41" w14:textId="77777777" w:rsidR="006E50FF" w:rsidRPr="006E50FF" w:rsidRDefault="006E50FF" w:rsidP="006E50FF">
      <w:pPr>
        <w:keepNext/>
        <w:jc w:val="center"/>
        <w:rPr>
          <w:b/>
          <w:kern w:val="28"/>
        </w:rPr>
      </w:pPr>
      <w:r w:rsidRPr="006E50FF">
        <w:rPr>
          <w:b/>
          <w:kern w:val="28"/>
        </w:rPr>
        <w:t>Poverty Impact Statement</w:t>
      </w:r>
    </w:p>
    <w:p w14:paraId="612D7A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poverty as described in R.S. 49:973.</w:t>
      </w:r>
    </w:p>
    <w:p w14:paraId="28D1E24A" w14:textId="77777777" w:rsidR="006E50FF" w:rsidRPr="006E50FF" w:rsidRDefault="006E50FF" w:rsidP="006E50FF">
      <w:pPr>
        <w:keepNext/>
        <w:jc w:val="center"/>
        <w:rPr>
          <w:b/>
          <w:kern w:val="28"/>
        </w:rPr>
      </w:pPr>
      <w:r w:rsidRPr="006E50FF">
        <w:rPr>
          <w:b/>
          <w:kern w:val="28"/>
        </w:rPr>
        <w:t>Small Business Analysis</w:t>
      </w:r>
    </w:p>
    <w:p w14:paraId="16E304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on small business as described in R.S. 49:974.1-974.8 from the proposed Rule are as follows. The proposed closure costs will increase from $20 per ton to $105 per ton for waste tires and waste tire material over the course of 18 months and $652 per ton for off-road waste tires weighing more than 500 pounds. The closure costs were last updated in 1994. This update will result in an increase of approximately five times the current cost.</w:t>
      </w:r>
    </w:p>
    <w:p w14:paraId="1E41D6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To help reduce the financial burden associated with these increased cost estimate requirements, the proposed Rule change will allow temporary exceedances of permitted storage capacity without requiring additional financial assurance. This provision will enable facilities to lower their permitted on-site storage levels, thereby reducing the financial impact associated with the proposed cost increases.</w:t>
      </w:r>
    </w:p>
    <w:p w14:paraId="5EDBB3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Additionally, this regulation change proposes to extend a waste tire permit duration from five years to 10 years. This provides cost savings to the regulated community which includes a permit application fee of $1,000 for a permitted waste tire collection center and $1,563 for permitted waste tire processor and any consultant fees associated with the preparation and submittal of permit applications.</w:t>
      </w:r>
    </w:p>
    <w:p w14:paraId="2D83D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Overall, these updates modernize the closure cost structure to reflect current market closure cost ensuring adequate financial protection for the state, while also providing flexibility to processors as they adjust to the new requirements. By allowing temporary, department</w:t>
      </w:r>
      <w:r w:rsidRPr="006E50FF">
        <w:rPr>
          <w:kern w:val="2"/>
        </w:rPr>
        <w:noBreakHyphen/>
        <w:t>approved exceedances of storage capacity without additional financial assurance, the proposed Rule change balances the need for stronger environmental safeguards with practical measures to ease the transition for permitted facilities.</w:t>
      </w:r>
    </w:p>
    <w:p w14:paraId="363FB752" w14:textId="77777777" w:rsidR="006E50FF" w:rsidRPr="006E50FF" w:rsidRDefault="006E50FF" w:rsidP="006E50FF">
      <w:pPr>
        <w:keepNext/>
        <w:jc w:val="center"/>
        <w:rPr>
          <w:b/>
          <w:kern w:val="28"/>
        </w:rPr>
      </w:pPr>
      <w:r w:rsidRPr="006E50FF">
        <w:rPr>
          <w:b/>
          <w:kern w:val="28"/>
        </w:rPr>
        <w:t>Provider Impact Statement</w:t>
      </w:r>
    </w:p>
    <w:p w14:paraId="45689E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5994986B" w14:textId="77777777" w:rsidR="006E50FF" w:rsidRPr="006E50FF" w:rsidRDefault="006E50FF" w:rsidP="006E50FF">
      <w:pPr>
        <w:keepNext/>
        <w:jc w:val="center"/>
        <w:rPr>
          <w:b/>
          <w:kern w:val="28"/>
        </w:rPr>
      </w:pPr>
      <w:r w:rsidRPr="006E50FF">
        <w:rPr>
          <w:b/>
          <w:kern w:val="28"/>
        </w:rPr>
        <w:t>Public Comments</w:t>
      </w:r>
    </w:p>
    <w:p w14:paraId="34A822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SW077</w:t>
      </w:r>
      <w:r w:rsidRPr="006E50FF">
        <w:rPr>
          <w:kern w:val="2"/>
        </w:rPr>
        <w:t xml:space="preserve">. Such comments must be received no later than </w:t>
      </w:r>
      <w:r w:rsidRPr="006E50FF">
        <w:rPr>
          <w:noProof/>
          <w:kern w:val="2"/>
        </w:rPr>
        <w:t>November 4, 2026</w:t>
      </w:r>
      <w:r w:rsidRPr="006E50FF">
        <w:rPr>
          <w:kern w:val="2"/>
        </w:rPr>
        <w:t xml:space="preserve">, at 4:30 p.m., and should be sent to William Little, Attorney Supervisor, </w:t>
      </w:r>
      <w:r w:rsidRPr="006E50FF">
        <w:rPr>
          <w:kern w:val="2"/>
          <w:szCs w:val="24"/>
        </w:rPr>
        <w:t xml:space="preserve">Office of the Secretary, </w:t>
      </w:r>
      <w:r w:rsidRPr="006E50FF">
        <w:rPr>
          <w:kern w:val="2"/>
        </w:rPr>
        <w:t>Legal Affairs Division</w:t>
      </w:r>
      <w:r w:rsidRPr="006E50FF">
        <w:rPr>
          <w:kern w:val="2"/>
          <w:szCs w:val="24"/>
        </w:rPr>
        <w:t xml:space="preserve">, P.O. Box 4302, Baton Rouge, LA 70821-4302, by fax </w:t>
      </w:r>
      <w:r w:rsidRPr="006E50FF">
        <w:rPr>
          <w:kern w:val="2"/>
        </w:rPr>
        <w:t xml:space="preserve">(225) 219-4068, or by E-mail to DEQ.Reg.Dev.Comments@la.gov. Copies of the proposed Rule can be purchased by contacting the LDEQ Public Records Center at (225) 219-3168. Check or money order is required in advance for each copy of </w:t>
      </w:r>
      <w:r w:rsidRPr="006E50FF">
        <w:rPr>
          <w:noProof/>
          <w:kern w:val="2"/>
        </w:rPr>
        <w:t>SW077</w:t>
      </w:r>
      <w:r w:rsidRPr="006E50FF">
        <w:rPr>
          <w:kern w:val="2"/>
        </w:rPr>
        <w:t xml:space="preserve">. The proposed Rule is available on the Internet at https://www.deq.louisiana.gov/about-ldeq/monthly-regulation-changes-2026. </w:t>
      </w:r>
    </w:p>
    <w:p w14:paraId="31407C57" w14:textId="77777777" w:rsidR="006E50FF" w:rsidRPr="006E50FF" w:rsidRDefault="006E50FF" w:rsidP="006E50FF">
      <w:pPr>
        <w:keepNext/>
        <w:jc w:val="center"/>
        <w:rPr>
          <w:b/>
          <w:kern w:val="28"/>
        </w:rPr>
      </w:pPr>
      <w:r w:rsidRPr="006E50FF">
        <w:rPr>
          <w:b/>
          <w:kern w:val="28"/>
        </w:rPr>
        <w:t>Public Hearing</w:t>
      </w:r>
    </w:p>
    <w:p w14:paraId="11EEE8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xml:space="preserve">, at 1:30 p.m. in the Galvez Building, Oliver Pollock Conference Room, 602 N. Fifth Street, Baton Rouge, LA 70802. Interested persons are invited to attend in person or online via </w:t>
      </w:r>
      <w:r w:rsidRPr="006E50FF">
        <w:rPr>
          <w:kern w:val="2"/>
        </w:rPr>
        <w:t xml:space="preserve">Microsoft Teams at </w:t>
      </w:r>
      <w:r w:rsidRPr="006E50FF">
        <w:rPr>
          <w:kern w:val="2"/>
          <w:szCs w:val="24"/>
        </w:rPr>
        <w:t>https://teams.microsoft.com/meet/225581962557365?p=WA1olUFploGq8u2YOV Meeting ID: 225 581 962 557 365 Passcode: A2NL2hJ9</w:t>
      </w:r>
      <w:r w:rsidRPr="006E50FF">
        <w:rPr>
          <w:kern w:val="2"/>
        </w:rPr>
        <w:t xml:space="preserve"> or by phone (872) 239-6160 using phone conference ID: 833 450 698#. Should individuals with a disability need an accommodation to participate, contact Doug Bordelon at the address given below or at (225) 219-1325.</w:t>
      </w:r>
    </w:p>
    <w:p w14:paraId="155686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 xml:space="preserve">111 New Center Drive, Lafayette, LA 70508; 110 Barataria Street, Lockport, LA 70374; </w:t>
      </w:r>
      <w:r w:rsidRPr="006E50FF">
        <w:rPr>
          <w:kern w:val="2"/>
          <w:szCs w:val="24"/>
        </w:rPr>
        <w:t>201 Evans Road, Bldg. 4, Suite 420, New Orleans, LA 70123</w:t>
      </w:r>
      <w:r w:rsidRPr="006E50FF">
        <w:rPr>
          <w:kern w:val="2"/>
        </w:rPr>
        <w:t>.</w:t>
      </w:r>
    </w:p>
    <w:p w14:paraId="3368D5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7D985C4" w14:textId="77777777" w:rsidR="006E50FF" w:rsidRPr="006E50FF" w:rsidRDefault="006E50FF" w:rsidP="006E50FF">
      <w:pPr>
        <w:keepNext/>
        <w:ind w:left="2160"/>
        <w:jc w:val="both"/>
      </w:pPr>
      <w:r w:rsidRPr="006E50FF">
        <w:t>Jill C. Clark</w:t>
      </w:r>
    </w:p>
    <w:p w14:paraId="4EED9415" w14:textId="77777777" w:rsidR="006E50FF" w:rsidRPr="006E50FF" w:rsidRDefault="006E50FF" w:rsidP="006E50FF">
      <w:pPr>
        <w:keepNext/>
        <w:ind w:left="2160"/>
        <w:jc w:val="both"/>
      </w:pPr>
      <w:r w:rsidRPr="006E50FF">
        <w:t>General Counsel</w:t>
      </w:r>
    </w:p>
    <w:p w14:paraId="0B56C858" w14:textId="77777777" w:rsidR="006E50FF" w:rsidRPr="006E50FF" w:rsidRDefault="006E50FF" w:rsidP="006E50FF">
      <w:pPr>
        <w:keepNext/>
        <w:jc w:val="center"/>
        <w:rPr>
          <w:b/>
        </w:rPr>
      </w:pPr>
    </w:p>
    <w:p w14:paraId="1B507BDD" w14:textId="77777777" w:rsidR="006E50FF" w:rsidRPr="006E50FF" w:rsidRDefault="006E50FF" w:rsidP="006E50FF">
      <w:pPr>
        <w:keepNext/>
        <w:jc w:val="center"/>
        <w:rPr>
          <w:b/>
        </w:rPr>
      </w:pPr>
      <w:r w:rsidRPr="006E50FF">
        <w:rPr>
          <w:b/>
        </w:rPr>
        <w:t>FISCAL AND ECONOMIC IMPACT STATEMENT FOR ADMINISTRATIVE RULES</w:t>
      </w:r>
    </w:p>
    <w:p w14:paraId="79AC80FC" w14:textId="77777777" w:rsidR="006E50FF" w:rsidRPr="006E50FF" w:rsidRDefault="006E50FF" w:rsidP="006E50FF">
      <w:pPr>
        <w:keepNext/>
        <w:jc w:val="center"/>
        <w:rPr>
          <w:b/>
          <w:noProof/>
        </w:rPr>
      </w:pPr>
      <w:r w:rsidRPr="006E50FF">
        <w:rPr>
          <w:b/>
          <w:noProof/>
        </w:rPr>
        <w:t>RULE TITLE:  Waste Tire Regulation Revisions</w:t>
      </w:r>
    </w:p>
    <w:p w14:paraId="69DD2A1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64A5DAB9"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9C4E7E3" w14:textId="77777777" w:rsidR="006E50FF" w:rsidRPr="006E50FF" w:rsidRDefault="006E50FF" w:rsidP="006E50FF">
      <w:pPr>
        <w:ind w:left="288" w:firstLine="288"/>
        <w:jc w:val="both"/>
        <w:rPr>
          <w:noProof/>
          <w:sz w:val="18"/>
        </w:rPr>
      </w:pPr>
      <w:r w:rsidRPr="006E50FF">
        <w:rPr>
          <w:noProof/>
          <w:sz w:val="18"/>
        </w:rPr>
        <w:t xml:space="preserve">The proposed rule change is not anticipated to impact the costs or savings to state or local governmental units. The proposed rule change revises Louisiana’s waste tire regulations, including several updates that strengthen oversight, clarify responsibilities, and modernize procedures. </w:t>
      </w:r>
    </w:p>
    <w:p w14:paraId="2200D2E6" w14:textId="77777777" w:rsidR="006E50FF" w:rsidRPr="006E50FF" w:rsidRDefault="006E50FF" w:rsidP="006E50FF">
      <w:pPr>
        <w:ind w:left="288" w:firstLine="288"/>
        <w:jc w:val="both"/>
        <w:rPr>
          <w:noProof/>
          <w:sz w:val="18"/>
        </w:rPr>
      </w:pPr>
      <w:r w:rsidRPr="006E50FF">
        <w:rPr>
          <w:noProof/>
          <w:sz w:val="18"/>
        </w:rPr>
        <w:t>The proposed rule change makes the following changes:</w:t>
      </w:r>
    </w:p>
    <w:p w14:paraId="14A77675" w14:textId="77777777" w:rsidR="006E50FF" w:rsidRPr="006E50FF" w:rsidRDefault="006E50FF" w:rsidP="006E50FF">
      <w:pPr>
        <w:numPr>
          <w:ilvl w:val="0"/>
          <w:numId w:val="28"/>
        </w:numPr>
        <w:ind w:left="720" w:hanging="180"/>
        <w:jc w:val="both"/>
        <w:rPr>
          <w:noProof/>
          <w:sz w:val="18"/>
        </w:rPr>
      </w:pPr>
      <w:r w:rsidRPr="006E50FF">
        <w:rPr>
          <w:noProof/>
          <w:sz w:val="18"/>
        </w:rPr>
        <w:t>Adds or clarifies key definitions, such as “emergency response plan” and categories of permit modifications.</w:t>
      </w:r>
    </w:p>
    <w:p w14:paraId="7778231E" w14:textId="77777777" w:rsidR="006E50FF" w:rsidRPr="006E50FF" w:rsidRDefault="006E50FF" w:rsidP="006E50FF">
      <w:pPr>
        <w:numPr>
          <w:ilvl w:val="0"/>
          <w:numId w:val="28"/>
        </w:numPr>
        <w:ind w:left="720" w:hanging="180"/>
        <w:jc w:val="both"/>
        <w:rPr>
          <w:noProof/>
          <w:sz w:val="18"/>
        </w:rPr>
      </w:pPr>
      <w:r w:rsidRPr="006E50FF">
        <w:rPr>
          <w:noProof/>
          <w:sz w:val="18"/>
        </w:rPr>
        <w:t>Extends permit terms for processing and collection facilities from five to ten years, and requires more detailed modification submittals, including drawings and narratives.</w:t>
      </w:r>
    </w:p>
    <w:p w14:paraId="56E83414" w14:textId="77777777" w:rsidR="006E50FF" w:rsidRPr="006E50FF" w:rsidRDefault="006E50FF" w:rsidP="006E50FF">
      <w:pPr>
        <w:numPr>
          <w:ilvl w:val="0"/>
          <w:numId w:val="28"/>
        </w:numPr>
        <w:ind w:left="720" w:hanging="180"/>
        <w:jc w:val="both"/>
        <w:rPr>
          <w:noProof/>
          <w:sz w:val="18"/>
        </w:rPr>
      </w:pPr>
      <w:r w:rsidRPr="006E50FF">
        <w:rPr>
          <w:noProof/>
          <w:sz w:val="18"/>
        </w:rPr>
        <w:t>Classifies increases in permitted waste volume and expansions of facility boundaries as major modifications, which trigger public notice and hearing requirements.</w:t>
      </w:r>
    </w:p>
    <w:p w14:paraId="2522B89C" w14:textId="77777777" w:rsidR="006E50FF" w:rsidRPr="006E50FF" w:rsidRDefault="006E50FF" w:rsidP="006E50FF">
      <w:pPr>
        <w:numPr>
          <w:ilvl w:val="0"/>
          <w:numId w:val="28"/>
        </w:numPr>
        <w:ind w:left="720" w:hanging="180"/>
        <w:jc w:val="both"/>
        <w:rPr>
          <w:noProof/>
          <w:sz w:val="18"/>
        </w:rPr>
      </w:pPr>
      <w:r w:rsidRPr="006E50FF">
        <w:rPr>
          <w:noProof/>
          <w:sz w:val="18"/>
        </w:rPr>
        <w:t>Requires new and renewal applicants to provide proof of zoning and an emergency response plan approved by the State Fire Marshal before submittal.</w:t>
      </w:r>
    </w:p>
    <w:p w14:paraId="40110E3E" w14:textId="77777777" w:rsidR="006E50FF" w:rsidRPr="006E50FF" w:rsidRDefault="006E50FF" w:rsidP="006E50FF">
      <w:pPr>
        <w:numPr>
          <w:ilvl w:val="0"/>
          <w:numId w:val="28"/>
        </w:numPr>
        <w:ind w:left="720" w:hanging="180"/>
        <w:jc w:val="both"/>
        <w:rPr>
          <w:noProof/>
          <w:sz w:val="18"/>
        </w:rPr>
      </w:pPr>
      <w:r w:rsidRPr="006E50FF">
        <w:rPr>
          <w:noProof/>
          <w:sz w:val="18"/>
        </w:rPr>
        <w:t>Requires public notices of permit decisions to be published on the department’s website.</w:t>
      </w:r>
    </w:p>
    <w:p w14:paraId="695C24A2" w14:textId="77777777" w:rsidR="006E50FF" w:rsidRPr="006E50FF" w:rsidRDefault="006E50FF" w:rsidP="006E50FF">
      <w:pPr>
        <w:numPr>
          <w:ilvl w:val="0"/>
          <w:numId w:val="28"/>
        </w:numPr>
        <w:ind w:left="720" w:hanging="180"/>
        <w:jc w:val="both"/>
        <w:rPr>
          <w:noProof/>
          <w:sz w:val="18"/>
        </w:rPr>
      </w:pPr>
      <w:r w:rsidRPr="006E50FF">
        <w:rPr>
          <w:noProof/>
          <w:sz w:val="18"/>
        </w:rPr>
        <w:t>Eliminates the expired land reclamation pilot study and reviews land reclamation projects case by case under end-market use requirements.</w:t>
      </w:r>
    </w:p>
    <w:p w14:paraId="0EF638F7" w14:textId="77777777" w:rsidR="006E50FF" w:rsidRPr="006E50FF" w:rsidRDefault="006E50FF" w:rsidP="006E50FF">
      <w:pPr>
        <w:numPr>
          <w:ilvl w:val="0"/>
          <w:numId w:val="28"/>
        </w:numPr>
        <w:ind w:left="720" w:hanging="180"/>
        <w:jc w:val="both"/>
        <w:rPr>
          <w:noProof/>
          <w:sz w:val="18"/>
        </w:rPr>
      </w:pPr>
      <w:r w:rsidRPr="006E50FF">
        <w:rPr>
          <w:noProof/>
          <w:sz w:val="18"/>
        </w:rPr>
        <w:t>Requires end-market users and permitted facilities to have written fire protection agreements and updated safety and evacuation plans.</w:t>
      </w:r>
    </w:p>
    <w:p w14:paraId="16F4149B" w14:textId="77777777" w:rsidR="006E50FF" w:rsidRPr="006E50FF" w:rsidRDefault="006E50FF" w:rsidP="006E50FF">
      <w:pPr>
        <w:numPr>
          <w:ilvl w:val="0"/>
          <w:numId w:val="28"/>
        </w:numPr>
        <w:ind w:left="720" w:hanging="180"/>
        <w:jc w:val="both"/>
        <w:rPr>
          <w:noProof/>
          <w:sz w:val="18"/>
        </w:rPr>
      </w:pPr>
      <w:r w:rsidRPr="006E50FF">
        <w:rPr>
          <w:noProof/>
          <w:sz w:val="18"/>
        </w:rPr>
        <w:t>Increases site closure cost estimates, which have not been updated since 1994, from $20 to $105 per ton of waste tires and waste tire material and to $652 per ton for waste tires weighing more than 500 pounds, phased in over 42 months for existing permit holders, and raises financial assurance amounts accordingly.</w:t>
      </w:r>
    </w:p>
    <w:p w14:paraId="2CC72C9E" w14:textId="77777777" w:rsidR="006E50FF" w:rsidRPr="006E50FF" w:rsidRDefault="006E50FF" w:rsidP="006E50FF">
      <w:pPr>
        <w:numPr>
          <w:ilvl w:val="0"/>
          <w:numId w:val="28"/>
        </w:numPr>
        <w:ind w:left="720" w:hanging="180"/>
        <w:jc w:val="both"/>
        <w:rPr>
          <w:noProof/>
          <w:sz w:val="18"/>
        </w:rPr>
      </w:pPr>
      <w:r w:rsidRPr="006E50FF">
        <w:rPr>
          <w:noProof/>
          <w:sz w:val="18"/>
        </w:rPr>
        <w:t>Increases the number of unmanifested waste tires that may be accepted from a person, per day, per vehicle, from five to 20.</w:t>
      </w:r>
    </w:p>
    <w:p w14:paraId="7007669D" w14:textId="77777777" w:rsidR="006E50FF" w:rsidRPr="006E50FF" w:rsidRDefault="006E50FF" w:rsidP="006E50FF">
      <w:pPr>
        <w:numPr>
          <w:ilvl w:val="0"/>
          <w:numId w:val="28"/>
        </w:numPr>
        <w:ind w:left="720" w:hanging="180"/>
        <w:jc w:val="both"/>
        <w:rPr>
          <w:noProof/>
          <w:sz w:val="18"/>
        </w:rPr>
      </w:pPr>
      <w:r w:rsidRPr="006E50FF">
        <w:rPr>
          <w:noProof/>
          <w:sz w:val="18"/>
        </w:rPr>
        <w:t>Allows owners of property holding illegally disposed waste tires to request a waiver of the daily per-person removal limit.</w:t>
      </w:r>
    </w:p>
    <w:p w14:paraId="66F87E3C" w14:textId="77777777" w:rsidR="006E50FF" w:rsidRPr="006E50FF" w:rsidRDefault="006E50FF" w:rsidP="006E50FF">
      <w:pPr>
        <w:numPr>
          <w:ilvl w:val="0"/>
          <w:numId w:val="28"/>
        </w:numPr>
        <w:ind w:left="720" w:hanging="180"/>
        <w:jc w:val="both"/>
        <w:rPr>
          <w:sz w:val="18"/>
        </w:rPr>
      </w:pPr>
      <w:r w:rsidRPr="006E50FF">
        <w:rPr>
          <w:noProof/>
          <w:sz w:val="18"/>
        </w:rPr>
        <w:lastRenderedPageBreak/>
        <w:t>Expands</w:t>
      </w:r>
      <w:r w:rsidRPr="006E50FF">
        <w:rPr>
          <w:sz w:val="18"/>
        </w:rPr>
        <w:t xml:space="preserve"> storage and recordkeeping requirements to prevent long-term accumulation.</w:t>
      </w:r>
    </w:p>
    <w:p w14:paraId="660F9E8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0041C657" w14:textId="77777777" w:rsidR="006E50FF" w:rsidRPr="006E50FF" w:rsidRDefault="006E50FF" w:rsidP="006E50FF">
      <w:pPr>
        <w:ind w:left="288" w:firstLine="288"/>
        <w:jc w:val="both"/>
        <w:rPr>
          <w:noProof/>
          <w:sz w:val="18"/>
        </w:rPr>
      </w:pPr>
      <w:r w:rsidRPr="006E50FF">
        <w:rPr>
          <w:noProof/>
          <w:sz w:val="18"/>
        </w:rPr>
        <w:t>The proposed rule change will nominally decrease LDEQ revenues. The proposed rule change extends the waste tire permit duration from five years to 10 years, so permit application fees will be collected half as often. There are currently six permitted waste tire processors, which pay an application fee of $1,563, and no permitted waste tire collection centers, which pay an application fee of $1,000. Total fee collections of approximately $9,378 per permit cycle will occur once every 10 years rather than once every five years.</w:t>
      </w:r>
    </w:p>
    <w:p w14:paraId="76629F8A" w14:textId="77777777" w:rsidR="006E50FF" w:rsidRPr="006E50FF" w:rsidRDefault="006E50FF" w:rsidP="006E50FF">
      <w:pPr>
        <w:ind w:left="288" w:firstLine="288"/>
        <w:jc w:val="both"/>
        <w:rPr>
          <w:sz w:val="18"/>
        </w:rPr>
      </w:pPr>
      <w:r w:rsidRPr="006E50FF">
        <w:rPr>
          <w:sz w:val="18"/>
        </w:rPr>
        <w:t>The proposed rule change also increases the site closure financial assurance that permitted facilities must maintain. Those funds are held by the facility in a bond, letter of credit, or trust naming LDEQ as beneficiary; they are not revenue to the department. If a facility becomes insolvent, LDEQ may draw on the instrument solely to conduct closure of that facility, which reduces the cost the state would otherwise bear. No recurring revenue effect is anticipated.The proposed closure costs are increasing from $20/ton to $105/ton for waste tires and waste tire material and $652/ton for off-road waste tires weighing over 500 pounds. These funds are held in an account that LDEQ can access if the facility becomes insolvent. If a facility becomes insolvent, then LDEQ would collect the funds from the account to conduct the closure of the facility.</w:t>
      </w:r>
    </w:p>
    <w:p w14:paraId="408F6A3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8EABC96" w14:textId="77777777" w:rsidR="006E50FF" w:rsidRPr="006E50FF" w:rsidRDefault="006E50FF" w:rsidP="006E50FF">
      <w:pPr>
        <w:ind w:left="288" w:firstLine="288"/>
        <w:jc w:val="both"/>
        <w:rPr>
          <w:noProof/>
          <w:sz w:val="18"/>
        </w:rPr>
      </w:pPr>
      <w:r w:rsidRPr="006E50FF">
        <w:rPr>
          <w:noProof/>
          <w:sz w:val="18"/>
        </w:rPr>
        <w:t xml:space="preserve">Waste tire processors and collection centers are categorized as small businesses. The proposed rule change increases the site closure financial assurance these facilities must maintain. Closure cost estimates have not been updated since 1994. Within the last 10 years, out of eight permitted processors, two ceased operations while grossly underfunded, resulting in LDEQ being responsible for closure activities and, potentially, the associated costs. </w:t>
      </w:r>
    </w:p>
    <w:p w14:paraId="4051A2F4" w14:textId="77777777" w:rsidR="006E50FF" w:rsidRPr="006E50FF" w:rsidRDefault="006E50FF" w:rsidP="006E50FF">
      <w:pPr>
        <w:ind w:left="288" w:firstLine="288"/>
        <w:jc w:val="both"/>
        <w:rPr>
          <w:noProof/>
          <w:sz w:val="18"/>
        </w:rPr>
      </w:pPr>
      <w:r w:rsidRPr="006E50FF">
        <w:rPr>
          <w:noProof/>
          <w:sz w:val="18"/>
        </w:rPr>
        <w:t>Additionally, the proposed rule change extends waste tire permit duration from five years to 10 years. This provides cost savings to the regulated community, which includes a permit application fee of $1,000 for a permitted waste tire collection center and $1,563 for a permitted waste tire processor, and any consultant fees associated with the preparation and submittal of permit applications.</w:t>
      </w:r>
    </w:p>
    <w:p w14:paraId="16E54A07" w14:textId="77777777" w:rsidR="006E50FF" w:rsidRPr="006E50FF" w:rsidRDefault="006E50FF" w:rsidP="006E50FF">
      <w:pPr>
        <w:ind w:left="288" w:firstLine="288"/>
        <w:jc w:val="both"/>
        <w:rPr>
          <w:sz w:val="18"/>
        </w:rPr>
      </w:pPr>
      <w:r w:rsidRPr="006E50FF">
        <w:rPr>
          <w:sz w:val="18"/>
        </w:rPr>
        <w:t>Overall, these updates modernize the closure cost structure to reflect current market closure costs, ensuring adequate financial protection for the state, while also providing flexibility to processors as they adjust to the new requirements. By allowing temporary, department‑approved exceedances of storage capacity without additional financial assurance, the rule change balances the need for stronger environmental safeguards with practical measures to ease the transition for permitted facilities.</w:t>
      </w:r>
    </w:p>
    <w:p w14:paraId="7555AAC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7285BC5B"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sectors.</w:t>
      </w:r>
    </w:p>
    <w:p w14:paraId="0F97D916" w14:textId="77777777" w:rsidR="006E50FF" w:rsidRPr="006E50FF" w:rsidRDefault="006E50FF" w:rsidP="006E50FF">
      <w:pPr>
        <w:ind w:left="288" w:firstLine="288"/>
        <w:jc w:val="both"/>
        <w:rPr>
          <w:sz w:val="18"/>
        </w:rPr>
      </w:pPr>
    </w:p>
    <w:p w14:paraId="4F6FD55E" w14:textId="77777777" w:rsidR="006E50FF" w:rsidRPr="006E50FF" w:rsidRDefault="006E50FF" w:rsidP="006E50FF">
      <w:pPr>
        <w:tabs>
          <w:tab w:val="left" w:pos="2880"/>
          <w:tab w:val="decimal" w:pos="2988"/>
        </w:tabs>
        <w:outlineLvl w:val="8"/>
        <w:rPr>
          <w:kern w:val="2"/>
          <w:sz w:val="18"/>
        </w:rPr>
      </w:pPr>
      <w:r w:rsidRPr="006E50FF">
        <w:rPr>
          <w:kern w:val="2"/>
          <w:sz w:val="18"/>
        </w:rPr>
        <w:t>Jill C. Clark</w:t>
      </w:r>
      <w:r w:rsidRPr="006E50FF">
        <w:rPr>
          <w:kern w:val="2"/>
          <w:sz w:val="18"/>
        </w:rPr>
        <w:tab/>
        <w:t>Patrice Thomas</w:t>
      </w:r>
    </w:p>
    <w:p w14:paraId="10594FB8" w14:textId="77777777" w:rsidR="006E50FF" w:rsidRPr="006E50FF" w:rsidRDefault="006E50FF" w:rsidP="006E50FF">
      <w:pPr>
        <w:tabs>
          <w:tab w:val="left" w:pos="2880"/>
          <w:tab w:val="decimal" w:pos="2988"/>
        </w:tabs>
        <w:outlineLvl w:val="8"/>
        <w:rPr>
          <w:kern w:val="2"/>
          <w:sz w:val="18"/>
        </w:rPr>
      </w:pPr>
      <w:r w:rsidRPr="006E50FF">
        <w:rPr>
          <w:kern w:val="2"/>
          <w:sz w:val="18"/>
        </w:rPr>
        <w:t>General Counsel</w:t>
      </w:r>
      <w:r w:rsidRPr="006E50FF">
        <w:rPr>
          <w:kern w:val="2"/>
          <w:sz w:val="18"/>
        </w:rPr>
        <w:tab/>
        <w:t>Deputy Fiscal Officer</w:t>
      </w:r>
    </w:p>
    <w:p w14:paraId="4D53EDC8" w14:textId="77777777" w:rsidR="006E50FF" w:rsidRPr="006E50FF" w:rsidRDefault="006E50FF" w:rsidP="006E50FF">
      <w:pPr>
        <w:tabs>
          <w:tab w:val="left" w:pos="2880"/>
          <w:tab w:val="decimal" w:pos="2988"/>
        </w:tabs>
        <w:outlineLvl w:val="8"/>
        <w:rPr>
          <w:kern w:val="2"/>
          <w:sz w:val="18"/>
        </w:rPr>
      </w:pPr>
      <w:r w:rsidRPr="006E50FF">
        <w:rPr>
          <w:noProof/>
          <w:sz w:val="16"/>
        </w:rPr>
        <w:t>2609#040</w:t>
      </w:r>
      <w:r w:rsidRPr="006E50FF">
        <w:rPr>
          <w:kern w:val="2"/>
        </w:rPr>
        <w:tab/>
      </w:r>
      <w:r w:rsidRPr="006E50FF">
        <w:rPr>
          <w:kern w:val="2"/>
          <w:sz w:val="18"/>
        </w:rPr>
        <w:t>Legislative Fiscal Office</w:t>
      </w:r>
    </w:p>
    <w:p w14:paraId="27D5E461" w14:textId="77777777" w:rsidR="006E50FF" w:rsidRPr="006E50FF" w:rsidRDefault="006E50FF" w:rsidP="006E50FF">
      <w:pPr>
        <w:rPr>
          <w:noProof/>
        </w:rPr>
      </w:pPr>
    </w:p>
    <w:p w14:paraId="53A72518"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4E46EAFA" w14:textId="77777777" w:rsidR="006E50FF" w:rsidRPr="006E50FF" w:rsidRDefault="006E50FF" w:rsidP="006E50FF">
      <w:pPr>
        <w:keepNext/>
        <w:jc w:val="center"/>
        <w:rPr>
          <w:b/>
          <w:noProof/>
        </w:rPr>
      </w:pPr>
      <w:r w:rsidRPr="006E50FF">
        <w:rPr>
          <w:b/>
          <w:noProof/>
        </w:rPr>
        <w:t>Office of the Governor</w:t>
      </w:r>
    </w:p>
    <w:p w14:paraId="11B149D2" w14:textId="77777777" w:rsidR="006E50FF" w:rsidRPr="006E50FF" w:rsidRDefault="006E50FF" w:rsidP="006E50FF">
      <w:pPr>
        <w:keepNext/>
        <w:jc w:val="center"/>
        <w:rPr>
          <w:b/>
          <w:noProof/>
        </w:rPr>
      </w:pPr>
      <w:r w:rsidRPr="006E50FF">
        <w:rPr>
          <w:b/>
          <w:noProof/>
        </w:rPr>
        <w:t>Board of Certified Public Accountants of Louisiana</w:t>
      </w:r>
    </w:p>
    <w:p w14:paraId="5969BE53" w14:textId="77777777" w:rsidR="006E50FF" w:rsidRPr="006E50FF" w:rsidRDefault="006E50FF" w:rsidP="006E50FF">
      <w:pPr>
        <w:keepNext/>
        <w:spacing w:before="240" w:after="240"/>
        <w:jc w:val="center"/>
        <w:rPr>
          <w:bCs/>
          <w:noProof/>
        </w:rPr>
      </w:pPr>
      <w:r w:rsidRPr="006E50FF">
        <w:rPr>
          <w:noProof/>
        </w:rPr>
        <w:t>Certified Public Accountants</w:t>
      </w:r>
      <w:r w:rsidRPr="006E50FF">
        <w:rPr>
          <w:noProof/>
        </w:rPr>
        <w:br/>
      </w:r>
      <w:r w:rsidRPr="006E50FF">
        <w:rPr>
          <w:bCs/>
          <w:noProof/>
        </w:rPr>
        <w:t>(LAC 46:XIX.101, 311, 319, 503, 505, 903, 1103, 1105, 1107, 1301, 1309, 1501, 1503, 1707, 1905, and 1909)</w:t>
      </w:r>
    </w:p>
    <w:p w14:paraId="48B769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that in accordance with the Louisiana Administrative Procedure Act, R.S. 49:950 </w:t>
      </w:r>
      <w:r w:rsidRPr="006E50FF">
        <w:rPr>
          <w:iCs/>
          <w:kern w:val="2"/>
        </w:rPr>
        <w:t>et seq.,</w:t>
      </w:r>
      <w:r w:rsidRPr="006E50FF">
        <w:rPr>
          <w:kern w:val="2"/>
        </w:rPr>
        <w:t xml:space="preserve"> and pursuant to the authority vested in the Board of Certified Public Accountants of Louisiana (board) by the Louisiana Accountancy Act, R.S. 37:71 et seq., the board intends to amend its Rules, LAC 46:XIX.Chapters 1-5 and 9-19 to conform them to Act 653 of the 2026 Regular Session of the Louisiana Legislature and to update the rules generally as made necessary by the passage of time and for consistency with current board practices. The proposed changes: defining Accounting Concentration; establishing a third pathway to licensure; extending the timeframe allowed to pass the CPA Exam; replacing the term “substantially equivalent” with “comparable” and “mobility”; clarifying the process for curing a CPE deficiency; clarifying practice privileges in Louisiana for out</w:t>
      </w:r>
      <w:r w:rsidRPr="006E50FF">
        <w:rPr>
          <w:kern w:val="2"/>
        </w:rPr>
        <w:noBreakHyphen/>
        <w:t>of</w:t>
      </w:r>
      <w:r w:rsidRPr="006E50FF">
        <w:rPr>
          <w:kern w:val="2"/>
        </w:rPr>
        <w:noBreakHyphen/>
        <w:t>state CPAs; removing outdated references related to CPE reporting; clarifying the expiration date for Firm Permits; updating citations to amended state statutes; and revising the name of NASBA’s disciplinary</w:t>
      </w:r>
      <w:r w:rsidRPr="006E50FF">
        <w:rPr>
          <w:kern w:val="2"/>
        </w:rPr>
        <w:noBreakHyphen/>
        <w:t xml:space="preserve">reporting database. The proposed changes are set forth below: </w:t>
      </w:r>
    </w:p>
    <w:p w14:paraId="3F55E8FA" w14:textId="77777777" w:rsidR="006E50FF" w:rsidRPr="006E50FF" w:rsidRDefault="006E50FF" w:rsidP="006E50FF">
      <w:pPr>
        <w:keepNext/>
        <w:jc w:val="center"/>
        <w:rPr>
          <w:b/>
          <w:kern w:val="28"/>
        </w:rPr>
      </w:pPr>
      <w:r w:rsidRPr="006E50FF">
        <w:rPr>
          <w:b/>
          <w:kern w:val="28"/>
        </w:rPr>
        <w:t>Title 46</w:t>
      </w:r>
    </w:p>
    <w:p w14:paraId="5DD78421" w14:textId="77777777" w:rsidR="006E50FF" w:rsidRPr="006E50FF" w:rsidRDefault="006E50FF" w:rsidP="006E50FF">
      <w:pPr>
        <w:keepNext/>
        <w:jc w:val="center"/>
        <w:rPr>
          <w:b/>
          <w:kern w:val="28"/>
        </w:rPr>
      </w:pPr>
      <w:r w:rsidRPr="006E50FF">
        <w:rPr>
          <w:b/>
          <w:kern w:val="28"/>
        </w:rPr>
        <w:t>PROFESSIONAL AND OCCUPATIONAL STANDARDS</w:t>
      </w:r>
    </w:p>
    <w:p w14:paraId="2FF4C081" w14:textId="77777777" w:rsidR="006E50FF" w:rsidRPr="006E50FF" w:rsidRDefault="006E50FF" w:rsidP="006E50FF">
      <w:pPr>
        <w:keepNext/>
        <w:jc w:val="center"/>
        <w:rPr>
          <w:b/>
          <w:noProof/>
        </w:rPr>
      </w:pPr>
      <w:r w:rsidRPr="006E50FF">
        <w:rPr>
          <w:b/>
          <w:noProof/>
        </w:rPr>
        <w:t>Part XIX.  Certified Public Accountants</w:t>
      </w:r>
    </w:p>
    <w:p w14:paraId="5B89D88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57" w:name="_Toc132796854"/>
      <w:r w:rsidRPr="006E50FF">
        <w:rPr>
          <w:b/>
          <w:kern w:val="2"/>
        </w:rPr>
        <w:t>Chapter 1.</w:t>
      </w:r>
      <w:r w:rsidRPr="006E50FF">
        <w:rPr>
          <w:b/>
          <w:kern w:val="2"/>
        </w:rPr>
        <w:tab/>
        <w:t>General Provisions</w:t>
      </w:r>
      <w:bookmarkEnd w:id="557"/>
    </w:p>
    <w:p w14:paraId="5244675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8" w:name="_Toc132796855"/>
      <w:r w:rsidRPr="006E50FF">
        <w:rPr>
          <w:b/>
          <w:kern w:val="2"/>
        </w:rPr>
        <w:t>§101.</w:t>
      </w:r>
      <w:r w:rsidRPr="006E50FF">
        <w:rPr>
          <w:b/>
          <w:kern w:val="2"/>
        </w:rPr>
        <w:tab/>
        <w:t>Definition of Terms Used in the Rules</w:t>
      </w:r>
      <w:bookmarkEnd w:id="558"/>
    </w:p>
    <w:p w14:paraId="253D6C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407AC91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Accounting Concentration</w:t>
      </w:r>
      <w:r w:rsidRPr="006E50FF">
        <w:rPr>
          <w:kern w:val="2"/>
        </w:rPr>
        <w:t>—a course of study completed as part of a baccalaureate or higher degree that satisfies the board’s educational requirements for CPA examination eligibility under §503, including the required accounting and business coursework.</w:t>
      </w:r>
    </w:p>
    <w:p w14:paraId="418196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374C5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51C36A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37:71 et seq. </w:t>
      </w:r>
    </w:p>
    <w:p w14:paraId="50CA5C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t>HISTORICAL NOTE:</w:t>
      </w:r>
      <w:r w:rsidRPr="006E50FF">
        <w:rPr>
          <w:kern w:val="2"/>
          <w:sz w:val="18"/>
        </w:rPr>
        <w:tab/>
        <w:t>Adopted by the Department of Commerce, Board of Certified Public Accountants, January 1974, promulgated LR 6:1 (January 1980), amended LR 11:757 (August 1985), amended by the Department of Economic Development, Board of Certified Public Accountants, LR 23:1112 (September 1997), LR 26:1966 (September 2000</w:t>
      </w:r>
      <w:r w:rsidRPr="006E50FF">
        <w:rPr>
          <w:color w:val="000000"/>
          <w:kern w:val="2"/>
          <w:sz w:val="18"/>
        </w:rPr>
        <w:t>), amended by the Office of the Governor, Board of Certified Public Accountants, LR 49:650 (April 2023), LR 52:</w:t>
      </w:r>
    </w:p>
    <w:p w14:paraId="7E5C0F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59" w:name="_Toc132796856"/>
      <w:r w:rsidRPr="006E50FF">
        <w:rPr>
          <w:b/>
          <w:kern w:val="2"/>
        </w:rPr>
        <w:t>Chapter 3.</w:t>
      </w:r>
      <w:bookmarkStart w:id="560" w:name="TOCT_Chap4"/>
      <w:r w:rsidRPr="006E50FF">
        <w:rPr>
          <w:b/>
          <w:kern w:val="2"/>
        </w:rPr>
        <w:tab/>
        <w:t>Operating Procedures</w:t>
      </w:r>
      <w:bookmarkEnd w:id="559"/>
      <w:bookmarkEnd w:id="560"/>
    </w:p>
    <w:p w14:paraId="2CCA55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1" w:name="_Toc132796862"/>
      <w:r w:rsidRPr="006E50FF">
        <w:rPr>
          <w:b/>
          <w:kern w:val="2"/>
        </w:rPr>
        <w:t>§311.</w:t>
      </w:r>
      <w:r w:rsidRPr="006E50FF">
        <w:rPr>
          <w:b/>
          <w:kern w:val="2"/>
        </w:rPr>
        <w:tab/>
        <w:t>Monthly Compensation</w:t>
      </w:r>
      <w:bookmarkEnd w:id="561"/>
    </w:p>
    <w:p w14:paraId="694C24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officers of the board shall receive compensation of $250 per month and other members shall receive $200 per month. This compensation shall be for time expended by such members in attending board meetings and hearings, issuing of certificates and firm permits, conducting investigations, and discharging other duties and powers of the board.</w:t>
      </w:r>
    </w:p>
    <w:p w14:paraId="293429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511D45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w:t>
      </w:r>
    </w:p>
    <w:p w14:paraId="6B0D51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7906FE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Commerce, Board of Certified Public Accountants, LR 6:6 (January 1980), amended by the Department of Economic Development, Board of Certified Public Accountants, LR 23:1119 (September 1997), LR 26:1968 (September 2000), amended by the Office of the Governor, Board of Certified Public Accountants, LR 43:1899 (October 2017</w:t>
      </w:r>
      <w:r w:rsidRPr="006E50FF">
        <w:rPr>
          <w:color w:val="000000"/>
          <w:kern w:val="2"/>
          <w:sz w:val="18"/>
        </w:rPr>
        <w:t>), LR 52:</w:t>
      </w:r>
    </w:p>
    <w:p w14:paraId="1C682C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2" w:name="_Toc132796866"/>
      <w:r w:rsidRPr="006E50FF">
        <w:rPr>
          <w:b/>
          <w:kern w:val="2"/>
        </w:rPr>
        <w:t>§319.</w:t>
      </w:r>
      <w:r w:rsidRPr="006E50FF">
        <w:rPr>
          <w:b/>
          <w:kern w:val="2"/>
        </w:rPr>
        <w:tab/>
        <w:t>Assessment of Application, Annual and Other Fees</w:t>
      </w:r>
      <w:bookmarkEnd w:id="562"/>
    </w:p>
    <w:p w14:paraId="6384A9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Certification, firm permit application, renewal, and other fees shall be assessed by the board in amounts not to exceed the following.</w:t>
      </w:r>
    </w:p>
    <w:p w14:paraId="73544B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auto"/>
        </w:tblBorders>
        <w:tblLook w:val="0000" w:firstRow="0" w:lastRow="0" w:firstColumn="0" w:lastColumn="0" w:noHBand="0" w:noVBand="0"/>
      </w:tblPr>
      <w:tblGrid>
        <w:gridCol w:w="3757"/>
        <w:gridCol w:w="1005"/>
      </w:tblGrid>
      <w:tr w:rsidR="006E50FF" w:rsidRPr="006E50FF" w14:paraId="53D05A0F" w14:textId="77777777" w:rsidTr="0088638B">
        <w:trPr>
          <w:cantSplit/>
          <w:tblHeader/>
          <w:jc w:val="center"/>
        </w:trPr>
        <w:tc>
          <w:tcPr>
            <w:tcW w:w="4762" w:type="dxa"/>
            <w:gridSpan w:val="2"/>
            <w:tcBorders>
              <w:top w:val="double" w:sz="6" w:space="0" w:color="auto"/>
              <w:left w:val="double" w:sz="6" w:space="0" w:color="auto"/>
              <w:bottom w:val="single" w:sz="6" w:space="0" w:color="auto"/>
              <w:right w:val="double" w:sz="6" w:space="0" w:color="auto"/>
            </w:tcBorders>
            <w:shd w:val="clear" w:color="auto" w:fill="BFBFBF"/>
          </w:tcPr>
          <w:p w14:paraId="03E719AB" w14:textId="77777777" w:rsidR="006E50FF" w:rsidRPr="006E50FF" w:rsidRDefault="006E50FF" w:rsidP="006E50FF">
            <w:pPr>
              <w:keepNext/>
              <w:tabs>
                <w:tab w:val="left" w:pos="144"/>
                <w:tab w:val="left" w:pos="187"/>
                <w:tab w:val="left" w:pos="540"/>
                <w:tab w:val="left" w:pos="907"/>
                <w:tab w:val="left" w:pos="1080"/>
              </w:tabs>
              <w:jc w:val="center"/>
              <w:rPr>
                <w:b/>
                <w:bCs/>
                <w:kern w:val="2"/>
                <w:sz w:val="16"/>
                <w:szCs w:val="16"/>
              </w:rPr>
            </w:pPr>
            <w:r w:rsidRPr="006E50FF">
              <w:rPr>
                <w:b/>
                <w:bCs/>
                <w:kern w:val="2"/>
                <w:sz w:val="16"/>
                <w:szCs w:val="16"/>
              </w:rPr>
              <w:t>Application Fees</w:t>
            </w:r>
          </w:p>
        </w:tc>
      </w:tr>
      <w:tr w:rsidR="006E50FF" w:rsidRPr="006E50FF" w14:paraId="2D3D0754"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7B1BE057"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Original certification application</w:t>
            </w:r>
          </w:p>
        </w:tc>
        <w:tc>
          <w:tcPr>
            <w:tcW w:w="1005" w:type="dxa"/>
            <w:tcBorders>
              <w:top w:val="single" w:sz="6" w:space="0" w:color="auto"/>
              <w:left w:val="single" w:sz="6" w:space="0" w:color="auto"/>
              <w:bottom w:val="single" w:sz="6" w:space="0" w:color="auto"/>
              <w:right w:val="double" w:sz="6" w:space="0" w:color="auto"/>
            </w:tcBorders>
          </w:tcPr>
          <w:p w14:paraId="777A6336" w14:textId="77777777" w:rsidR="006E50FF" w:rsidRPr="006E50FF" w:rsidRDefault="006E50FF" w:rsidP="006E50FF">
            <w:pPr>
              <w:keepNext/>
              <w:tabs>
                <w:tab w:val="left" w:pos="144"/>
                <w:tab w:val="left" w:pos="540"/>
                <w:tab w:val="left" w:pos="907"/>
                <w:tab w:val="left" w:pos="1080"/>
              </w:tabs>
              <w:jc w:val="center"/>
              <w:rPr>
                <w:kern w:val="2"/>
                <w:sz w:val="16"/>
                <w:szCs w:val="16"/>
              </w:rPr>
            </w:pPr>
            <w:r w:rsidRPr="006E50FF">
              <w:rPr>
                <w:kern w:val="2"/>
                <w:sz w:val="16"/>
                <w:szCs w:val="16"/>
              </w:rPr>
              <w:t>$250</w:t>
            </w:r>
          </w:p>
        </w:tc>
      </w:tr>
      <w:tr w:rsidR="006E50FF" w:rsidRPr="006E50FF" w14:paraId="1F7FAB51"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194EECF9"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Reciprocal certification application</w:t>
            </w:r>
          </w:p>
        </w:tc>
        <w:tc>
          <w:tcPr>
            <w:tcW w:w="1005" w:type="dxa"/>
            <w:tcBorders>
              <w:top w:val="single" w:sz="6" w:space="0" w:color="auto"/>
              <w:left w:val="single" w:sz="6" w:space="0" w:color="auto"/>
              <w:bottom w:val="single" w:sz="6" w:space="0" w:color="auto"/>
              <w:right w:val="double" w:sz="6" w:space="0" w:color="auto"/>
            </w:tcBorders>
          </w:tcPr>
          <w:p w14:paraId="03E5BC91"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$120</w:t>
            </w:r>
          </w:p>
        </w:tc>
      </w:tr>
      <w:tr w:rsidR="006E50FF" w:rsidRPr="006E50FF" w14:paraId="72394E49"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7FDC1571"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Retired status application</w:t>
            </w:r>
          </w:p>
        </w:tc>
        <w:tc>
          <w:tcPr>
            <w:tcW w:w="1005" w:type="dxa"/>
            <w:tcBorders>
              <w:top w:val="single" w:sz="6" w:space="0" w:color="auto"/>
              <w:left w:val="single" w:sz="6" w:space="0" w:color="auto"/>
              <w:bottom w:val="single" w:sz="6" w:space="0" w:color="auto"/>
              <w:right w:val="double" w:sz="6" w:space="0" w:color="auto"/>
            </w:tcBorders>
          </w:tcPr>
          <w:p w14:paraId="392F9A25"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2214576B"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1B7D465A"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Reinstatement of certificate application</w:t>
            </w:r>
          </w:p>
        </w:tc>
        <w:tc>
          <w:tcPr>
            <w:tcW w:w="1005" w:type="dxa"/>
            <w:tcBorders>
              <w:top w:val="single" w:sz="6" w:space="0" w:color="auto"/>
              <w:left w:val="single" w:sz="6" w:space="0" w:color="auto"/>
              <w:bottom w:val="single" w:sz="6" w:space="0" w:color="auto"/>
              <w:right w:val="double" w:sz="6" w:space="0" w:color="auto"/>
            </w:tcBorders>
          </w:tcPr>
          <w:p w14:paraId="300099AD"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$500</w:t>
            </w:r>
          </w:p>
        </w:tc>
      </w:tr>
      <w:tr w:rsidR="006E50FF" w:rsidRPr="006E50FF" w14:paraId="7E46AA7A"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016A67FC"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Firm permit application</w:t>
            </w:r>
          </w:p>
        </w:tc>
        <w:tc>
          <w:tcPr>
            <w:tcW w:w="1005" w:type="dxa"/>
            <w:tcBorders>
              <w:top w:val="single" w:sz="6" w:space="0" w:color="auto"/>
              <w:left w:val="single" w:sz="6" w:space="0" w:color="auto"/>
              <w:bottom w:val="single" w:sz="6" w:space="0" w:color="auto"/>
              <w:right w:val="double" w:sz="6" w:space="0" w:color="auto"/>
            </w:tcBorders>
          </w:tcPr>
          <w:p w14:paraId="6A23E64B"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$250</w:t>
            </w:r>
          </w:p>
        </w:tc>
      </w:tr>
      <w:tr w:rsidR="006E50FF" w:rsidRPr="006E50FF" w14:paraId="421CFD90" w14:textId="77777777" w:rsidTr="0088638B">
        <w:trPr>
          <w:cantSplit/>
          <w:tblHeader/>
          <w:jc w:val="center"/>
        </w:trPr>
        <w:tc>
          <w:tcPr>
            <w:tcW w:w="4762" w:type="dxa"/>
            <w:gridSpan w:val="2"/>
            <w:tcBorders>
              <w:top w:val="single" w:sz="6" w:space="0" w:color="auto"/>
              <w:left w:val="double" w:sz="6" w:space="0" w:color="auto"/>
              <w:bottom w:val="single" w:sz="6" w:space="0" w:color="auto"/>
              <w:right w:val="double" w:sz="6" w:space="0" w:color="auto"/>
            </w:tcBorders>
            <w:shd w:val="clear" w:color="auto" w:fill="BFBFBF"/>
          </w:tcPr>
          <w:p w14:paraId="780710D0" w14:textId="77777777" w:rsidR="006E50FF" w:rsidRPr="006E50FF" w:rsidRDefault="006E50FF" w:rsidP="006E50FF">
            <w:pPr>
              <w:keepNext/>
              <w:tabs>
                <w:tab w:val="left" w:pos="144"/>
                <w:tab w:val="left" w:pos="187"/>
                <w:tab w:val="left" w:pos="540"/>
                <w:tab w:val="left" w:pos="907"/>
                <w:tab w:val="left" w:pos="1080"/>
              </w:tabs>
              <w:jc w:val="center"/>
              <w:rPr>
                <w:b/>
                <w:bCs/>
                <w:kern w:val="2"/>
                <w:sz w:val="16"/>
                <w:szCs w:val="16"/>
              </w:rPr>
            </w:pPr>
            <w:r w:rsidRPr="006E50FF">
              <w:rPr>
                <w:b/>
                <w:bCs/>
                <w:kern w:val="2"/>
                <w:sz w:val="16"/>
                <w:szCs w:val="16"/>
              </w:rPr>
              <w:t>Annual Fees</w:t>
            </w:r>
          </w:p>
        </w:tc>
      </w:tr>
      <w:tr w:rsidR="006E50FF" w:rsidRPr="006E50FF" w14:paraId="35693556"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6D385CD8"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Renewal of certificate</w:t>
            </w:r>
          </w:p>
        </w:tc>
        <w:tc>
          <w:tcPr>
            <w:tcW w:w="1005" w:type="dxa"/>
            <w:tcBorders>
              <w:top w:val="single" w:sz="6" w:space="0" w:color="auto"/>
              <w:left w:val="single" w:sz="6" w:space="0" w:color="auto"/>
              <w:bottom w:val="single" w:sz="6" w:space="0" w:color="auto"/>
              <w:right w:val="double" w:sz="6" w:space="0" w:color="auto"/>
            </w:tcBorders>
          </w:tcPr>
          <w:p w14:paraId="264EBB03"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$120</w:t>
            </w:r>
          </w:p>
        </w:tc>
      </w:tr>
      <w:tr w:rsidR="006E50FF" w:rsidRPr="006E50FF" w14:paraId="02FBC569"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202FF684"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Registration CPA inactive status</w:t>
            </w:r>
          </w:p>
        </w:tc>
        <w:tc>
          <w:tcPr>
            <w:tcW w:w="1005" w:type="dxa"/>
            <w:tcBorders>
              <w:top w:val="single" w:sz="6" w:space="0" w:color="auto"/>
              <w:left w:val="single" w:sz="6" w:space="0" w:color="auto"/>
              <w:bottom w:val="single" w:sz="6" w:space="0" w:color="auto"/>
              <w:right w:val="double" w:sz="6" w:space="0" w:color="auto"/>
            </w:tcBorders>
          </w:tcPr>
          <w:p w14:paraId="6B10EA5C"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$60</w:t>
            </w:r>
          </w:p>
        </w:tc>
      </w:tr>
      <w:tr w:rsidR="006E50FF" w:rsidRPr="006E50FF" w14:paraId="5F4F4BE6"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0FD0F589"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Registration CPA retired status</w:t>
            </w:r>
          </w:p>
        </w:tc>
        <w:tc>
          <w:tcPr>
            <w:tcW w:w="1005" w:type="dxa"/>
            <w:tcBorders>
              <w:top w:val="single" w:sz="6" w:space="0" w:color="auto"/>
              <w:left w:val="single" w:sz="6" w:space="0" w:color="auto"/>
              <w:bottom w:val="single" w:sz="6" w:space="0" w:color="auto"/>
              <w:right w:val="double" w:sz="6" w:space="0" w:color="auto"/>
            </w:tcBorders>
          </w:tcPr>
          <w:p w14:paraId="5E683893"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62C5CC4D"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001F90FF"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Renewal of firm permit</w:t>
            </w:r>
          </w:p>
        </w:tc>
        <w:tc>
          <w:tcPr>
            <w:tcW w:w="1005" w:type="dxa"/>
            <w:tcBorders>
              <w:top w:val="single" w:sz="6" w:space="0" w:color="auto"/>
              <w:left w:val="single" w:sz="6" w:space="0" w:color="auto"/>
              <w:bottom w:val="single" w:sz="6" w:space="0" w:color="auto"/>
              <w:right w:val="double" w:sz="6" w:space="0" w:color="auto"/>
            </w:tcBorders>
          </w:tcPr>
          <w:p w14:paraId="560A4354"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$100</w:t>
            </w:r>
          </w:p>
        </w:tc>
      </w:tr>
      <w:tr w:rsidR="006E50FF" w:rsidRPr="006E50FF" w14:paraId="4AB51EEC"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593B8594" w14:textId="77777777" w:rsidR="006E50FF" w:rsidRPr="006E50FF" w:rsidRDefault="006E50FF" w:rsidP="006E50FF">
            <w:pPr>
              <w:keepNext/>
              <w:tabs>
                <w:tab w:val="left" w:pos="720"/>
                <w:tab w:val="left" w:pos="979"/>
                <w:tab w:val="left" w:pos="1152"/>
              </w:tabs>
              <w:jc w:val="both"/>
              <w:rPr>
                <w:strike/>
                <w:kern w:val="2"/>
                <w:sz w:val="16"/>
                <w:szCs w:val="16"/>
              </w:rPr>
            </w:pPr>
            <w:r w:rsidRPr="006E50FF">
              <w:rPr>
                <w:kern w:val="2"/>
                <w:sz w:val="16"/>
                <w:szCs w:val="16"/>
              </w:rPr>
              <w:t>Plus per owner over 10</w:t>
            </w:r>
          </w:p>
          <w:p w14:paraId="5B807646"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not to exceed</w:t>
            </w:r>
          </w:p>
        </w:tc>
        <w:tc>
          <w:tcPr>
            <w:tcW w:w="1005" w:type="dxa"/>
            <w:tcBorders>
              <w:top w:val="single" w:sz="6" w:space="0" w:color="auto"/>
              <w:left w:val="single" w:sz="6" w:space="0" w:color="auto"/>
              <w:bottom w:val="single" w:sz="6" w:space="0" w:color="auto"/>
              <w:right w:val="double" w:sz="6" w:space="0" w:color="auto"/>
            </w:tcBorders>
          </w:tcPr>
          <w:p w14:paraId="6A4650C4"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$25</w:t>
            </w:r>
          </w:p>
          <w:p w14:paraId="26955A47"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$2,500</w:t>
            </w:r>
          </w:p>
        </w:tc>
      </w:tr>
      <w:tr w:rsidR="006E50FF" w:rsidRPr="006E50FF" w14:paraId="66C94F73" w14:textId="77777777" w:rsidTr="0088638B">
        <w:trPr>
          <w:cantSplit/>
          <w:tblHeader/>
          <w:jc w:val="center"/>
        </w:trPr>
        <w:tc>
          <w:tcPr>
            <w:tcW w:w="4762" w:type="dxa"/>
            <w:gridSpan w:val="2"/>
            <w:tcBorders>
              <w:top w:val="single" w:sz="6" w:space="0" w:color="auto"/>
              <w:left w:val="double" w:sz="6" w:space="0" w:color="auto"/>
              <w:bottom w:val="single" w:sz="6" w:space="0" w:color="auto"/>
              <w:right w:val="double" w:sz="6" w:space="0" w:color="auto"/>
            </w:tcBorders>
            <w:shd w:val="clear" w:color="auto" w:fill="BFBFBF"/>
          </w:tcPr>
          <w:p w14:paraId="2170285E" w14:textId="77777777" w:rsidR="006E50FF" w:rsidRPr="006E50FF" w:rsidRDefault="006E50FF" w:rsidP="006E50FF">
            <w:pPr>
              <w:keepNext/>
              <w:tabs>
                <w:tab w:val="left" w:pos="144"/>
                <w:tab w:val="left" w:pos="187"/>
                <w:tab w:val="left" w:pos="540"/>
                <w:tab w:val="left" w:pos="907"/>
                <w:tab w:val="left" w:pos="1080"/>
              </w:tabs>
              <w:jc w:val="center"/>
              <w:rPr>
                <w:b/>
                <w:bCs/>
                <w:kern w:val="2"/>
                <w:sz w:val="16"/>
                <w:szCs w:val="16"/>
              </w:rPr>
            </w:pPr>
            <w:r w:rsidRPr="006E50FF">
              <w:rPr>
                <w:b/>
                <w:bCs/>
                <w:kern w:val="2"/>
                <w:sz w:val="16"/>
                <w:szCs w:val="16"/>
              </w:rPr>
              <w:t>Other Fees (in amounts not to exceed)</w:t>
            </w:r>
          </w:p>
        </w:tc>
      </w:tr>
      <w:tr w:rsidR="006E50FF" w:rsidRPr="006E50FF" w14:paraId="071BBDD9"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53F9DC8C"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Temporary (provisional) licenses</w:t>
            </w:r>
          </w:p>
        </w:tc>
        <w:tc>
          <w:tcPr>
            <w:tcW w:w="1005" w:type="dxa"/>
            <w:tcBorders>
              <w:top w:val="single" w:sz="6" w:space="0" w:color="auto"/>
              <w:left w:val="single" w:sz="6" w:space="0" w:color="auto"/>
              <w:bottom w:val="single" w:sz="6" w:space="0" w:color="auto"/>
              <w:right w:val="double" w:sz="6" w:space="0" w:color="auto"/>
            </w:tcBorders>
          </w:tcPr>
          <w:p w14:paraId="338EC4AC"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$100</w:t>
            </w:r>
          </w:p>
        </w:tc>
      </w:tr>
      <w:tr w:rsidR="006E50FF" w:rsidRPr="006E50FF" w14:paraId="3E943C64"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4E4EEC9F"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Replacement of a CPA certificate</w:t>
            </w:r>
          </w:p>
        </w:tc>
        <w:tc>
          <w:tcPr>
            <w:tcW w:w="1005" w:type="dxa"/>
            <w:tcBorders>
              <w:top w:val="single" w:sz="6" w:space="0" w:color="auto"/>
              <w:left w:val="single" w:sz="6" w:space="0" w:color="auto"/>
              <w:bottom w:val="single" w:sz="6" w:space="0" w:color="auto"/>
              <w:right w:val="double" w:sz="6" w:space="0" w:color="auto"/>
            </w:tcBorders>
            <w:tcMar>
              <w:left w:w="115" w:type="dxa"/>
              <w:right w:w="14" w:type="dxa"/>
            </w:tcMar>
          </w:tcPr>
          <w:p w14:paraId="44D871D8"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30DC0604"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57DDA8C2"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Transfer of grades transfer fee</w:t>
            </w:r>
          </w:p>
        </w:tc>
        <w:tc>
          <w:tcPr>
            <w:tcW w:w="1005" w:type="dxa"/>
            <w:tcBorders>
              <w:top w:val="single" w:sz="6" w:space="0" w:color="auto"/>
              <w:left w:val="single" w:sz="6" w:space="0" w:color="auto"/>
              <w:bottom w:val="single" w:sz="6" w:space="0" w:color="auto"/>
              <w:right w:val="double" w:sz="6" w:space="0" w:color="auto"/>
            </w:tcBorders>
          </w:tcPr>
          <w:p w14:paraId="6DA011E9"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6E4A1478"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03DF905D"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Written verifications</w:t>
            </w:r>
          </w:p>
        </w:tc>
        <w:tc>
          <w:tcPr>
            <w:tcW w:w="1005" w:type="dxa"/>
            <w:tcBorders>
              <w:top w:val="single" w:sz="6" w:space="0" w:color="auto"/>
              <w:left w:val="single" w:sz="6" w:space="0" w:color="auto"/>
              <w:bottom w:val="single" w:sz="6" w:space="0" w:color="auto"/>
              <w:right w:val="double" w:sz="6" w:space="0" w:color="auto"/>
            </w:tcBorders>
          </w:tcPr>
          <w:p w14:paraId="32B1E926"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6F900A52"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2B002C3E"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Pre-Exam Evaluation</w:t>
            </w:r>
          </w:p>
        </w:tc>
        <w:tc>
          <w:tcPr>
            <w:tcW w:w="1005" w:type="dxa"/>
            <w:tcBorders>
              <w:top w:val="single" w:sz="6" w:space="0" w:color="auto"/>
              <w:left w:val="single" w:sz="6" w:space="0" w:color="auto"/>
              <w:bottom w:val="single" w:sz="6" w:space="0" w:color="auto"/>
              <w:right w:val="double" w:sz="6" w:space="0" w:color="auto"/>
            </w:tcBorders>
          </w:tcPr>
          <w:p w14:paraId="40AE08AF"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$100</w:t>
            </w:r>
          </w:p>
        </w:tc>
      </w:tr>
      <w:tr w:rsidR="006E50FF" w:rsidRPr="006E50FF" w14:paraId="1950856C" w14:textId="77777777" w:rsidTr="0088638B">
        <w:trPr>
          <w:cantSplit/>
          <w:tblHeader/>
          <w:jc w:val="center"/>
        </w:trPr>
        <w:tc>
          <w:tcPr>
            <w:tcW w:w="4762" w:type="dxa"/>
            <w:gridSpan w:val="2"/>
            <w:tcBorders>
              <w:top w:val="single" w:sz="6" w:space="0" w:color="auto"/>
              <w:left w:val="double" w:sz="6" w:space="0" w:color="auto"/>
              <w:bottom w:val="double" w:sz="6" w:space="0" w:color="auto"/>
              <w:right w:val="double" w:sz="6" w:space="0" w:color="auto"/>
            </w:tcBorders>
          </w:tcPr>
          <w:p w14:paraId="03E8E973" w14:textId="77777777" w:rsidR="006E50FF" w:rsidRPr="006E50FF" w:rsidRDefault="006E50FF" w:rsidP="006E50FF">
            <w:pPr>
              <w:tabs>
                <w:tab w:val="left" w:pos="144"/>
                <w:tab w:val="left" w:pos="187"/>
                <w:tab w:val="left" w:pos="540"/>
                <w:tab w:val="left" w:pos="907"/>
                <w:tab w:val="left" w:pos="1080"/>
              </w:tabs>
              <w:jc w:val="center"/>
              <w:rPr>
                <w:kern w:val="2"/>
                <w:sz w:val="16"/>
                <w:szCs w:val="16"/>
              </w:rPr>
            </w:pPr>
            <w:r w:rsidRPr="006E50FF">
              <w:rPr>
                <w:kern w:val="2"/>
                <w:sz w:val="16"/>
                <w:szCs w:val="16"/>
              </w:rPr>
              <w:t>Delinquent and other fees are cited in the Act.</w:t>
            </w:r>
          </w:p>
        </w:tc>
      </w:tr>
    </w:tbl>
    <w:p w14:paraId="411B2C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A960A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791FE0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56FCEBB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6:8 (January 1980), amended LR 9:209 (April 1983), LR 11:758 (August 1985), LR 13:13 (January 1987), LR 15:619 (August 1989), amended by the Department of Economic Development, Board of Certified Public Accountants, LR 17:1070 (November 1991), LR 23:1124 (September 1997), LR 26:1968 (September 2000), amended by the Office of the Governor, Board of Certified Public Accountants, LR 28:1013 (May 2002), LR 31:1330 (June 2005), LR 43:1899 (October 2017</w:t>
      </w:r>
      <w:r w:rsidRPr="006E50FF">
        <w:rPr>
          <w:color w:val="000000"/>
          <w:kern w:val="2"/>
          <w:sz w:val="18"/>
        </w:rPr>
        <w:t>), LR 49:650 (April 2023), LR 52:</w:t>
      </w:r>
    </w:p>
    <w:p w14:paraId="3FEB31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63" w:name="_Toc132796867"/>
      <w:r w:rsidRPr="006E50FF">
        <w:rPr>
          <w:b/>
          <w:kern w:val="2"/>
        </w:rPr>
        <w:t>Chapter 5.</w:t>
      </w:r>
      <w:bookmarkStart w:id="564" w:name="TOCT_Chap5"/>
      <w:r w:rsidRPr="006E50FF">
        <w:rPr>
          <w:b/>
          <w:kern w:val="2"/>
        </w:rPr>
        <w:tab/>
        <w:t>Qualifications; Education and Examination</w:t>
      </w:r>
      <w:bookmarkEnd w:id="563"/>
      <w:bookmarkEnd w:id="564"/>
    </w:p>
    <w:p w14:paraId="3CE193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5" w:name="_Toc132796869"/>
      <w:r w:rsidRPr="006E50FF">
        <w:rPr>
          <w:b/>
          <w:kern w:val="2"/>
        </w:rPr>
        <w:t>§503.</w:t>
      </w:r>
      <w:r w:rsidRPr="006E50FF">
        <w:rPr>
          <w:b/>
          <w:kern w:val="2"/>
        </w:rPr>
        <w:tab/>
        <w:t>Educational Requirements</w:t>
      </w:r>
      <w:bookmarkEnd w:id="565"/>
    </w:p>
    <w:p w14:paraId="34F310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 be eligible for examination by and under auspices of the board, an applicant shall possess a baccalaureate or higher degree, duly conferred by an accredited university or college recognized and approved by the board. The applicant shall present evidence which shall consist of one or more official transcripts certifying that the applicant has attained the foregoing degree and said transcripts shall evidence award of credit for satisfactory completion of the following courses and credit hours, according to whether such courses and credits are taken as an undergraduate course and semester hour or a graduate course and semester hour.</w:t>
      </w:r>
    </w:p>
    <w:p w14:paraId="6BDA6D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5A901A7" w14:textId="77777777" w:rsidR="006E50FF" w:rsidRPr="006E50FF" w:rsidRDefault="006E50FF" w:rsidP="006E50FF">
      <w:pPr>
        <w:tabs>
          <w:tab w:val="left" w:pos="144"/>
          <w:tab w:val="left" w:pos="187"/>
          <w:tab w:val="left" w:pos="540"/>
          <w:tab w:val="left" w:pos="1080"/>
        </w:tabs>
        <w:ind w:firstLine="187"/>
        <w:jc w:val="both"/>
        <w:outlineLvl w:val="3"/>
        <w:rPr>
          <w:kern w:val="2"/>
        </w:rPr>
      </w:pPr>
      <w:r w:rsidRPr="006E50FF">
        <w:rPr>
          <w:kern w:val="2"/>
        </w:rPr>
        <w:t>A.1. - D.</w:t>
      </w:r>
      <w:r w:rsidRPr="006E50FF">
        <w:rPr>
          <w:kern w:val="2"/>
        </w:rPr>
        <w:tab/>
        <w:t>...</w:t>
      </w:r>
    </w:p>
    <w:p w14:paraId="2FB138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To be eligible for licensure by and under auspices of the board, an applicant shall have completed one of the following educational pathways of postsecondary, graduate, or postgraduate education at and by an accredited college or university recognized and approved by the board.</w:t>
      </w:r>
    </w:p>
    <w:p w14:paraId="3CC83E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baccalaureate or higher degree plus an additional thirty semester hours conferred by a college or university acceptable to the board, the total educational program to include an accounting concentration or equivalent as determined by the board to be appropriate or</w:t>
      </w:r>
    </w:p>
    <w:p w14:paraId="6923DD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post-baccalaureate or higher degree conferred by a college or university acceptable to the board, the total educational program to include an accounting concentration or equivalent as determined by the board to be appropriate or</w:t>
      </w:r>
    </w:p>
    <w:p w14:paraId="1FF910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baccalaureate or higher degree conferred by a college or university acceptable to the board, the total educational program to include an accounting concentration or equivalent as determined by the board to be appropriate.</w:t>
      </w:r>
    </w:p>
    <w:p w14:paraId="310BF0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320312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6:6 (January 1980), amended LR 11:757 (August 1985), LR 13:13 (January 1987), amended by the Department of Economic Development, Board of Certified Public Accountants, LR 15:616 (August 1989), LR 17:1072 (November 1991), LR 23:1120 (September 1997), LR 26:1969 (September 2000), amended by the Office of the Governor, Board of Certified Public Accountants, LR 43:1900 (October 2017</w:t>
      </w:r>
      <w:r w:rsidRPr="006E50FF">
        <w:rPr>
          <w:color w:val="000000"/>
          <w:kern w:val="2"/>
          <w:sz w:val="18"/>
        </w:rPr>
        <w:t>), LR 49:650 (April 2023</w:t>
      </w:r>
      <w:r w:rsidRPr="006E50FF">
        <w:rPr>
          <w:kern w:val="2"/>
          <w:sz w:val="18"/>
        </w:rPr>
        <w:t>), repromulgated LR 49:864 (May 2023</w:t>
      </w:r>
      <w:r w:rsidRPr="006E50FF">
        <w:rPr>
          <w:color w:val="000000"/>
          <w:kern w:val="2"/>
          <w:sz w:val="18"/>
        </w:rPr>
        <w:t>), amended LR 52:</w:t>
      </w:r>
    </w:p>
    <w:p w14:paraId="3AF91F2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6" w:name="_Toc132796870"/>
      <w:r w:rsidRPr="006E50FF">
        <w:rPr>
          <w:b/>
          <w:kern w:val="2"/>
        </w:rPr>
        <w:t>§505.</w:t>
      </w:r>
      <w:r w:rsidRPr="006E50FF">
        <w:rPr>
          <w:b/>
          <w:kern w:val="2"/>
        </w:rPr>
        <w:tab/>
        <w:t>Examination</w:t>
      </w:r>
      <w:bookmarkEnd w:id="566"/>
    </w:p>
    <w:p w14:paraId="022C0E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E.2.</w:t>
      </w:r>
      <w:r w:rsidRPr="006E50FF">
        <w:rPr>
          <w:kern w:val="2"/>
        </w:rPr>
        <w:tab/>
        <w:t>…</w:t>
      </w:r>
    </w:p>
    <w:p w14:paraId="6F334D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Retake and Granting of Credit Requirements</w:t>
      </w:r>
    </w:p>
    <w:p w14:paraId="1E2AA3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candidate may take the required test sections individually and in any order. Credit for any test section(s) passed shall be valid for a rolling qualifying period as measured from the actual date the candidate took that test section, without having to attain a minimum score on any failed test section(s) and without regard to whether the candidate has taken other test sections. The qualifying period shall be determined by the board and shall be comprised of no less than 30 months.</w:t>
      </w:r>
    </w:p>
    <w:p w14:paraId="64DDAB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F.1.a. - H.</w:t>
      </w:r>
      <w:r w:rsidRPr="006E50FF">
        <w:rPr>
          <w:kern w:val="2"/>
        </w:rPr>
        <w:tab/>
        <w:t>…</w:t>
      </w:r>
    </w:p>
    <w:p w14:paraId="2714D9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65D977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6:6 (January 1980), amended LR 9:208 (April 1983), LR 12:88 (February 1986), amended by the Department of Economic Development, Board of Certified Public Accountants, LR 17:1068 (November 1991), LR 23:1119 (September 1997), LR 26:1970 (September 2000),</w:t>
      </w:r>
      <w:r w:rsidRPr="006E50FF">
        <w:rPr>
          <w:spacing w:val="-2"/>
          <w:kern w:val="2"/>
          <w:sz w:val="18"/>
        </w:rPr>
        <w:t xml:space="preserve"> amended by the Office of the Governor, Board of Certified Public Accountants, LR 29:1475 (August 2003), LR 32:2248 (December 2006), </w:t>
      </w:r>
      <w:r w:rsidRPr="006E50FF">
        <w:rPr>
          <w:kern w:val="2"/>
          <w:sz w:val="18"/>
        </w:rPr>
        <w:t>LR 43:1901 (October 2017), LR 46:338 (March 2020</w:t>
      </w:r>
      <w:r w:rsidRPr="006E50FF">
        <w:rPr>
          <w:color w:val="000000"/>
          <w:kern w:val="2"/>
          <w:sz w:val="18"/>
        </w:rPr>
        <w:t>), LR 49:651 (April 2023), LR 52:</w:t>
      </w:r>
    </w:p>
    <w:p w14:paraId="62B978A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67" w:name="_Toc132796877"/>
      <w:r w:rsidRPr="006E50FF">
        <w:rPr>
          <w:b/>
          <w:kern w:val="2"/>
        </w:rPr>
        <w:t>Chapter 9.</w:t>
      </w:r>
      <w:bookmarkStart w:id="568" w:name="TOCT_Chap8"/>
      <w:r w:rsidRPr="006E50FF">
        <w:rPr>
          <w:b/>
          <w:kern w:val="2"/>
        </w:rPr>
        <w:tab/>
        <w:t>Qualifications for Initial Certificate</w:t>
      </w:r>
      <w:bookmarkEnd w:id="567"/>
      <w:bookmarkEnd w:id="568"/>
    </w:p>
    <w:p w14:paraId="00558D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9" w:name="_Toc132796879"/>
      <w:r w:rsidRPr="006E50FF">
        <w:rPr>
          <w:b/>
          <w:kern w:val="2"/>
        </w:rPr>
        <w:t>§903.</w:t>
      </w:r>
      <w:r w:rsidRPr="006E50FF">
        <w:rPr>
          <w:b/>
          <w:kern w:val="2"/>
        </w:rPr>
        <w:tab/>
        <w:t>Qualifying Experience</w:t>
      </w:r>
      <w:bookmarkEnd w:id="569"/>
    </w:p>
    <w:p w14:paraId="6D2EF9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experience required to be demonstrated for issuance of an initial certificate pursuant to R.S. 37:75(G) shall meet the requirements of this rule.</w:t>
      </w:r>
    </w:p>
    <w:p w14:paraId="3E37A364"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Experience may consist of providing any type of services or advice using accounting, attest, management advisory, financial advisory, tax, or consulting skills.</w:t>
      </w:r>
    </w:p>
    <w:p w14:paraId="7783F988" w14:textId="77777777" w:rsidR="006E50FF" w:rsidRPr="006E50FF" w:rsidRDefault="006E50FF" w:rsidP="006E50FF">
      <w:pPr>
        <w:tabs>
          <w:tab w:val="left" w:pos="720"/>
          <w:tab w:val="left" w:pos="979"/>
          <w:tab w:val="left" w:pos="1152"/>
          <w:tab w:val="left" w:pos="1800"/>
        </w:tabs>
        <w:ind w:firstLine="360"/>
        <w:jc w:val="both"/>
        <w:outlineLvl w:val="4"/>
        <w:rPr>
          <w:kern w:val="2"/>
        </w:rPr>
      </w:pPr>
      <w:r w:rsidRPr="006E50FF">
        <w:rPr>
          <w:kern w:val="2"/>
        </w:rPr>
        <w:t>2. - .2.a.i.(a).</w:t>
      </w:r>
      <w:r w:rsidRPr="006E50FF">
        <w:rPr>
          <w:kern w:val="2"/>
        </w:rPr>
        <w:tab/>
        <w:t>...</w:t>
      </w:r>
    </w:p>
    <w:p w14:paraId="1D08DE2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lastRenderedPageBreak/>
        <w:t>(b).</w:t>
      </w:r>
      <w:r w:rsidRPr="006E50FF">
        <w:rPr>
          <w:kern w:val="2"/>
        </w:rPr>
        <w:tab/>
        <w:t>The applicant shall have taught an accumulated course load of at least 24 semester credit hours, or the equivalent, and shall have done so:</w:t>
      </w:r>
    </w:p>
    <w:p w14:paraId="7840434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For a period of not less than one year during the four years immediately preceding the date of application, if the applicant is required to demonstrate one year of experience under R.S. 37:75(G)(1)(a)(i) or R.S. 37:75(G)(1)(a)(ii); or</w:t>
      </w:r>
    </w:p>
    <w:p w14:paraId="5462005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For a period of not less than two years during the four years immediately preceding the date of application, if the applicant is required to demonstrate two years of experience under R.S. 37:75(G)(1)(a)(iii).</w:t>
      </w:r>
    </w:p>
    <w:p w14:paraId="4EB2F1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- 6.</w:t>
      </w:r>
      <w:r w:rsidRPr="006E50FF">
        <w:rPr>
          <w:kern w:val="2"/>
        </w:rPr>
        <w:tab/>
        <w:t>…</w:t>
      </w:r>
    </w:p>
    <w:p w14:paraId="41DF00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Each year of experience may consist of full-time or part-time employment that extends over a period of no less than one year and no more than four years. Experience shall be obtained within the immediate four-year period preceding the application. Part-time employment shall consist of no fewer than 2,000 hours of performance per year of services as described in Paragraph 2 above.</w:t>
      </w:r>
    </w:p>
    <w:p w14:paraId="23126C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Experience may also include U.S. military service that consists of completion of a program of occupational training, holding an occupational specialty, or performing a specialty that is comparable to, or exceeds, all of the licensing requirements of R.S. 37:75 and the rules of the board. U.S. military specialty training, performance, and active practice that is comparable to §903.A and B is also acceptable as qualifying experience for applicants who may have satisfied the remainder of the licensing requirements outside of military service. Experience submitted under this provision must be verifiable. Recognition of military experience is subject to the following limitations.</w:t>
      </w:r>
    </w:p>
    <w:p w14:paraId="14E32D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6A54D4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535C8BE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4:223 (June 1978), amended LR 6:7 (January 1980), LR 9:208 (April 1983), amended by the Department of Economic Development, Board of Certified Public Accountants, LR 15:617 (August 1989), LR 23:1122 (September 1997), LR 26:1972 (September 2000), amended by the Office of the Governor, Board of Certified Public Accountants, LR 43:1903 (October 2017</w:t>
      </w:r>
      <w:r w:rsidRPr="006E50FF">
        <w:rPr>
          <w:color w:val="000000"/>
          <w:kern w:val="2"/>
          <w:sz w:val="18"/>
        </w:rPr>
        <w:t>), LR 49:651 (April 2023), LR 52:</w:t>
      </w:r>
    </w:p>
    <w:p w14:paraId="2070EB2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70" w:name="_Toc132796880"/>
      <w:r w:rsidRPr="006E50FF">
        <w:rPr>
          <w:b/>
          <w:kern w:val="2"/>
        </w:rPr>
        <w:t>Chapter 11.</w:t>
      </w:r>
      <w:bookmarkStart w:id="571" w:name="TOCT_Chap9"/>
      <w:r w:rsidRPr="006E50FF">
        <w:rPr>
          <w:b/>
          <w:kern w:val="2"/>
        </w:rPr>
        <w:tab/>
        <w:t>Issuance and Renewal of Certificate</w:t>
      </w:r>
      <w:bookmarkEnd w:id="571"/>
      <w:r w:rsidRPr="006E50FF">
        <w:rPr>
          <w:b/>
          <w:kern w:val="2"/>
        </w:rPr>
        <w:t>; Reinstatement</w:t>
      </w:r>
      <w:bookmarkEnd w:id="570"/>
    </w:p>
    <w:p w14:paraId="26FADC4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2" w:name="_Toc132796882"/>
      <w:r w:rsidRPr="006E50FF">
        <w:rPr>
          <w:b/>
          <w:kern w:val="2"/>
        </w:rPr>
        <w:t>§1103.</w:t>
      </w:r>
      <w:r w:rsidRPr="006E50FF">
        <w:rPr>
          <w:b/>
          <w:kern w:val="2"/>
        </w:rPr>
        <w:tab/>
        <w:t>By Reciprocity</w:t>
      </w:r>
      <w:bookmarkEnd w:id="572"/>
    </w:p>
    <w:p w14:paraId="00E1CC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17092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6BD16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board shall issue a certificate pursuant to R.S. 37:76(A)(1) to an applicant who holds a valid and in good standing certificate, license or permit issued by another state and whose education and experience satisfy one of the requirements for mobility practice privileges set out in §1105.E.4.i through 4.iii.</w:t>
      </w:r>
    </w:p>
    <w:p w14:paraId="1F1E73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Verification of eligibility for practice privileges under §1105.E.4.i through 4.iii may be made by the board or its designee.</w:t>
      </w:r>
    </w:p>
    <w:p w14:paraId="6E2FC4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For those applicants who do not qualify for reciprocity under the mobility standard, the board shall issue a certificate pursuant to R.S. 37:76(C)(1) to a holder of a valid and in good standing certificate, license or permit issued by another state upon showing that:</w:t>
      </w:r>
    </w:p>
    <w:p w14:paraId="39A4D1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has successfully completed the Uniform Certified Public Accountant examination. Successful completion of the examination means that the applicant passed the examination in accordance with the rules of the other state at the time it granted the applicant's initial certificate and in the opinion of the board such rules for examination are comparable to Louisiana's examination rules;</w:t>
      </w:r>
    </w:p>
    <w:p w14:paraId="030754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scores achieved by the applicant on all examinations are certified to the board by the state which issued the applicant's original certification; </w:t>
      </w:r>
    </w:p>
    <w:p w14:paraId="4B3FBE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has no less than four years’ experience as described in R.S. 37:75 during the 10 years immediately preceding the date on which the application for reciprocity certification is received by the board; and</w:t>
      </w:r>
    </w:p>
    <w:p w14:paraId="6772B4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the applicant's initial certificate, license, or permit was issued more than four years prior to the date of application, he/she must have fulfilled the continuing education requirements for a full compliance period as described in §1301.</w:t>
      </w:r>
    </w:p>
    <w:p w14:paraId="36902B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board may determine that an applicant who is not eligible for reciprocity certification under §1103.C, shall nonetheless be eligible for reciprocity certification by the board, provided that the applicant's CPA qualifications are otherwise comparable to those set out for licensure under this Part. </w:t>
      </w:r>
    </w:p>
    <w:p w14:paraId="53E057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E.1. - E.2.</w:t>
      </w:r>
      <w:r w:rsidRPr="006E50FF">
        <w:rPr>
          <w:kern w:val="2"/>
        </w:rPr>
        <w:tab/>
        <w:t>…</w:t>
      </w:r>
    </w:p>
    <w:p w14:paraId="607BAA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Complete applications for reciprocal certificates must be received in the board's office 30 days prior to a regular board meeting (§309) to be considered at that meeting.</w:t>
      </w:r>
    </w:p>
    <w:p w14:paraId="034B2F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International Reciprocity</w:t>
      </w:r>
    </w:p>
    <w:p w14:paraId="7674BA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board may designate a professional accounting credential issued in a foreign country as comparable to a CPA certificate.</w:t>
      </w:r>
    </w:p>
    <w:p w14:paraId="7723150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board may rely on the International Qualifications Appraisal Board for evaluation of foreign credential equivalency and may presume that a foreign accounting credential that is covered by a current valid mutual recognition agreement (MRA) is comparable (subject to other qualifying requirements as provided in the MRA).</w:t>
      </w:r>
    </w:p>
    <w:p w14:paraId="17EB2A6E" w14:textId="77777777" w:rsidR="006E50FF" w:rsidRPr="006E50FF" w:rsidRDefault="006E50FF" w:rsidP="006E50FF">
      <w:pPr>
        <w:tabs>
          <w:tab w:val="left" w:pos="907"/>
        </w:tabs>
        <w:ind w:firstLine="547"/>
        <w:jc w:val="both"/>
        <w:outlineLvl w:val="5"/>
        <w:rPr>
          <w:kern w:val="2"/>
        </w:rPr>
      </w:pPr>
      <w:r w:rsidRPr="006E50FF">
        <w:rPr>
          <w:kern w:val="2"/>
        </w:rPr>
        <w:t>b. - b.ii.</w:t>
      </w:r>
      <w:r w:rsidRPr="006E50FF">
        <w:rPr>
          <w:kern w:val="2"/>
        </w:rPr>
        <w:tab/>
        <w:t>…</w:t>
      </w:r>
    </w:p>
    <w:p w14:paraId="33C772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board may satisfy itself through qualifying examination(s) that the holder of a foreign credential deemed by the board to be comparable to a CPA certificate possesses adequate knowledge of U.S. standards and the board's regulations. The board may rely on the National Association of State Boards of Accountancy, the American Institute of Certified Public Accountants, or other professional bodies to develop, administer, and grade such qualifying examination(s). The board will specify the qualifying examination(s) and process by policy.</w:t>
      </w:r>
    </w:p>
    <w:p w14:paraId="059124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- 3.b.</w:t>
      </w:r>
      <w:r w:rsidRPr="006E50FF">
        <w:rPr>
          <w:kern w:val="2"/>
        </w:rPr>
        <w:tab/>
        <w:t>…</w:t>
      </w:r>
    </w:p>
    <w:p w14:paraId="2C3C93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If the applicant has a foreign credential in effect at the time of the application for renewal of the CPA certification, he/she must present documentation from the foreign accounting credential issuing body that the applicant's foreign credential has not been suspended or revoked and the applicant is not the subject of a current investigation. If the applicant for renewal no longer has a foreign credential, the applicant must present proof from the foreign credentialing body that the applicant for renewal was not the subject of any disciplinary proceedings or investigations at the time that the foreign credential lapsed; and either show completion of </w:t>
      </w:r>
      <w:r w:rsidRPr="006E50FF">
        <w:rPr>
          <w:kern w:val="2"/>
        </w:rPr>
        <w:lastRenderedPageBreak/>
        <w:t>continuing professional education comparable to that required under §1301.A within the three year period preceding renewal application, or petition the board for complete or partial waiver for the CPE requirement based on the ratio of foreign practice to practice in the state.</w:t>
      </w:r>
    </w:p>
    <w:p w14:paraId="2AF836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- 9.</w:t>
      </w:r>
      <w:r w:rsidRPr="006E50FF">
        <w:rPr>
          <w:kern w:val="2"/>
        </w:rPr>
        <w:tab/>
        <w:t>…</w:t>
      </w:r>
    </w:p>
    <w:p w14:paraId="0F5CCE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766B73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6:7 (January 1980), amended LR 9:208 (April 1983), LR 12:88 (February 1986), amended by the Department of Economic Development, Board of Certified Public Accountants, LR 17:1069 (November 1991), LR 23:1121 (September 1997), LR 26:1973 (September 2000), Office of the Governor, Board of Certified Public Accountants, LR 43:1903 (October 2017</w:t>
      </w:r>
      <w:r w:rsidRPr="006E50FF">
        <w:rPr>
          <w:color w:val="000000"/>
          <w:kern w:val="2"/>
          <w:sz w:val="18"/>
        </w:rPr>
        <w:t>), LR 52:</w:t>
      </w:r>
    </w:p>
    <w:p w14:paraId="13471F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3" w:name="_Toc132796883"/>
      <w:r w:rsidRPr="006E50FF">
        <w:rPr>
          <w:b/>
          <w:kern w:val="2"/>
        </w:rPr>
        <w:t>§1105.</w:t>
      </w:r>
      <w:r w:rsidRPr="006E50FF">
        <w:rPr>
          <w:b/>
          <w:kern w:val="2"/>
        </w:rPr>
        <w:tab/>
        <w:t xml:space="preserve">Certificate Application, Annual Renewals, Inactive or Retired Registration, Reinstatement, Practice Privileges under Mobility </w:t>
      </w:r>
      <w:bookmarkEnd w:id="573"/>
    </w:p>
    <w:p w14:paraId="2A878E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B.11.b.</w:t>
      </w:r>
      <w:r w:rsidRPr="006E50FF">
        <w:rPr>
          <w:kern w:val="2"/>
        </w:rPr>
        <w:tab/>
        <w:t>…</w:t>
      </w:r>
    </w:p>
    <w:p w14:paraId="2D646F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Failure to Comply with CPE requirements. A licensee who has renewed an active CPA license but has not satisfied the CPE report requirements as described in §1301.A shall have their certificate status changed to “CPA inactive” status effective February 1 of the renewal year in which the deficiency occurred. The certificate holder will thus be allowed to register their certificate in inactive status annually until such time as they have satisfied the requirements for reinstatement to active licensure.</w:t>
      </w:r>
    </w:p>
    <w:p w14:paraId="011D9BC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licensee who enters into either a 30-day or 90-day CPE Extension agreement shall maintain an Active status provided the agreement is satisfied as required by the board or</w:t>
      </w:r>
    </w:p>
    <w:p w14:paraId="67ED661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If a licensee renews his certificate after March 31 and has not satisfied the CPE requirements as described in §1301.A, the matter will be referred to an Investigating Officer for review or, in the alternative, the licensee’s status will change to Inactive until such time as the required number of CPE hours have been completed. During the period of Inactive status, the licensee is prohibited from performing services as a CPA in Louisiana. </w:t>
      </w:r>
    </w:p>
    <w:p w14:paraId="1972BA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C.9.</w:t>
      </w:r>
      <w:r w:rsidRPr="006E50FF">
        <w:rPr>
          <w:kern w:val="2"/>
        </w:rPr>
        <w:tab/>
        <w:t>…</w:t>
      </w:r>
    </w:p>
    <w:p w14:paraId="616027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Reinstatement of Certificate of Certified Public Accountant</w:t>
      </w:r>
    </w:p>
    <w:p w14:paraId="40D85C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 individual whose certificate has expired by virtue of nonrenewal, or who was registered in inactive or retired status because an exemption from CPE had been granted in a preceding year, shall present proof in a form satisfactory to the board that he has:</w:t>
      </w:r>
    </w:p>
    <w:p w14:paraId="4754FBC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attained one year of experience as described in R.S. 37:75(G) within the four years immediately preceding the date of the application for reinstatement; and</w:t>
      </w:r>
    </w:p>
    <w:p w14:paraId="224C8599" w14:textId="77777777" w:rsidR="006E50FF" w:rsidRPr="006E50FF" w:rsidRDefault="006E50FF" w:rsidP="006E50FF">
      <w:pPr>
        <w:tabs>
          <w:tab w:val="left" w:pos="907"/>
        </w:tabs>
        <w:ind w:firstLine="547"/>
        <w:jc w:val="both"/>
        <w:outlineLvl w:val="5"/>
        <w:rPr>
          <w:strike/>
          <w:kern w:val="2"/>
        </w:rPr>
      </w:pPr>
      <w:r w:rsidRPr="006E50FF">
        <w:rPr>
          <w:kern w:val="2"/>
        </w:rPr>
        <w:t>b.</w:t>
      </w:r>
      <w:r w:rsidRPr="006E50FF">
        <w:rPr>
          <w:kern w:val="2"/>
        </w:rPr>
        <w:tab/>
        <w:t>completed no less than 120 hours of continuing professional education complying with Chapter 13 during the three-year period preceding the date of application for reinstatement.</w:t>
      </w:r>
    </w:p>
    <w:p w14:paraId="6CADF2C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- 2.b.</w:t>
      </w:r>
      <w:r w:rsidRPr="006E50FF">
        <w:rPr>
          <w:kern w:val="2"/>
        </w:rPr>
        <w:tab/>
        <w:t>…</w:t>
      </w:r>
    </w:p>
    <w:p w14:paraId="6848B9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Practice Privileges under Mobility </w:t>
      </w:r>
    </w:p>
    <w:p w14:paraId="490DD08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 individual holding a valid active CPA license in good standing issued by another state board of accountancy, who satisfies the requirements of R.S. 37:94 and Paragraph E.4 of this Section, shall be granted the privilege to practice as a CPA in Louisiana without the need to obtain a Louisiana </w:t>
      </w:r>
      <w:r w:rsidRPr="006E50FF">
        <w:rPr>
          <w:kern w:val="2"/>
        </w:rPr>
        <w:t>certificate provided that such individual is not domiciled and does not have a principal place of business in Louisiana.</w:t>
      </w:r>
    </w:p>
    <w:p w14:paraId="3206CFEC"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2.</w:t>
      </w:r>
      <w:r w:rsidRPr="006E50FF">
        <w:rPr>
          <w:kern w:val="2"/>
        </w:rPr>
        <w:tab/>
        <w:t>An individual, under the provisions of this section, who offers or renders professional services or uses the CPA title, whether in person, by mail, telephone, electronic, or other means</w:t>
      </w:r>
      <w:r w:rsidRPr="006E50FF">
        <w:rPr>
          <w:iCs/>
          <w:kern w:val="2"/>
        </w:rPr>
        <w:t>,</w:t>
      </w:r>
      <w:r w:rsidRPr="006E50FF">
        <w:rPr>
          <w:kern w:val="2"/>
        </w:rPr>
        <w:t xml:space="preserve"> shall be granted practice privileges without the necessity of giving notice to the board or paying a fee to the board.</w:t>
      </w:r>
    </w:p>
    <w:p w14:paraId="4A635F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6158AD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Determination of Eligibility for Practice Privileges </w:t>
      </w:r>
    </w:p>
    <w:p w14:paraId="22165D4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Any individual is qualified for practice privileges if he holds a valid active CPA license in good standing issued by a state board of accountancy or equivalent agency, provided that at the time of initial licensure, the individual was required to show evidence that he passed the Uniform CPA Examination (or IQEX examination if applicable) and attained one of the following education and experience pathways: </w:t>
      </w:r>
    </w:p>
    <w:p w14:paraId="4F046A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baccalaureate or higher degree plus an additional thirty semester hours conferred by a college or university acceptable to the board, the total educational program to include an accounting concentration or equivalent as determined by the board to be appropriate and one year of qualifying experience or</w:t>
      </w:r>
    </w:p>
    <w:p w14:paraId="7784A1D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A post-baccalaureate or higher degree conferred by a college or university acceptable to the board, the total educational program to include an accounting concentration or equivalent as determined by the board to be appropriate and one year of qualifying experience or </w:t>
      </w:r>
    </w:p>
    <w:p w14:paraId="36416A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 xml:space="preserve">A baccalaureate or higher degree conferred by a college or university acceptable to the board, the total educational program to include an accounting concentration or equivalent as determined by the board to be appropriate and two years of qualifying experience. </w:t>
      </w:r>
    </w:p>
    <w:p w14:paraId="06A94A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An individual whose principal place of business is not in this state and who holds a valid active license as a certified public accountant in good standing from any state as of December 31, 2024, and who, as of such date, had practice privileges in this state under R.S. 37:94, shall continue to have all the privileges of active licensees of this state without the need to obtain a Louisiana certificate or to otherwise notify or register with the board or pay any fee. </w:t>
      </w:r>
    </w:p>
    <w:p w14:paraId="278AA9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D9CC4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t>HISTORICAL NOTE:</w:t>
      </w:r>
      <w:r w:rsidRPr="006E50FF">
        <w:rPr>
          <w:kern w:val="2"/>
          <w:sz w:val="18"/>
        </w:rPr>
        <w:tab/>
        <w:t>Adopted by the Department of Commerce, Board of Certified Public Accountants, January 1974, promulgated LR 6:9 (January 1980), amended LR 9:208 (April 1983), LR 11:758 (August 1985), amended by the Department of Economic Development, Board of Certified Public Accountants, LR 17:1070 (November 1991), LR 23:1124 (September 1997), LR 26:1974 (September 2000), amended by the Office of the Governor, Board of Certified Public Accountants, LR 32:2249 (December 2006), LR 33:2634 (December 2007), LR 34:2398 (November 2008), LR 43:1904 (October 2017</w:t>
      </w:r>
      <w:r w:rsidRPr="006E50FF">
        <w:rPr>
          <w:color w:val="000000"/>
          <w:kern w:val="2"/>
          <w:sz w:val="18"/>
        </w:rPr>
        <w:t>), LR 49:652 (April 2023), LR 52:</w:t>
      </w:r>
    </w:p>
    <w:p w14:paraId="522709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4" w:name="_Toc132796884"/>
      <w:r w:rsidRPr="006E50FF">
        <w:rPr>
          <w:b/>
          <w:kern w:val="2"/>
        </w:rPr>
        <w:t>§1107.</w:t>
      </w:r>
      <w:r w:rsidRPr="006E50FF">
        <w:rPr>
          <w:b/>
          <w:kern w:val="2"/>
        </w:rPr>
        <w:tab/>
        <w:t>Change in Address or Practice Status</w:t>
      </w:r>
      <w:bookmarkEnd w:id="574"/>
    </w:p>
    <w:p w14:paraId="3E92C7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certified public accountants, individuals registered in inactive or retired status, and individuals who have the privilege to practice under mobility shall be responsible for keeping the board informed of their current mailing address, email address, and practice status, and shall notify the board in writing of any changes within 30 days.</w:t>
      </w:r>
    </w:p>
    <w:p w14:paraId="1FF213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24DA53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lastRenderedPageBreak/>
        <w:t>HISTORICAL NOTE:</w:t>
      </w:r>
      <w:r w:rsidRPr="006E50FF">
        <w:rPr>
          <w:kern w:val="2"/>
          <w:sz w:val="18"/>
        </w:rPr>
        <w:tab/>
        <w:t>Adopted by the Department of Commerce, Board of Certified Public Accountants, January 1974, promulgated LR 6:8 (January 1980), amended by the Department of Economic Development, Board of Certified Public Accountants, LR 23:1125 (September 1997), LR 26:1976 (September 2000), amended by the Office of the Governor, Board of Certified Public Accountants, LR 43:1905 (October 2017</w:t>
      </w:r>
      <w:r w:rsidRPr="006E50FF">
        <w:rPr>
          <w:color w:val="000000"/>
          <w:kern w:val="2"/>
          <w:sz w:val="18"/>
        </w:rPr>
        <w:t>), LR 49:652 (April 2023), LR 52:</w:t>
      </w:r>
    </w:p>
    <w:p w14:paraId="66BE4A4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13.</w:t>
      </w:r>
      <w:bookmarkStart w:id="575" w:name="TOCT_Chap11"/>
      <w:r w:rsidRPr="006E50FF">
        <w:rPr>
          <w:b/>
          <w:kern w:val="2"/>
        </w:rPr>
        <w:tab/>
        <w:t>Maintenance of Competency; Continuing Professional Education (CPE)</w:t>
      </w:r>
      <w:bookmarkEnd w:id="575"/>
    </w:p>
    <w:p w14:paraId="2D3407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6" w:name="_Toc132796886"/>
      <w:r w:rsidRPr="006E50FF">
        <w:rPr>
          <w:b/>
          <w:kern w:val="2"/>
        </w:rPr>
        <w:t>§1301.</w:t>
      </w:r>
      <w:r w:rsidRPr="006E50FF">
        <w:rPr>
          <w:b/>
          <w:kern w:val="2"/>
        </w:rPr>
        <w:tab/>
        <w:t>Basic Requirements</w:t>
      </w:r>
      <w:bookmarkEnd w:id="576"/>
    </w:p>
    <w:p w14:paraId="4005B4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certificate holder shall participate in a minimum of 20 hours of continuing professional education (CPE) annually, and at least 80 hours of continuing professional education (CPE) within a rolling two-calendar-year period defined as the compliance period in §1301.F.1. </w:t>
      </w:r>
    </w:p>
    <w:p w14:paraId="35DC26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59ADFA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Personal Development Limitations. Personal development hours in excess of 20 hours during a calendar year will be disallowed and cannot be used for CPE credit. </w:t>
      </w:r>
    </w:p>
    <w:p w14:paraId="026FD88B"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4.</w:t>
      </w:r>
      <w:r w:rsidRPr="006E50FF">
        <w:rPr>
          <w:kern w:val="2"/>
        </w:rPr>
        <w:tab/>
        <w:t>…</w:t>
      </w:r>
      <w:r w:rsidRPr="006E50FF">
        <w:rPr>
          <w:strike/>
          <w:kern w:val="2"/>
        </w:rPr>
        <w:t xml:space="preserve"> </w:t>
      </w:r>
    </w:p>
    <w:p w14:paraId="17D310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Reporting. The CPE must be reported to the board no later than January 31 after the end of each December 31 calendar year. </w:t>
      </w:r>
    </w:p>
    <w:p w14:paraId="172848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Exemption</w:t>
      </w:r>
    </w:p>
    <w:p w14:paraId="7F7E09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213CD8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CPE Reciprocity. A non‐resident licensee seeking renewal of a certificate in this state shall be determined to have met the CPE requirement of this rule by meeting the CPE requirements for renewal of a certificate in the state in which the licensee’s principal place of business is located.</w:t>
      </w:r>
    </w:p>
    <w:p w14:paraId="363DB261" w14:textId="77777777" w:rsidR="006E50FF" w:rsidRPr="006E50FF" w:rsidRDefault="006E50FF" w:rsidP="006E50FF">
      <w:pPr>
        <w:tabs>
          <w:tab w:val="left" w:pos="907"/>
        </w:tabs>
        <w:ind w:firstLine="547"/>
        <w:jc w:val="both"/>
        <w:outlineLvl w:val="5"/>
        <w:rPr>
          <w:kern w:val="2"/>
        </w:rPr>
      </w:pPr>
      <w:r w:rsidRPr="006E50FF">
        <w:rPr>
          <w:kern w:val="2"/>
        </w:rPr>
        <w:t>a. - b.</w:t>
      </w:r>
      <w:r w:rsidRPr="006E50FF">
        <w:rPr>
          <w:kern w:val="2"/>
        </w:rPr>
        <w:tab/>
        <w:t>…</w:t>
      </w:r>
    </w:p>
    <w:p w14:paraId="77F0F50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However, if the non-resident licensee’s principal place of business state did not have a professional ethics requirement, they shall be required to complete the professional ethics requirements for Louisiana.</w:t>
      </w:r>
    </w:p>
    <w:p w14:paraId="71F4D3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E.1.</w:t>
      </w:r>
      <w:r w:rsidRPr="006E50FF">
        <w:rPr>
          <w:kern w:val="2"/>
        </w:rPr>
        <w:tab/>
        <w:t>…</w:t>
      </w:r>
    </w:p>
    <w:p w14:paraId="5860CE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Compliance Period</w:t>
      </w:r>
    </w:p>
    <w:p w14:paraId="14E86B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compliance period for continuing professional education is defined as a rolling two-year period ending on December 31 of each year (i.e. two-year period ending on December 31, 2026 including years 2025 and 2026, then two-year period ending on December 31, 2027 including years 2026 and 2027, and so forth.)</w:t>
      </w:r>
    </w:p>
    <w:p w14:paraId="337E44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E1095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t>HISTORICAL NOTE:</w:t>
      </w:r>
      <w:r w:rsidRPr="006E50FF">
        <w:rPr>
          <w:kern w:val="2"/>
          <w:sz w:val="18"/>
        </w:rPr>
        <w:tab/>
        <w:t xml:space="preserve">Promulgated by the Department of Commerce, Board of Certified Public Accountants, LR 6:4 (January 1980), amended LR 9:208 (April 1983), amended by the Department of Economic Development, Board of Certified Public Accountants, LR 15:614 (August 1989), LR 23:1116 (September 1997), LR 26:1976 (September 2000), </w:t>
      </w:r>
      <w:r w:rsidRPr="006E50FF">
        <w:rPr>
          <w:spacing w:val="-2"/>
          <w:kern w:val="2"/>
          <w:sz w:val="18"/>
        </w:rPr>
        <w:t xml:space="preserve">amended by the Office of the Governor, Board of Certified Public Accountants, LR 32:2249 (December 2006), </w:t>
      </w:r>
      <w:r w:rsidRPr="006E50FF">
        <w:rPr>
          <w:kern w:val="2"/>
          <w:sz w:val="18"/>
        </w:rPr>
        <w:t>LR 41:1664 (September 2015), LR 43:1905 (October 2017</w:t>
      </w:r>
      <w:r w:rsidRPr="006E50FF">
        <w:rPr>
          <w:color w:val="000000"/>
          <w:kern w:val="2"/>
          <w:sz w:val="18"/>
        </w:rPr>
        <w:t>), LR 49:652 (April 2023), LR 52:</w:t>
      </w:r>
    </w:p>
    <w:p w14:paraId="2D49C5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7" w:name="_Toc132796890"/>
      <w:r w:rsidRPr="006E50FF">
        <w:rPr>
          <w:b/>
          <w:kern w:val="2"/>
        </w:rPr>
        <w:t>§1309.</w:t>
      </w:r>
      <w:r w:rsidRPr="006E50FF">
        <w:rPr>
          <w:b/>
          <w:kern w:val="2"/>
        </w:rPr>
        <w:tab/>
        <w:t>Credit Hours Granted</w:t>
      </w:r>
      <w:bookmarkEnd w:id="577"/>
    </w:p>
    <w:p w14:paraId="021EB2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B.5.</w:t>
      </w:r>
      <w:r w:rsidRPr="006E50FF">
        <w:rPr>
          <w:kern w:val="2"/>
        </w:rPr>
        <w:tab/>
        <w:t>…</w:t>
      </w:r>
    </w:p>
    <w:p w14:paraId="6E9FBB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Service as Lecturer or Speaker</w:t>
      </w:r>
    </w:p>
    <w:p w14:paraId="00FA9F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29D5B2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maximum credit allowed for teaching and preparation cannot exceed 20 hours of continuing professional education earned in a calendar year; excess hours in a calendar year cannot be used for CPE credit. </w:t>
      </w:r>
    </w:p>
    <w:p w14:paraId="0638E6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Writing of Published Articles, Books, CPE Programs, etc.</w:t>
      </w:r>
    </w:p>
    <w:p w14:paraId="500199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686C12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maximum credit allowed for preparation of articles and books cannot exceed 10 hours of continuing professional education earned in a calendar year; excess hours in a calendar year cannot be used for CPE credit. </w:t>
      </w:r>
    </w:p>
    <w:p w14:paraId="150990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Credit, if any, will be allowed only after the article or book is published.</w:t>
      </w:r>
    </w:p>
    <w:p w14:paraId="2AF529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E.2.</w:t>
      </w:r>
      <w:r w:rsidRPr="006E50FF">
        <w:rPr>
          <w:kern w:val="2"/>
        </w:rPr>
        <w:tab/>
        <w:t>…</w:t>
      </w:r>
    </w:p>
    <w:p w14:paraId="1A55CA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Completion of Board-Approved Exams</w:t>
      </w:r>
    </w:p>
    <w:p w14:paraId="6852F2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CPE credit may be allowed for the successful completion of exams as may be approved by the board from time-to-time.</w:t>
      </w:r>
    </w:p>
    <w:p w14:paraId="51213C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Credit will be awarded one time only at a rate of 5 times the length of each exam passed (or exam section passed). The maximum credit allowed for the successful completion of board approved exams will be limited to 20 hours of continuing professional education earned in a calendar year; excess hours in a calendar year cannot be used for CPE credit. </w:t>
      </w:r>
    </w:p>
    <w:p w14:paraId="031DD5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G.3.</w:t>
      </w:r>
      <w:r w:rsidRPr="006E50FF">
        <w:rPr>
          <w:kern w:val="2"/>
        </w:rPr>
        <w:tab/>
        <w:t>…</w:t>
      </w:r>
    </w:p>
    <w:p w14:paraId="2A8AF0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2F2B3A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6:5 (January 1980), amended LR 11:757 (August 1985), LR 13:13 (January 1987), amended by the Department of Economic Development, Board of Certified Public Accountants, LR 15:615 (August 1989), LR 17:1068 (November 1991), LR 23:1117 (September 1997), LR 26:1978 (September 2000), amended by the Office of the Governor, Board of Certified Public Accountants, LR 34:2562 (December 2008), LR 41:1665 (September 2015</w:t>
      </w:r>
      <w:r w:rsidRPr="006E50FF">
        <w:rPr>
          <w:color w:val="000000"/>
          <w:kern w:val="2"/>
          <w:sz w:val="18"/>
        </w:rPr>
        <w:t>), LR 52:</w:t>
      </w:r>
    </w:p>
    <w:p w14:paraId="2863711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78" w:name="_Toc132796892"/>
      <w:r w:rsidRPr="006E50FF">
        <w:rPr>
          <w:b/>
          <w:kern w:val="2"/>
        </w:rPr>
        <w:t>Chapter 15.</w:t>
      </w:r>
      <w:r w:rsidRPr="006E50FF">
        <w:rPr>
          <w:b/>
          <w:kern w:val="2"/>
        </w:rPr>
        <w:tab/>
        <w:t>Firm Permits to Practice; Attest Experience; Peer Review</w:t>
      </w:r>
      <w:bookmarkEnd w:id="578"/>
    </w:p>
    <w:p w14:paraId="09F667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9" w:name="_Toc132796893"/>
      <w:r w:rsidRPr="006E50FF">
        <w:rPr>
          <w:b/>
          <w:kern w:val="2"/>
        </w:rPr>
        <w:t>§1501.</w:t>
      </w:r>
      <w:r w:rsidRPr="006E50FF">
        <w:rPr>
          <w:b/>
          <w:kern w:val="2"/>
        </w:rPr>
        <w:tab/>
        <w:t>CPA Firm Permits; Attest Experience; Application, Renewal, Reinstatement; Internet Practice</w:t>
      </w:r>
      <w:bookmarkEnd w:id="579"/>
      <w:r w:rsidRPr="006E50FF">
        <w:rPr>
          <w:b/>
          <w:kern w:val="2"/>
        </w:rPr>
        <w:t xml:space="preserve"> </w:t>
      </w:r>
    </w:p>
    <w:p w14:paraId="4CF36B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B.4.</w:t>
      </w:r>
      <w:r w:rsidRPr="006E50FF">
        <w:rPr>
          <w:kern w:val="2"/>
        </w:rPr>
        <w:tab/>
        <w:t>…</w:t>
      </w:r>
    </w:p>
    <w:p w14:paraId="317E54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Firm Permits</w:t>
      </w:r>
    </w:p>
    <w:p w14:paraId="566A80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- 2.i.</w:t>
      </w:r>
      <w:r w:rsidRPr="006E50FF">
        <w:rPr>
          <w:kern w:val="2"/>
        </w:rPr>
        <w:tab/>
        <w:t>…</w:t>
      </w:r>
    </w:p>
    <w:p w14:paraId="4ED89C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In the event of any change in the legal form and/or name change of a firm, such new firm shall within 30 days of the change file a change of entity/name change form and pay the required fee. </w:t>
      </w:r>
    </w:p>
    <w:p w14:paraId="6701B1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- 10.</w:t>
      </w:r>
      <w:r w:rsidRPr="006E50FF">
        <w:rPr>
          <w:kern w:val="2"/>
        </w:rPr>
        <w:tab/>
        <w:t xml:space="preserve">… </w:t>
      </w:r>
    </w:p>
    <w:p w14:paraId="46F93B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Firm Permit Renewals</w:t>
      </w:r>
    </w:p>
    <w:p w14:paraId="627D4A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Permits shall expire on the last day of each calendar year, or such date following December 31 if another date is determined by the board for good cause. Firm Permit renewals shall be made available and filed generally in accordance with methods established for certificate renewals, i.e., renewals are due by December 31. The renewal forms shall contain all of the items and information requested in the appropriate space in order to be acceptable. Permits are delinquent if not renewed prior to February 1, and expiration notices will be sent on March 1.</w:t>
      </w:r>
    </w:p>
    <w:p w14:paraId="7BA64B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D.2. - F.</w:t>
      </w:r>
      <w:r w:rsidRPr="006E50FF">
        <w:rPr>
          <w:kern w:val="2"/>
        </w:rPr>
        <w:tab/>
        <w:t>…</w:t>
      </w:r>
    </w:p>
    <w:p w14:paraId="35B8B9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ABE70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Adopted by the Department of Commerce, Board of Certified Public Accountants, January 1974, promulgated LR 3:308 (July 1997), amended LR 6:9 (January 1980), </w:t>
      </w:r>
      <w:r w:rsidRPr="006E50FF">
        <w:rPr>
          <w:kern w:val="2"/>
          <w:sz w:val="18"/>
        </w:rPr>
        <w:br w:type="page"/>
      </w:r>
      <w:r w:rsidRPr="006E50FF">
        <w:rPr>
          <w:kern w:val="2"/>
          <w:sz w:val="18"/>
        </w:rPr>
        <w:lastRenderedPageBreak/>
        <w:t>amended LR 9:209 (April 1983), amended by the Department of Economic Development, Board of Certified Public Accountants, LR 17:1070 (November 1991), LR 23:1124 (September 1997), LR 26:1980 (September 2000), amended by the Office of the Governor, Board of Certified Public Accountants, LR 32:2249 (December 2006), LR 33:2634 (December 2007), LR 34:2399 (November 2008), LR 43:1905 (October 2017</w:t>
      </w:r>
      <w:r w:rsidRPr="006E50FF">
        <w:rPr>
          <w:color w:val="000000"/>
          <w:kern w:val="2"/>
          <w:sz w:val="18"/>
        </w:rPr>
        <w:t>), LR 49:652 (April 2023), LR 52:</w:t>
      </w:r>
    </w:p>
    <w:p w14:paraId="46F2BB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0" w:name="_Toc132796894"/>
      <w:r w:rsidRPr="006E50FF">
        <w:rPr>
          <w:b/>
          <w:kern w:val="2"/>
        </w:rPr>
        <w:t>§1503.</w:t>
      </w:r>
      <w:r w:rsidRPr="006E50FF">
        <w:rPr>
          <w:b/>
          <w:kern w:val="2"/>
        </w:rPr>
        <w:tab/>
        <w:t>Peer Review and Practice Monitoring Programs</w:t>
      </w:r>
      <w:bookmarkEnd w:id="580"/>
    </w:p>
    <w:p w14:paraId="6916E6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2E85DF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Peer reviews shall be administered by the Society of Louisiana Certified Public Accountants (LCPA) or by another board approved administering entity or sponsoring organization, such as, a state society of CPAs, the National Peer Review Committee, or state board of accountancy program with standards comparable to the AICPA's standards.</w:t>
      </w:r>
    </w:p>
    <w:p w14:paraId="60CB596E"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3. - 4.a.</w:t>
      </w:r>
      <w:r w:rsidRPr="006E50FF">
        <w:rPr>
          <w:kern w:val="2"/>
        </w:rPr>
        <w:tab/>
        <w:t>…</w:t>
      </w:r>
    </w:p>
    <w:p w14:paraId="7432AB0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For reviews administered by another board approved administering entity or sponsoring organization, such as, a state society of CPAs, National Peer Review Committee, or state board of accountancy program with standards comparable to the AICPA's standards, peer review reports shall be submitted to the board by the firm directly or made available or submitted to the board by the sponsoring organization or administering entity by making them available on a secure website or other secure means. Such reports must be submitted or made available within 45 days of the acceptance date.</w:t>
      </w:r>
    </w:p>
    <w:p w14:paraId="56D7EB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A.5. - E.4.f.</w:t>
      </w:r>
      <w:r w:rsidRPr="006E50FF">
        <w:rPr>
          <w:kern w:val="2"/>
        </w:rPr>
        <w:tab/>
        <w:t>…</w:t>
      </w:r>
    </w:p>
    <w:p w14:paraId="347C3E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1D798A1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Economic Development, Board of Certified Public Accountants, LR 17:1071 (November 1991), amended LR 23:1125 (September 1997), LR 26:1981 (September 2000), LR 35:236 (February 2009), LR 43:1907 (October 2017</w:t>
      </w:r>
      <w:r w:rsidRPr="006E50FF">
        <w:rPr>
          <w:color w:val="000000"/>
          <w:kern w:val="2"/>
          <w:sz w:val="18"/>
        </w:rPr>
        <w:t>), LR 52:</w:t>
      </w:r>
    </w:p>
    <w:p w14:paraId="5AB32B0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81" w:name="TOC_Chap15"/>
      <w:bookmarkStart w:id="582" w:name="_Toc132796895"/>
      <w:r w:rsidRPr="006E50FF">
        <w:rPr>
          <w:b/>
          <w:kern w:val="2"/>
        </w:rPr>
        <w:t>Chapter 17.</w:t>
      </w:r>
      <w:bookmarkStart w:id="583" w:name="TOCT_Chap15"/>
      <w:bookmarkEnd w:id="581"/>
      <w:r w:rsidRPr="006E50FF">
        <w:rPr>
          <w:b/>
          <w:kern w:val="2"/>
        </w:rPr>
        <w:tab/>
        <w:t>Rules of Professional Conduct</w:t>
      </w:r>
      <w:bookmarkEnd w:id="582"/>
      <w:bookmarkEnd w:id="583"/>
    </w:p>
    <w:p w14:paraId="2687B9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4" w:name="_Toc132796898"/>
      <w:r w:rsidRPr="006E50FF">
        <w:rPr>
          <w:b/>
          <w:kern w:val="2"/>
        </w:rPr>
        <w:t>§1707.</w:t>
      </w:r>
      <w:r w:rsidRPr="006E50FF">
        <w:rPr>
          <w:b/>
          <w:kern w:val="2"/>
        </w:rPr>
        <w:tab/>
        <w:t>Other Responsibilities and Practices</w:t>
      </w:r>
      <w:bookmarkEnd w:id="584"/>
    </w:p>
    <w:p w14:paraId="3FEC5E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69E2BC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Applicability. All of the rules of professional conduct shall apply to and be observed by Louisiana licensees and CPAs licensed in other states who may be granted rights under the comparable provisions of R.S. 37:94. Notwithstanding anything herein to the contrary, they shall also apply to and be observed by individuals registered in inactive or retired status, where applicable.</w:t>
      </w:r>
    </w:p>
    <w:p w14:paraId="3A7598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Cooperation with Board Inquiry or Investigation. A certificate holder, or CPA licensed in another state who has provided professional services to Louisiana clients, or CPA licensed in another state who may be granted rights under the comparable provisions of R.S. 37:94, shall fully cooperate with the board in connection with any inquiry or investigation made by the board. Full cooperation includes, but is not limited to, fully responding in a timely manner to all inquiries of the board or representatives of the board and claiming board correspondence from the U.S. Postal Service and from other delivery services used by the board.</w:t>
      </w:r>
    </w:p>
    <w:p w14:paraId="4C7785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w:t>
      </w:r>
    </w:p>
    <w:p w14:paraId="203AE0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DCC6A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pacing w:val="-2"/>
          <w:kern w:val="2"/>
          <w:sz w:val="18"/>
        </w:rPr>
      </w:pPr>
      <w:r w:rsidRPr="006E50FF">
        <w:rPr>
          <w:kern w:val="2"/>
          <w:sz w:val="18"/>
        </w:rPr>
        <w:t>HISTORICAL NOTE:</w:t>
      </w:r>
      <w:r w:rsidRPr="006E50FF">
        <w:rPr>
          <w:kern w:val="2"/>
          <w:sz w:val="18"/>
        </w:rPr>
        <w:tab/>
        <w:t xml:space="preserve">Promulgated by the Department of Commerce, Board of Certified Public Accountants, LR 3:308 (July 1977), amended 4:358 (October 1978), LR 6:3 (January 1980), LR 9:207 (April 1983), amended by the Department of Economic Development, Board of Certified Public Accountants, LR 17:1068 </w:t>
      </w:r>
      <w:r w:rsidRPr="006E50FF">
        <w:rPr>
          <w:kern w:val="2"/>
          <w:sz w:val="18"/>
        </w:rPr>
        <w:t>(November 1991), LR 23:1115 (September 1997), LR 26:1985 (September 2000),</w:t>
      </w:r>
      <w:r w:rsidRPr="006E50FF">
        <w:rPr>
          <w:spacing w:val="-2"/>
          <w:kern w:val="2"/>
          <w:sz w:val="18"/>
        </w:rPr>
        <w:t xml:space="preserve"> amended by the Office of the Governor, Board of Certified Public Accountants, LR 32:2252 (December 2006), </w:t>
      </w:r>
      <w:r w:rsidRPr="006E50FF">
        <w:rPr>
          <w:kern w:val="2"/>
          <w:sz w:val="18"/>
        </w:rPr>
        <w:t>LR 43:1908 (October 2017</w:t>
      </w:r>
      <w:r w:rsidRPr="006E50FF">
        <w:rPr>
          <w:color w:val="000000"/>
          <w:kern w:val="2"/>
          <w:sz w:val="18"/>
        </w:rPr>
        <w:t>), LR 49:653 (April 2023</w:t>
      </w:r>
      <w:r w:rsidRPr="006E50FF">
        <w:rPr>
          <w:kern w:val="2"/>
          <w:sz w:val="18"/>
        </w:rPr>
        <w:t>), repromulgated LR 49:865 (May 2023</w:t>
      </w:r>
      <w:r w:rsidRPr="006E50FF">
        <w:rPr>
          <w:color w:val="000000"/>
          <w:kern w:val="2"/>
          <w:sz w:val="18"/>
        </w:rPr>
        <w:t>), LR 52:</w:t>
      </w:r>
    </w:p>
    <w:p w14:paraId="761AF70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85" w:name="_Toc132796899"/>
      <w:r w:rsidRPr="006E50FF">
        <w:rPr>
          <w:b/>
          <w:kern w:val="2"/>
        </w:rPr>
        <w:t>Chapter 19.</w:t>
      </w:r>
      <w:bookmarkStart w:id="586" w:name="TOCT_Chap16"/>
      <w:r w:rsidRPr="006E50FF">
        <w:rPr>
          <w:b/>
          <w:kern w:val="2"/>
        </w:rPr>
        <w:tab/>
        <w:t>Investigations; Hearings; Suspension, Revocations or Restrictions; Reinstatements</w:t>
      </w:r>
      <w:bookmarkEnd w:id="585"/>
      <w:bookmarkEnd w:id="586"/>
    </w:p>
    <w:p w14:paraId="0383292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7" w:name="_Toc132796902"/>
      <w:r w:rsidRPr="006E50FF">
        <w:rPr>
          <w:b/>
          <w:kern w:val="2"/>
        </w:rPr>
        <w:t>§1905.</w:t>
      </w:r>
      <w:r w:rsidRPr="006E50FF">
        <w:rPr>
          <w:b/>
          <w:kern w:val="2"/>
        </w:rPr>
        <w:tab/>
        <w:t>Investigations</w:t>
      </w:r>
      <w:bookmarkEnd w:id="587"/>
    </w:p>
    <w:p w14:paraId="59CD6D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39017A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the investigating officer determines that "probable cause" exists, a written notice shall be mailed to the respondent in accordance with R.S. 49:977.3 (C) of the Louisiana Administrative Procedure Act, affording the respondent an opportunity to demonstrate that he is not in violation of applicable rules, regulations and/or statutes.</w:t>
      </w:r>
    </w:p>
    <w:p w14:paraId="08B3F0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D.1. - F.</w:t>
      </w:r>
      <w:r w:rsidRPr="006E50FF">
        <w:rPr>
          <w:kern w:val="2"/>
        </w:rPr>
        <w:tab/>
        <w:t>…</w:t>
      </w:r>
    </w:p>
    <w:p w14:paraId="7A2BDA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7F788A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Economic Development, Board of Certified Public Accountants, LR 26:1987 (September 2000</w:t>
      </w:r>
      <w:r w:rsidRPr="006E50FF">
        <w:rPr>
          <w:color w:val="000000"/>
          <w:kern w:val="2"/>
          <w:sz w:val="18"/>
        </w:rPr>
        <w:t>), LR 52:</w:t>
      </w:r>
    </w:p>
    <w:p w14:paraId="4E6B38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8" w:name="_Toc132796904"/>
      <w:r w:rsidRPr="006E50FF">
        <w:rPr>
          <w:b/>
          <w:kern w:val="2"/>
        </w:rPr>
        <w:t>§1909.</w:t>
      </w:r>
      <w:r w:rsidRPr="006E50FF">
        <w:rPr>
          <w:b/>
          <w:kern w:val="2"/>
        </w:rPr>
        <w:tab/>
        <w:t>Hearing</w:t>
      </w:r>
      <w:bookmarkEnd w:id="588"/>
    </w:p>
    <w:p w14:paraId="026EE3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730BDD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Subpoenas issued by the board pursuant to R.S. 37:80(B) shall be signed and issued by the executive director of the board, or in his absence a designee of the board. Subpoenas shall be issued upon request of the respondent, complaint counsel, or an investigating officer. The issuance of subpoenas is governed by R.S. 49:975.1 of the Louisiana Administrative Procedure Act.</w:t>
      </w:r>
    </w:p>
    <w:p w14:paraId="292FE0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R.</w:t>
      </w:r>
      <w:r w:rsidRPr="006E50FF">
        <w:rPr>
          <w:kern w:val="2"/>
        </w:rPr>
        <w:tab/>
        <w:t>…</w:t>
      </w:r>
    </w:p>
    <w:p w14:paraId="2CB852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w:t>
      </w:r>
      <w:r w:rsidRPr="006E50FF">
        <w:rPr>
          <w:kern w:val="2"/>
        </w:rPr>
        <w:tab/>
        <w:t>Information concerning any board action against a respondent may be forwarded to National Association of State Boards of Accountancy (NASBA) Accountancy Licensee Database for inclusion in their database and reports of disciplinary actions, unless a petition for review has been filed by the respondent in which case the forwarding of information to NASBA shall await the resolution of such review. If the resolution is in favor of the respondent, no information shall be forwarded to NASBA.</w:t>
      </w:r>
    </w:p>
    <w:p w14:paraId="36497E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Rehearings may be granted by the board as specified in R.S. 49:977.1of the Louisiana Administrative Procedure Act.</w:t>
      </w:r>
    </w:p>
    <w:p w14:paraId="3C9586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 - V.</w:t>
      </w:r>
      <w:r w:rsidRPr="006E50FF">
        <w:rPr>
          <w:kern w:val="2"/>
        </w:rPr>
        <w:tab/>
        <w:t>…</w:t>
      </w:r>
    </w:p>
    <w:p w14:paraId="4F5509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C5983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6:9 (January 1980), amended by the Department of Economic Development, Board of Certified Public Accountants, LR 23:1126 (September 1997), LR 26:1988 (September 2000),</w:t>
      </w:r>
      <w:r w:rsidRPr="006E50FF">
        <w:rPr>
          <w:spacing w:val="-2"/>
          <w:kern w:val="2"/>
          <w:sz w:val="18"/>
        </w:rPr>
        <w:t xml:space="preserve"> amended by the Office of the Governor, Board of Certified Public Accountants, LR </w:t>
      </w:r>
      <w:r w:rsidRPr="006E50FF">
        <w:rPr>
          <w:kern w:val="2"/>
          <w:sz w:val="18"/>
        </w:rPr>
        <w:t>33:2636 (December 2007), LR 43:1909 (October 2017</w:t>
      </w:r>
      <w:r w:rsidRPr="006E50FF">
        <w:rPr>
          <w:color w:val="000000"/>
          <w:kern w:val="2"/>
          <w:sz w:val="18"/>
        </w:rPr>
        <w:t>), LR 49:654 (April 2023), LR 52:</w:t>
      </w:r>
    </w:p>
    <w:p w14:paraId="611BB06C" w14:textId="77777777" w:rsidR="006E50FF" w:rsidRPr="006E50FF" w:rsidRDefault="006E50FF" w:rsidP="006E50FF">
      <w:pPr>
        <w:keepNext/>
        <w:jc w:val="center"/>
        <w:rPr>
          <w:b/>
          <w:kern w:val="28"/>
        </w:rPr>
      </w:pPr>
      <w:r w:rsidRPr="006E50FF">
        <w:rPr>
          <w:b/>
          <w:kern w:val="28"/>
        </w:rPr>
        <w:t>Family Impact Statement</w:t>
      </w:r>
    </w:p>
    <w:p w14:paraId="7E4BFF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44965474" w14:textId="77777777" w:rsidR="006E50FF" w:rsidRPr="006E50FF" w:rsidRDefault="006E50FF" w:rsidP="006E50FF">
      <w:pPr>
        <w:keepNext/>
        <w:jc w:val="center"/>
        <w:rPr>
          <w:b/>
          <w:kern w:val="28"/>
        </w:rPr>
      </w:pPr>
      <w:r w:rsidRPr="006E50FF">
        <w:rPr>
          <w:b/>
          <w:kern w:val="28"/>
        </w:rPr>
        <w:t>Poverty Impact Statement</w:t>
      </w:r>
    </w:p>
    <w:p w14:paraId="5632B6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854 of the 2012 Regular Session of the Louisiana Legislature, the poverty impact of this proposed Rule has been considered. It is anticipated that this proposed </w:t>
      </w:r>
      <w:r w:rsidRPr="006E50FF">
        <w:rPr>
          <w:kern w:val="2"/>
        </w:rPr>
        <w:lastRenderedPageBreak/>
        <w:t>Rule will have no impact on child, individual, or family poverty in relation to individual or community asset development as described in R.S. 49:973.</w:t>
      </w:r>
    </w:p>
    <w:p w14:paraId="728BE268" w14:textId="77777777" w:rsidR="006E50FF" w:rsidRPr="006E50FF" w:rsidRDefault="006E50FF" w:rsidP="006E50FF">
      <w:pPr>
        <w:keepNext/>
        <w:jc w:val="center"/>
        <w:rPr>
          <w:b/>
          <w:kern w:val="28"/>
        </w:rPr>
      </w:pPr>
      <w:r w:rsidRPr="006E50FF">
        <w:rPr>
          <w:b/>
          <w:kern w:val="28"/>
        </w:rPr>
        <w:t>Small Business Analysis</w:t>
      </w:r>
    </w:p>
    <w:p w14:paraId="7B79A5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small businesses.</w:t>
      </w:r>
    </w:p>
    <w:p w14:paraId="04DFF9A1" w14:textId="77777777" w:rsidR="006E50FF" w:rsidRPr="006E50FF" w:rsidRDefault="006E50FF" w:rsidP="006E50FF">
      <w:pPr>
        <w:keepNext/>
        <w:jc w:val="center"/>
        <w:rPr>
          <w:b/>
          <w:kern w:val="28"/>
        </w:rPr>
      </w:pPr>
      <w:r w:rsidRPr="006E50FF">
        <w:rPr>
          <w:b/>
          <w:kern w:val="28"/>
        </w:rPr>
        <w:t>Provider Impact Statement</w:t>
      </w:r>
    </w:p>
    <w:p w14:paraId="1F7838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HCR 170 of the 2014 Regular Session of the Louisiana Legislature, the impact of the proposed amendments on organizations that provide services for individuals with development disabilities has been considered. It is not anticipated that the proposed amendments will have any impact on the staffing, cost or overall ability of such organizations to provide the same level of services, as described in HCR 170. </w:t>
      </w:r>
    </w:p>
    <w:p w14:paraId="6215DA1C" w14:textId="77777777" w:rsidR="006E50FF" w:rsidRPr="006E50FF" w:rsidRDefault="006E50FF" w:rsidP="006E50FF">
      <w:pPr>
        <w:keepNext/>
        <w:jc w:val="center"/>
        <w:rPr>
          <w:b/>
          <w:kern w:val="28"/>
        </w:rPr>
      </w:pPr>
      <w:r w:rsidRPr="006E50FF">
        <w:rPr>
          <w:b/>
          <w:kern w:val="28"/>
        </w:rPr>
        <w:t>Public Comments</w:t>
      </w:r>
    </w:p>
    <w:p w14:paraId="7B5D5E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to Lisa A. Benefield, Esq., Executive Director, State Board of Certified Public Accountants of Louisiana, 601 Poydras Street, Suite 1770, New Orleans, LA 70130, (504) 566-1244. She is responsible for responding to inquiries. Written comments will be accepted until 4:30 p.m. on October 21, 2026. </w:t>
      </w:r>
    </w:p>
    <w:p w14:paraId="47EF1369" w14:textId="77777777" w:rsidR="006E50FF" w:rsidRPr="006E50FF" w:rsidRDefault="006E50FF" w:rsidP="006E50FF">
      <w:pPr>
        <w:keepNext/>
        <w:jc w:val="center"/>
        <w:rPr>
          <w:b/>
          <w:kern w:val="28"/>
        </w:rPr>
      </w:pPr>
      <w:r w:rsidRPr="006E50FF">
        <w:rPr>
          <w:b/>
          <w:kern w:val="28"/>
        </w:rPr>
        <w:t>Public Hearing</w:t>
      </w:r>
    </w:p>
    <w:p w14:paraId="39C87D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request pursuant to R.S. 49:961(B)(2) for a public hearing must be made in writing and received by the Board within 20 days of the date of this notice. If a public hearing is requested to provide data, views, arguments, information or comments in accordance with the Louisiana Administrative Procedures Act, the hearing will be held on November 4, 2026 at 3 p.m. at the office of the State Board of Certified Public Accountants of Louisiana, 601 Poydras Street, Suite 1770, New Orleans, LA 70130. Any person wishing to attend should call Lisa A. Benefield at (504) 566-1244 to confirm that a hearing is being held. </w:t>
      </w:r>
    </w:p>
    <w:p w14:paraId="5B86A0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6BC09DC" w14:textId="77777777" w:rsidR="006E50FF" w:rsidRPr="006E50FF" w:rsidRDefault="006E50FF" w:rsidP="006E50FF">
      <w:pPr>
        <w:keepNext/>
        <w:ind w:left="2160"/>
        <w:jc w:val="both"/>
      </w:pPr>
      <w:r w:rsidRPr="006E50FF">
        <w:t>Lisa A. Benefield, Esq.</w:t>
      </w:r>
    </w:p>
    <w:p w14:paraId="06D30E26" w14:textId="77777777" w:rsidR="006E50FF" w:rsidRPr="006E50FF" w:rsidRDefault="006E50FF" w:rsidP="006E50FF">
      <w:pPr>
        <w:keepNext/>
        <w:ind w:left="2160"/>
        <w:jc w:val="both"/>
      </w:pPr>
      <w:r w:rsidRPr="006E50FF">
        <w:t xml:space="preserve">Executive Director </w:t>
      </w:r>
    </w:p>
    <w:p w14:paraId="69D27762" w14:textId="77777777" w:rsidR="006E50FF" w:rsidRPr="006E50FF" w:rsidRDefault="006E50FF" w:rsidP="006E50FF">
      <w:pPr>
        <w:keepNext/>
        <w:jc w:val="center"/>
        <w:rPr>
          <w:b/>
        </w:rPr>
      </w:pPr>
    </w:p>
    <w:p w14:paraId="4A3AD18E" w14:textId="77777777" w:rsidR="006E50FF" w:rsidRPr="006E50FF" w:rsidRDefault="006E50FF" w:rsidP="006E50FF">
      <w:pPr>
        <w:keepNext/>
        <w:jc w:val="center"/>
        <w:rPr>
          <w:b/>
        </w:rPr>
      </w:pPr>
      <w:r w:rsidRPr="006E50FF">
        <w:rPr>
          <w:b/>
        </w:rPr>
        <w:t>FISCAL AND ECONOMIC IMPACT STATEMENT FOR ADMINISTRATIVE RULES</w:t>
      </w:r>
    </w:p>
    <w:p w14:paraId="4D85FE17" w14:textId="77777777" w:rsidR="006E50FF" w:rsidRPr="006E50FF" w:rsidRDefault="006E50FF" w:rsidP="006E50FF">
      <w:pPr>
        <w:keepNext/>
        <w:jc w:val="center"/>
        <w:rPr>
          <w:b/>
          <w:noProof/>
        </w:rPr>
      </w:pPr>
      <w:r w:rsidRPr="006E50FF">
        <w:rPr>
          <w:b/>
          <w:noProof/>
        </w:rPr>
        <w:t>RULE TITLE:  Certified Public Accountants</w:t>
      </w:r>
    </w:p>
    <w:p w14:paraId="287199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9192D4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5EB5F87" w14:textId="77777777" w:rsidR="006E50FF" w:rsidRPr="006E50FF" w:rsidRDefault="006E50FF" w:rsidP="006E50FF">
      <w:pPr>
        <w:ind w:left="288" w:firstLine="288"/>
        <w:jc w:val="both"/>
        <w:rPr>
          <w:noProof/>
          <w:sz w:val="18"/>
        </w:rPr>
      </w:pPr>
      <w:r w:rsidRPr="006E50FF">
        <w:rPr>
          <w:noProof/>
          <w:sz w:val="18"/>
        </w:rPr>
        <w:t>The State Board of Certified Public Accountants anticipates one-time costs of approximately $2,000 associated with public notice, rule publication, and, if necessary, attorney fees for guidance during the promulgation process. However, implementation of the proposed rule can be accomplished utilizing existing personnel, procedures, and resources and will result in no fiscal impact. No ongoing costs are anticipated.</w:t>
      </w:r>
    </w:p>
    <w:p w14:paraId="71BC8A3E" w14:textId="77777777" w:rsidR="006E50FF" w:rsidRPr="006E50FF" w:rsidRDefault="006E50FF" w:rsidP="006E50FF">
      <w:pPr>
        <w:ind w:left="288" w:firstLine="288"/>
        <w:jc w:val="both"/>
        <w:rPr>
          <w:sz w:val="18"/>
        </w:rPr>
      </w:pPr>
      <w:r w:rsidRPr="006E50FF">
        <w:rPr>
          <w:sz w:val="18"/>
        </w:rPr>
        <w:t>The proposed revisions update the Board’s rules to conform with the Louisiana Accountancy Act, as amended by Act 653 of the 2026 Legislative Session. The revisions address licensure, CPA examination requirements, continuing professional education, practice privileges, firm permits, statutory references, and related terminology and reporting requirements.</w:t>
      </w:r>
    </w:p>
    <w:p w14:paraId="6910624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4985F38" w14:textId="77777777" w:rsidR="006E50FF" w:rsidRPr="006E50FF" w:rsidRDefault="006E50FF" w:rsidP="006E50FF">
      <w:pPr>
        <w:ind w:left="288" w:firstLine="288"/>
        <w:jc w:val="both"/>
        <w:rPr>
          <w:sz w:val="18"/>
        </w:rPr>
      </w:pPr>
      <w:r w:rsidRPr="006E50FF">
        <w:rPr>
          <w:sz w:val="18"/>
        </w:rPr>
        <w:t xml:space="preserve">The proposed rule may result in a slight increase in revenue from additional CPA licensure applications under the third </w:t>
      </w:r>
      <w:r w:rsidRPr="006E50FF">
        <w:rPr>
          <w:sz w:val="18"/>
        </w:rPr>
        <w:t>pathway. Any increase is expected to be modest in the near term and cannot be reasonably quantified.</w:t>
      </w:r>
    </w:p>
    <w:p w14:paraId="5489BE1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34F1F0C" w14:textId="77777777" w:rsidR="006E50FF" w:rsidRPr="006E50FF" w:rsidRDefault="006E50FF" w:rsidP="006E50FF">
      <w:pPr>
        <w:ind w:left="288" w:firstLine="288"/>
        <w:jc w:val="both"/>
        <w:rPr>
          <w:sz w:val="18"/>
        </w:rPr>
      </w:pPr>
      <w:r w:rsidRPr="006E50FF">
        <w:rPr>
          <w:sz w:val="18"/>
        </w:rPr>
        <w:t>The proposed rule is expected to provide an economic benefit to individuals seeking CPA licensure by establishing an additional pathway that allows qualifying accounting graduates to obtain a bachelor’s degree without completing an additional 30 college credit hours or a master’s degree. This change is expected to reduce education-related costs and allow eligible individuals to enter the workforce sooner and begin obtaining the required professional experience. The specific amount of savings will vary by individual and cannot be reasonably estimated.</w:t>
      </w:r>
    </w:p>
    <w:p w14:paraId="4D66F842"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24EE135" w14:textId="77777777" w:rsidR="006E50FF" w:rsidRPr="006E50FF" w:rsidRDefault="006E50FF" w:rsidP="006E50FF">
      <w:pPr>
        <w:ind w:left="288" w:firstLine="288"/>
        <w:jc w:val="both"/>
        <w:rPr>
          <w:sz w:val="18"/>
        </w:rPr>
      </w:pPr>
      <w:r w:rsidRPr="006E50FF">
        <w:rPr>
          <w:sz w:val="18"/>
        </w:rPr>
        <w:t>The proposed rule is expected to have a positive effect on competition and employment by expanding the pathway to CPA licensure and reducing barriers to entry. The additional pathway may increase the supply of licensed CPAs available to public accounting firms and business and industry employers.</w:t>
      </w:r>
    </w:p>
    <w:p w14:paraId="272270F1" w14:textId="77777777" w:rsidR="006E50FF" w:rsidRPr="006E50FF" w:rsidRDefault="006E50FF" w:rsidP="006E50FF">
      <w:pPr>
        <w:ind w:left="288" w:firstLine="288"/>
        <w:jc w:val="both"/>
        <w:rPr>
          <w:sz w:val="18"/>
        </w:rPr>
      </w:pPr>
    </w:p>
    <w:p w14:paraId="6F539A5A" w14:textId="77777777" w:rsidR="006E50FF" w:rsidRPr="006E50FF" w:rsidRDefault="006E50FF" w:rsidP="006E50FF">
      <w:pPr>
        <w:tabs>
          <w:tab w:val="left" w:pos="2880"/>
          <w:tab w:val="decimal" w:pos="2988"/>
        </w:tabs>
        <w:outlineLvl w:val="8"/>
        <w:rPr>
          <w:kern w:val="2"/>
          <w:sz w:val="18"/>
        </w:rPr>
      </w:pPr>
      <w:r w:rsidRPr="006E50FF">
        <w:rPr>
          <w:kern w:val="2"/>
          <w:sz w:val="18"/>
        </w:rPr>
        <w:t>Lisa Benefield</w:t>
      </w:r>
      <w:r w:rsidRPr="006E50FF">
        <w:rPr>
          <w:kern w:val="2"/>
          <w:sz w:val="18"/>
        </w:rPr>
        <w:tab/>
        <w:t>Patrice Thomas</w:t>
      </w:r>
    </w:p>
    <w:p w14:paraId="75556681"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Deputy Fiscal Officer</w:t>
      </w:r>
    </w:p>
    <w:p w14:paraId="684A4DC9" w14:textId="77777777" w:rsidR="006E50FF" w:rsidRPr="006E50FF" w:rsidRDefault="006E50FF" w:rsidP="006E50FF">
      <w:pPr>
        <w:tabs>
          <w:tab w:val="left" w:pos="2880"/>
          <w:tab w:val="decimal" w:pos="2988"/>
        </w:tabs>
        <w:outlineLvl w:val="8"/>
        <w:rPr>
          <w:kern w:val="2"/>
          <w:sz w:val="18"/>
        </w:rPr>
      </w:pPr>
      <w:r w:rsidRPr="006E50FF">
        <w:rPr>
          <w:noProof/>
          <w:sz w:val="16"/>
        </w:rPr>
        <w:t>2609#046</w:t>
      </w:r>
      <w:r w:rsidRPr="006E50FF">
        <w:rPr>
          <w:kern w:val="2"/>
        </w:rPr>
        <w:tab/>
      </w:r>
      <w:r w:rsidRPr="006E50FF">
        <w:rPr>
          <w:kern w:val="2"/>
          <w:sz w:val="18"/>
        </w:rPr>
        <w:t>Legislative Fiscal Office</w:t>
      </w:r>
    </w:p>
    <w:p w14:paraId="0596F9A8" w14:textId="77777777" w:rsidR="006E50FF" w:rsidRPr="006E50FF" w:rsidRDefault="006E50FF" w:rsidP="006E50FF"/>
    <w:p w14:paraId="0BF44926"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5A6E33D" w14:textId="77777777" w:rsidR="006E50FF" w:rsidRPr="006E50FF" w:rsidRDefault="006E50FF" w:rsidP="006E50FF">
      <w:pPr>
        <w:keepNext/>
        <w:jc w:val="center"/>
        <w:rPr>
          <w:b/>
          <w:noProof/>
        </w:rPr>
      </w:pPr>
      <w:r w:rsidRPr="006E50FF">
        <w:rPr>
          <w:b/>
          <w:noProof/>
        </w:rPr>
        <w:t>Office of the Governor</w:t>
      </w:r>
    </w:p>
    <w:p w14:paraId="5E6869FC" w14:textId="77777777" w:rsidR="006E50FF" w:rsidRPr="006E50FF" w:rsidRDefault="006E50FF" w:rsidP="006E50FF">
      <w:pPr>
        <w:keepNext/>
        <w:jc w:val="center"/>
        <w:rPr>
          <w:b/>
          <w:noProof/>
        </w:rPr>
      </w:pPr>
      <w:r w:rsidRPr="006E50FF">
        <w:rPr>
          <w:b/>
          <w:noProof/>
        </w:rPr>
        <w:t>Motor Vehicle Commission</w:t>
      </w:r>
    </w:p>
    <w:p w14:paraId="66B6C5AE" w14:textId="77777777" w:rsidR="006E50FF" w:rsidRPr="006E50FF" w:rsidRDefault="006E50FF" w:rsidP="006E50FF">
      <w:pPr>
        <w:keepNext/>
        <w:spacing w:before="240" w:after="240"/>
        <w:jc w:val="center"/>
        <w:rPr>
          <w:noProof/>
        </w:rPr>
      </w:pPr>
      <w:r w:rsidRPr="006E50FF">
        <w:rPr>
          <w:noProof/>
        </w:rPr>
        <w:t>Automotive Industry (LAC 46:V.719 and 733)</w:t>
      </w:r>
    </w:p>
    <w:p w14:paraId="0CCA9B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Administrative Procedure Act, R.S. 49:950 et seq., the Motor Vehicle Commission (“commission”) proposes to amend LAC 46:V.719 and LAC 46:V.733. These amendments will bring these commission rules in line with the United States Federal Trade Commission (“FTC”) rules and regulations governing the advertisement of vehicle sales pricing. As such the commission amended Rule 719 to remove Subparagraph 4.Notarial fees, convenience fees and documentary fees” from LAC 46: V.719(A) as charges that may be excluded from the advertised price. The commission also amended LAC 46:V.733.Free Offers. </w:t>
      </w:r>
    </w:p>
    <w:p w14:paraId="53CD76CB" w14:textId="77777777" w:rsidR="006E50FF" w:rsidRPr="006E50FF" w:rsidRDefault="006E50FF" w:rsidP="006E50FF">
      <w:pPr>
        <w:keepNext/>
        <w:jc w:val="center"/>
        <w:rPr>
          <w:b/>
          <w:kern w:val="28"/>
        </w:rPr>
      </w:pPr>
      <w:r w:rsidRPr="006E50FF">
        <w:rPr>
          <w:b/>
          <w:kern w:val="28"/>
        </w:rPr>
        <w:t>Title 46</w:t>
      </w:r>
    </w:p>
    <w:p w14:paraId="0C532875" w14:textId="77777777" w:rsidR="006E50FF" w:rsidRPr="006E50FF" w:rsidRDefault="006E50FF" w:rsidP="006E50FF">
      <w:pPr>
        <w:keepNext/>
        <w:jc w:val="center"/>
        <w:rPr>
          <w:b/>
          <w:kern w:val="28"/>
        </w:rPr>
      </w:pPr>
      <w:r w:rsidRPr="006E50FF">
        <w:rPr>
          <w:b/>
          <w:kern w:val="28"/>
        </w:rPr>
        <w:t>PROFESSIONAL AND OCCUPATIONAL STANDARDS</w:t>
      </w:r>
    </w:p>
    <w:p w14:paraId="6D43DAC1" w14:textId="77777777" w:rsidR="006E50FF" w:rsidRPr="006E50FF" w:rsidRDefault="006E50FF" w:rsidP="006E50FF">
      <w:pPr>
        <w:keepNext/>
        <w:jc w:val="center"/>
        <w:rPr>
          <w:b/>
          <w:noProof/>
        </w:rPr>
      </w:pPr>
      <w:r w:rsidRPr="006E50FF">
        <w:rPr>
          <w:b/>
          <w:noProof/>
        </w:rPr>
        <w:t>Part V.  Automotive Industry</w:t>
      </w:r>
    </w:p>
    <w:p w14:paraId="5F2C1E8A" w14:textId="77777777" w:rsidR="006E50FF" w:rsidRPr="006E50FF" w:rsidRDefault="006E50FF" w:rsidP="006E50FF">
      <w:pPr>
        <w:keepNext/>
        <w:jc w:val="center"/>
        <w:rPr>
          <w:b/>
          <w:noProof/>
        </w:rPr>
      </w:pPr>
      <w:r w:rsidRPr="006E50FF">
        <w:rPr>
          <w:b/>
          <w:noProof/>
        </w:rPr>
        <w:t>Subpart 1.  Motor Vehicle Commission</w:t>
      </w:r>
    </w:p>
    <w:p w14:paraId="3A9C7AD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Advertising</w:t>
      </w:r>
    </w:p>
    <w:p w14:paraId="202224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§719.</w:t>
      </w:r>
      <w:r w:rsidRPr="006E50FF">
        <w:rPr>
          <w:b/>
          <w:kern w:val="2"/>
        </w:rPr>
        <w:tab/>
        <w:t>Dealer Price Advertising</w:t>
      </w:r>
    </w:p>
    <w:p w14:paraId="58EDDF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38A6CC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71F9F9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D.</w:t>
      </w:r>
      <w:r w:rsidRPr="006E50FF">
        <w:rPr>
          <w:kern w:val="2"/>
        </w:rPr>
        <w:tab/>
        <w:t>...</w:t>
      </w:r>
    </w:p>
    <w:p w14:paraId="1DE394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EC230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32:1253.E.</w:t>
      </w:r>
    </w:p>
    <w:p w14:paraId="3AC2F8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Motor Vehicle Commission, LR 34:78 (January 2008), amended LR 36:1549 (July 2010), LR 52:</w:t>
      </w:r>
    </w:p>
    <w:p w14:paraId="64BE3F0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§733.</w:t>
      </w:r>
      <w:r w:rsidRPr="006E50FF">
        <w:rPr>
          <w:b/>
          <w:kern w:val="2"/>
        </w:rPr>
        <w:tab/>
        <w:t>Free Offers</w:t>
      </w:r>
    </w:p>
    <w:p w14:paraId="7184E1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If a product or service may be sold at a price arrived at through bargaining, rather than at the advertised sale price, it is improper to represent that another product or service is </w:t>
      </w:r>
      <w:r w:rsidRPr="006E50FF">
        <w:rPr>
          <w:kern w:val="2"/>
        </w:rPr>
        <w:br w:type="page"/>
      </w:r>
      <w:r w:rsidRPr="006E50FF">
        <w:rPr>
          <w:kern w:val="2"/>
        </w:rPr>
        <w:lastRenderedPageBreak/>
        <w:t>being offered “Free” with the sale. The same representation is also prohibited where there may be an advertised sale price, but where other material factors such as quantity, quality, or size are arrived at through bargaining. No merchandise or enticement may be described as "free" if the vehicle can be purchased or leased for a lesser price without the merchandise or enticement of if the price of the vehicle has been increased to cover the cost or any part of the cost of the merchandise or enticement. The advertisement shall clearly and conspicuously disclose the advertised price is nonnegotiable and the conditions under which the "free" offer may be obtained.</w:t>
      </w:r>
    </w:p>
    <w:p w14:paraId="11C93CC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32:1253.E.</w:t>
      </w:r>
    </w:p>
    <w:p w14:paraId="702CCB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Motor Vehicle Commission, LR:3478 (January 2008), amended LR 52:</w:t>
      </w:r>
    </w:p>
    <w:p w14:paraId="01932B7A" w14:textId="77777777" w:rsidR="006E50FF" w:rsidRPr="006E50FF" w:rsidRDefault="006E50FF" w:rsidP="006E50FF">
      <w:pPr>
        <w:keepNext/>
        <w:jc w:val="center"/>
        <w:rPr>
          <w:b/>
          <w:kern w:val="28"/>
        </w:rPr>
      </w:pPr>
      <w:r w:rsidRPr="006E50FF">
        <w:rPr>
          <w:b/>
          <w:kern w:val="28"/>
        </w:rPr>
        <w:t>Family Impact Statement</w:t>
      </w:r>
    </w:p>
    <w:p w14:paraId="05F79D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Louisiana Motor Vehicle Commission, through its chairman, has considered the potential family impact of the proposed Rule.</w:t>
      </w:r>
    </w:p>
    <w:p w14:paraId="075651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the following:</w:t>
      </w:r>
    </w:p>
    <w:p w14:paraId="1586FB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7659B6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w:t>
      </w:r>
    </w:p>
    <w:p w14:paraId="6AB0F4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21A629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7E9A5D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03073D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47CDAC76" w14:textId="77777777" w:rsidR="006E50FF" w:rsidRPr="006E50FF" w:rsidRDefault="006E50FF" w:rsidP="006E50FF">
      <w:pPr>
        <w:keepNext/>
        <w:jc w:val="center"/>
        <w:rPr>
          <w:b/>
          <w:kern w:val="28"/>
        </w:rPr>
      </w:pPr>
      <w:r w:rsidRPr="006E50FF">
        <w:rPr>
          <w:b/>
          <w:kern w:val="28"/>
        </w:rPr>
        <w:t>Poverty Impact Statement</w:t>
      </w:r>
    </w:p>
    <w:p w14:paraId="385E07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Louisiana Motor Vehicle Commission, through its chairman, has considered the potential poverty impact of the proposed Rule.</w:t>
      </w:r>
    </w:p>
    <w:p w14:paraId="0A51D7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00CAA6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9584F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4BDE48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298B3A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5D3D1B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0C62F5E2" w14:textId="77777777" w:rsidR="006E50FF" w:rsidRPr="006E50FF" w:rsidRDefault="006E50FF" w:rsidP="006E50FF">
      <w:pPr>
        <w:keepNext/>
        <w:jc w:val="center"/>
        <w:rPr>
          <w:b/>
          <w:kern w:val="28"/>
        </w:rPr>
      </w:pPr>
      <w:r w:rsidRPr="006E50FF">
        <w:rPr>
          <w:b/>
          <w:kern w:val="28"/>
        </w:rPr>
        <w:t>Small Business Analysis</w:t>
      </w:r>
    </w:p>
    <w:p w14:paraId="4B7F97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49:974.2-974.8, the Regulatory Flexibility Act, the Louisiana Motor Vehicle Commission, through its chairman, has concluded that the proposed Rule is not anticipated to have an adverse impact on small business; therefore, a Small Business Impact Statement has not been prepared.</w:t>
      </w:r>
    </w:p>
    <w:p w14:paraId="78E7A0C5" w14:textId="77777777" w:rsidR="006E50FF" w:rsidRPr="006E50FF" w:rsidRDefault="006E50FF" w:rsidP="006E50FF">
      <w:pPr>
        <w:keepNext/>
        <w:jc w:val="center"/>
        <w:rPr>
          <w:b/>
          <w:kern w:val="28"/>
        </w:rPr>
      </w:pPr>
      <w:r w:rsidRPr="006E50FF">
        <w:rPr>
          <w:b/>
          <w:kern w:val="28"/>
        </w:rPr>
        <w:t xml:space="preserve">Provider Impact Statement </w:t>
      </w:r>
    </w:p>
    <w:p w14:paraId="690F9D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Louisiana Motor Vehicle Commission, through its chairman, has considered the potential provider impact of the proposed Rule.</w:t>
      </w:r>
    </w:p>
    <w:p w14:paraId="1723B6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500CE3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976DA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7FB2E30B" w14:textId="77777777" w:rsidR="006E50FF" w:rsidRPr="006E50FF" w:rsidRDefault="006E50FF" w:rsidP="006E50FF">
      <w:pPr>
        <w:tabs>
          <w:tab w:val="left" w:pos="720"/>
          <w:tab w:val="left" w:pos="979"/>
          <w:tab w:val="left" w:pos="1152"/>
        </w:tabs>
        <w:ind w:firstLine="360"/>
        <w:jc w:val="both"/>
        <w:outlineLvl w:val="4"/>
        <w:rPr>
          <w:bCs/>
          <w:kern w:val="2"/>
        </w:rPr>
      </w:pPr>
      <w:r w:rsidRPr="006E50FF">
        <w:rPr>
          <w:kern w:val="2"/>
        </w:rPr>
        <w:t>3.</w:t>
      </w:r>
      <w:r w:rsidRPr="006E50FF">
        <w:rPr>
          <w:kern w:val="2"/>
        </w:rPr>
        <w:tab/>
        <w:t>the overall effect on the ability of the provider to provide the same level of service.</w:t>
      </w:r>
    </w:p>
    <w:p w14:paraId="0CBD2166" w14:textId="77777777" w:rsidR="006E50FF" w:rsidRPr="006E50FF" w:rsidRDefault="006E50FF" w:rsidP="006E50FF">
      <w:pPr>
        <w:keepNext/>
        <w:jc w:val="center"/>
        <w:rPr>
          <w:b/>
          <w:kern w:val="28"/>
        </w:rPr>
      </w:pPr>
      <w:r w:rsidRPr="006E50FF">
        <w:rPr>
          <w:b/>
          <w:kern w:val="28"/>
        </w:rPr>
        <w:t xml:space="preserve">Public Comments </w:t>
      </w:r>
    </w:p>
    <w:p w14:paraId="4EB6F8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on proposed amended Rules 46:V.7.719 and LAC 46:V.7.733 by October 10, 2026 to Amy M. Casey, Executive Director, Louisiana Motor Vehicle Commission by U.S. Mail at 3017 Kingman Street, Metairie, LA 70006 or at amcasey@lmvc.la.gov. </w:t>
      </w:r>
    </w:p>
    <w:p w14:paraId="5C562AAA" w14:textId="77777777" w:rsidR="006E50FF" w:rsidRPr="006E50FF" w:rsidRDefault="006E50FF" w:rsidP="006E50FF">
      <w:pPr>
        <w:keepNext/>
        <w:jc w:val="center"/>
        <w:rPr>
          <w:b/>
          <w:kern w:val="28"/>
        </w:rPr>
      </w:pPr>
      <w:r w:rsidRPr="006E50FF">
        <w:rPr>
          <w:b/>
          <w:kern w:val="28"/>
        </w:rPr>
        <w:t>Public Hearing</w:t>
      </w:r>
    </w:p>
    <w:p w14:paraId="70AF9A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Should the commission believe that a public hearing will be requested, the notice of the place, date, and time of this hearing will be published on the motor vehicle commission's website, http://www.lmvc.la.gov/. </w:t>
      </w:r>
    </w:p>
    <w:p w14:paraId="1BD417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328AEB5A" w14:textId="77777777" w:rsidR="006E50FF" w:rsidRPr="006E50FF" w:rsidRDefault="006E50FF" w:rsidP="006E50FF">
      <w:pPr>
        <w:keepNext/>
        <w:ind w:left="2160"/>
        <w:jc w:val="both"/>
      </w:pPr>
      <w:r w:rsidRPr="006E50FF">
        <w:t>Amy Casey</w:t>
      </w:r>
    </w:p>
    <w:p w14:paraId="16739DC9" w14:textId="77777777" w:rsidR="006E50FF" w:rsidRPr="006E50FF" w:rsidRDefault="006E50FF" w:rsidP="006E50FF">
      <w:pPr>
        <w:keepNext/>
        <w:ind w:left="2160"/>
        <w:jc w:val="both"/>
      </w:pPr>
      <w:r w:rsidRPr="006E50FF">
        <w:t>Executive Director</w:t>
      </w:r>
    </w:p>
    <w:p w14:paraId="6C78E36F" w14:textId="77777777" w:rsidR="006E50FF" w:rsidRPr="006E50FF" w:rsidRDefault="006E50FF" w:rsidP="006E50FF">
      <w:pPr>
        <w:keepNext/>
        <w:jc w:val="center"/>
        <w:rPr>
          <w:b/>
        </w:rPr>
      </w:pPr>
    </w:p>
    <w:p w14:paraId="74BA1B19" w14:textId="77777777" w:rsidR="006E50FF" w:rsidRPr="006E50FF" w:rsidRDefault="006E50FF" w:rsidP="006E50FF">
      <w:pPr>
        <w:keepNext/>
        <w:jc w:val="center"/>
        <w:rPr>
          <w:b/>
        </w:rPr>
      </w:pPr>
      <w:r w:rsidRPr="006E50FF">
        <w:rPr>
          <w:b/>
        </w:rPr>
        <w:t>FISCAL AND ECONOMIC IMPACT STATEMENT FOR ADMINISTRATIVE RULES</w:t>
      </w:r>
    </w:p>
    <w:p w14:paraId="22AE7F00" w14:textId="77777777" w:rsidR="006E50FF" w:rsidRPr="006E50FF" w:rsidRDefault="006E50FF" w:rsidP="006E50FF">
      <w:pPr>
        <w:keepNext/>
        <w:jc w:val="center"/>
        <w:rPr>
          <w:b/>
          <w:noProof/>
        </w:rPr>
      </w:pPr>
      <w:r w:rsidRPr="006E50FF">
        <w:rPr>
          <w:b/>
          <w:noProof/>
        </w:rPr>
        <w:t>RULE TITLE:  Automotive Industry</w:t>
      </w:r>
    </w:p>
    <w:p w14:paraId="1B4AF2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54BA75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2608B8D" w14:textId="77777777" w:rsidR="006E50FF" w:rsidRPr="006E50FF" w:rsidRDefault="006E50FF" w:rsidP="006E50FF">
      <w:pPr>
        <w:ind w:left="288" w:firstLine="288"/>
        <w:jc w:val="both"/>
        <w:rPr>
          <w:sz w:val="18"/>
        </w:rPr>
      </w:pPr>
      <w:r w:rsidRPr="006E50FF">
        <w:rPr>
          <w:sz w:val="18"/>
        </w:rPr>
        <w:t>The proposed rule is not anticipated to result in any costs or savings to state or local governmental units.</w:t>
      </w:r>
    </w:p>
    <w:p w14:paraId="2CD6883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D34D10B" w14:textId="77777777" w:rsidR="006E50FF" w:rsidRPr="006E50FF" w:rsidRDefault="006E50FF" w:rsidP="006E50FF">
      <w:pPr>
        <w:ind w:left="288" w:firstLine="288"/>
        <w:jc w:val="both"/>
        <w:rPr>
          <w:sz w:val="18"/>
        </w:rPr>
      </w:pPr>
      <w:r w:rsidRPr="006E50FF">
        <w:rPr>
          <w:sz w:val="18"/>
        </w:rPr>
        <w:t>The proposed rule is not anticipated to have any effect on revenue collections of state or local governmental units.</w:t>
      </w:r>
    </w:p>
    <w:p w14:paraId="2E4460C6"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041543D" w14:textId="77777777" w:rsidR="006E50FF" w:rsidRPr="006E50FF" w:rsidRDefault="006E50FF" w:rsidP="006E50FF">
      <w:pPr>
        <w:ind w:left="288" w:firstLine="288"/>
        <w:jc w:val="both"/>
        <w:rPr>
          <w:sz w:val="18"/>
        </w:rPr>
      </w:pPr>
      <w:r w:rsidRPr="006E50FF">
        <w:rPr>
          <w:sz w:val="18"/>
        </w:rPr>
        <w:t>The proposed rule is not anticipated to have any effect on revenue collections of state or local governmental units.</w:t>
      </w:r>
    </w:p>
    <w:p w14:paraId="35496680"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BEE1B22" w14:textId="77777777" w:rsidR="006E50FF" w:rsidRPr="006E50FF" w:rsidRDefault="006E50FF" w:rsidP="006E50FF">
      <w:pPr>
        <w:ind w:left="288" w:firstLine="288"/>
        <w:jc w:val="both"/>
        <w:rPr>
          <w:sz w:val="18"/>
        </w:rPr>
      </w:pPr>
      <w:r w:rsidRPr="006E50FF">
        <w:rPr>
          <w:sz w:val="18"/>
        </w:rPr>
        <w:t>The proposed rule is not anticipated to result in any costs or economic benefits to directly affected persons, small businesses, or non-governmental groups.</w:t>
      </w:r>
    </w:p>
    <w:p w14:paraId="5893D100" w14:textId="77777777" w:rsidR="006E50FF" w:rsidRPr="006E50FF" w:rsidRDefault="006E50FF" w:rsidP="006E50FF">
      <w:pPr>
        <w:ind w:left="288" w:firstLine="288"/>
        <w:jc w:val="both"/>
        <w:rPr>
          <w:sz w:val="18"/>
        </w:rPr>
      </w:pPr>
    </w:p>
    <w:p w14:paraId="39C5CB30" w14:textId="77777777" w:rsidR="006E50FF" w:rsidRPr="006E50FF" w:rsidRDefault="006E50FF" w:rsidP="006E50FF">
      <w:pPr>
        <w:tabs>
          <w:tab w:val="left" w:pos="2880"/>
          <w:tab w:val="decimal" w:pos="2988"/>
        </w:tabs>
        <w:outlineLvl w:val="8"/>
        <w:rPr>
          <w:kern w:val="2"/>
          <w:sz w:val="18"/>
        </w:rPr>
      </w:pPr>
      <w:r w:rsidRPr="006E50FF">
        <w:rPr>
          <w:kern w:val="2"/>
          <w:sz w:val="18"/>
        </w:rPr>
        <w:t>Amy Casey</w:t>
      </w:r>
      <w:r w:rsidRPr="006E50FF">
        <w:rPr>
          <w:kern w:val="2"/>
          <w:sz w:val="18"/>
        </w:rPr>
        <w:tab/>
        <w:t>Patrice Thomas</w:t>
      </w:r>
    </w:p>
    <w:p w14:paraId="7410B046"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Deputy Fiscal Officer</w:t>
      </w:r>
    </w:p>
    <w:p w14:paraId="3F476457" w14:textId="77777777" w:rsidR="006E50FF" w:rsidRPr="006E50FF" w:rsidRDefault="006E50FF" w:rsidP="006E50FF">
      <w:pPr>
        <w:tabs>
          <w:tab w:val="left" w:pos="2880"/>
          <w:tab w:val="decimal" w:pos="2988"/>
        </w:tabs>
        <w:outlineLvl w:val="8"/>
        <w:rPr>
          <w:kern w:val="2"/>
          <w:sz w:val="18"/>
        </w:rPr>
      </w:pPr>
      <w:r w:rsidRPr="006E50FF">
        <w:rPr>
          <w:noProof/>
          <w:sz w:val="16"/>
        </w:rPr>
        <w:t>2609#048</w:t>
      </w:r>
      <w:r w:rsidRPr="006E50FF">
        <w:rPr>
          <w:kern w:val="2"/>
        </w:rPr>
        <w:tab/>
      </w:r>
      <w:r w:rsidRPr="006E50FF">
        <w:rPr>
          <w:kern w:val="2"/>
          <w:sz w:val="18"/>
        </w:rPr>
        <w:t>Legislative Fiscal Office</w:t>
      </w:r>
    </w:p>
    <w:p w14:paraId="30E141A3" w14:textId="77777777" w:rsidR="006E50FF" w:rsidRPr="006E50FF" w:rsidRDefault="006E50FF" w:rsidP="006E50FF"/>
    <w:p w14:paraId="4C9FD07F"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2A0E8083" w14:textId="77777777" w:rsidR="006E50FF" w:rsidRPr="006E50FF" w:rsidRDefault="006E50FF" w:rsidP="006E50FF">
      <w:pPr>
        <w:keepNext/>
        <w:jc w:val="center"/>
        <w:rPr>
          <w:rFonts w:eastAsia="Calibri"/>
          <w:b/>
          <w:noProof/>
        </w:rPr>
      </w:pPr>
      <w:r w:rsidRPr="006E50FF">
        <w:rPr>
          <w:rFonts w:eastAsia="Calibri"/>
          <w:b/>
          <w:noProof/>
        </w:rPr>
        <w:t>Office of the Governor</w:t>
      </w:r>
    </w:p>
    <w:p w14:paraId="0964FC68" w14:textId="77777777" w:rsidR="006E50FF" w:rsidRPr="006E50FF" w:rsidRDefault="006E50FF" w:rsidP="006E50FF">
      <w:pPr>
        <w:keepNext/>
        <w:jc w:val="center"/>
        <w:rPr>
          <w:rFonts w:eastAsia="Calibri"/>
          <w:b/>
          <w:noProof/>
        </w:rPr>
      </w:pPr>
      <w:r w:rsidRPr="006E50FF">
        <w:rPr>
          <w:rFonts w:eastAsia="Calibri"/>
          <w:b/>
          <w:noProof/>
        </w:rPr>
        <w:t>Uniform Construction Code Commission</w:t>
      </w:r>
    </w:p>
    <w:p w14:paraId="0233DAF5" w14:textId="77777777" w:rsidR="006E50FF" w:rsidRPr="006E50FF" w:rsidRDefault="006E50FF" w:rsidP="006E50FF">
      <w:pPr>
        <w:keepNext/>
        <w:spacing w:before="240" w:after="240"/>
        <w:jc w:val="center"/>
        <w:rPr>
          <w:rFonts w:eastAsia="Calibri"/>
          <w:noProof/>
        </w:rPr>
      </w:pPr>
      <w:r w:rsidRPr="006E50FF">
        <w:rPr>
          <w:rFonts w:eastAsia="Calibri"/>
          <w:noProof/>
        </w:rPr>
        <w:t>Manufactured Housing Installation Inspector Classification</w:t>
      </w:r>
      <w:r w:rsidRPr="006E50FF">
        <w:rPr>
          <w:rFonts w:eastAsia="Calibri"/>
          <w:noProof/>
        </w:rPr>
        <w:br/>
        <w:t>(LAC 55:VI.703)</w:t>
      </w:r>
    </w:p>
    <w:p w14:paraId="1A638CD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Notice is hereby given that in accordance with the Louisiana Administrative Procedure Act, R.S. 49:950 et seq., and pursuant to the authority of R.S. 37:3727-3750, the Louisiana Uniform Construction Code Commission (LUCCC) proposes to amend LAC 55:VI.703, Classifications and Required Certifications for Municipal or Parish Building Code Enforcement Officers, specifically 703(C)(2), Specialty Classifications, regarding the creation of a new classification subcategory of Manufactured Housing Inspectors and the </w:t>
      </w:r>
      <w:r w:rsidRPr="006E50FF">
        <w:rPr>
          <w:rFonts w:eastAsia="Calibri"/>
          <w:kern w:val="2"/>
        </w:rPr>
        <w:br w:type="page"/>
      </w:r>
      <w:r w:rsidRPr="006E50FF">
        <w:rPr>
          <w:rFonts w:eastAsia="Calibri"/>
          <w:kern w:val="2"/>
        </w:rPr>
        <w:lastRenderedPageBreak/>
        <w:t>creation a new classification called “Manufactured Housing Installation Inspector” and its qualification requirements to obtain this classification with the commission. This classification is intended to ensure that manufactured homes installed within local jurisdictions are inspected by individuals specifically trained and qualified to verify compliance with federal HUD installation standards.</w:t>
      </w:r>
    </w:p>
    <w:p w14:paraId="781E276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Manufactured homes are a major source of affordable housing in Louisiana, and proper installation is critical to the safety, stability, and long</w:t>
      </w:r>
      <w:r w:rsidRPr="006E50FF">
        <w:rPr>
          <w:rFonts w:eastAsia="Calibri"/>
          <w:kern w:val="2"/>
        </w:rPr>
        <w:noBreakHyphen/>
        <w:t>term habitability of these structures. Installation errors can contribute to structural failure, unsafe anchoring, moisture intrusion, electrical hazards, and other conditions that pose risks to the health and safety of occupants.</w:t>
      </w:r>
    </w:p>
    <w:p w14:paraId="37D9DC4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Granting local jurisdictions the ability to utilize a designated “Manufactured Housing Installation Inspector” helps ensure that inspections are performed by individuals with focused knowledge of HUD requirements, specialized installation practices, and the unique safety considerations associated with manufactured housing. This targeted oversight supports consistent compliance with federally mandated standards, reduces the risk of installation</w:t>
      </w:r>
      <w:r w:rsidRPr="006E50FF">
        <w:rPr>
          <w:rFonts w:eastAsia="Calibri"/>
          <w:kern w:val="2"/>
        </w:rPr>
        <w:noBreakHyphen/>
        <w:t>related failures, and enhances the protection of homeowners, families, and communities.</w:t>
      </w:r>
    </w:p>
    <w:p w14:paraId="3BE55FF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highlight w:val="yellow"/>
        </w:rPr>
      </w:pPr>
      <w:r w:rsidRPr="006E50FF">
        <w:rPr>
          <w:rFonts w:eastAsia="Calibri"/>
          <w:kern w:val="2"/>
        </w:rPr>
        <w:t>The creation of this classification promotes public safety, strengthens consumer protection, improves regulatory clarity for local jurisdictions, and helps ensure that manufactured housing in Louisiana is installed in a manner that safeguards the life, health, and welfare of its occupants.</w:t>
      </w:r>
    </w:p>
    <w:p w14:paraId="69A0944C" w14:textId="77777777" w:rsidR="006E50FF" w:rsidRPr="006E50FF" w:rsidRDefault="006E50FF" w:rsidP="006E50FF">
      <w:pPr>
        <w:keepNext/>
        <w:jc w:val="center"/>
        <w:rPr>
          <w:b/>
          <w:kern w:val="28"/>
        </w:rPr>
      </w:pPr>
      <w:r w:rsidRPr="006E50FF">
        <w:rPr>
          <w:b/>
          <w:kern w:val="28"/>
        </w:rPr>
        <w:t>T</w:t>
      </w:r>
      <w:r w:rsidRPr="006E50FF">
        <w:rPr>
          <w:b/>
          <w:spacing w:val="-1"/>
          <w:kern w:val="28"/>
        </w:rPr>
        <w:t>i</w:t>
      </w:r>
      <w:r w:rsidRPr="006E50FF">
        <w:rPr>
          <w:b/>
          <w:kern w:val="28"/>
        </w:rPr>
        <w:t>t</w:t>
      </w:r>
      <w:r w:rsidRPr="006E50FF">
        <w:rPr>
          <w:b/>
          <w:spacing w:val="-1"/>
          <w:kern w:val="28"/>
        </w:rPr>
        <w:t>l</w:t>
      </w:r>
      <w:r w:rsidRPr="006E50FF">
        <w:rPr>
          <w:b/>
          <w:kern w:val="28"/>
        </w:rPr>
        <w:t xml:space="preserve">e </w:t>
      </w:r>
      <w:r w:rsidRPr="006E50FF">
        <w:rPr>
          <w:b/>
          <w:spacing w:val="1"/>
          <w:kern w:val="28"/>
        </w:rPr>
        <w:t>55</w:t>
      </w:r>
    </w:p>
    <w:p w14:paraId="50661F92" w14:textId="77777777" w:rsidR="006E50FF" w:rsidRPr="006E50FF" w:rsidRDefault="006E50FF" w:rsidP="006E50FF">
      <w:pPr>
        <w:keepNext/>
        <w:jc w:val="center"/>
        <w:rPr>
          <w:b/>
          <w:kern w:val="28"/>
        </w:rPr>
      </w:pPr>
      <w:r w:rsidRPr="006E50FF">
        <w:rPr>
          <w:b/>
          <w:kern w:val="28"/>
        </w:rPr>
        <w:t>PUBLIC SAFETY</w:t>
      </w:r>
    </w:p>
    <w:p w14:paraId="78D5F675" w14:textId="77777777" w:rsidR="006E50FF" w:rsidRPr="006E50FF" w:rsidRDefault="006E50FF" w:rsidP="006E50FF">
      <w:pPr>
        <w:keepNext/>
        <w:jc w:val="center"/>
        <w:rPr>
          <w:b/>
          <w:noProof/>
        </w:rPr>
      </w:pPr>
      <w:r w:rsidRPr="006E50FF">
        <w:rPr>
          <w:b/>
          <w:noProof/>
        </w:rPr>
        <w:t>P</w:t>
      </w:r>
      <w:r w:rsidRPr="006E50FF">
        <w:rPr>
          <w:b/>
          <w:noProof/>
          <w:spacing w:val="1"/>
        </w:rPr>
        <w:t>a</w:t>
      </w:r>
      <w:r w:rsidRPr="006E50FF">
        <w:rPr>
          <w:b/>
          <w:noProof/>
        </w:rPr>
        <w:t>rt</w:t>
      </w:r>
      <w:r w:rsidRPr="006E50FF">
        <w:rPr>
          <w:b/>
          <w:noProof/>
          <w:spacing w:val="-1"/>
        </w:rPr>
        <w:t xml:space="preserve"> V</w:t>
      </w:r>
      <w:r w:rsidRPr="006E50FF">
        <w:rPr>
          <w:b/>
          <w:noProof/>
        </w:rPr>
        <w:t>I.  Un</w:t>
      </w:r>
      <w:r w:rsidRPr="006E50FF">
        <w:rPr>
          <w:b/>
          <w:noProof/>
          <w:spacing w:val="-1"/>
        </w:rPr>
        <w:t>if</w:t>
      </w:r>
      <w:r w:rsidRPr="006E50FF">
        <w:rPr>
          <w:b/>
          <w:noProof/>
          <w:spacing w:val="1"/>
        </w:rPr>
        <w:t>o</w:t>
      </w:r>
      <w:r w:rsidRPr="006E50FF">
        <w:rPr>
          <w:b/>
          <w:noProof/>
          <w:spacing w:val="-1"/>
        </w:rPr>
        <w:t>r</w:t>
      </w:r>
      <w:r w:rsidRPr="006E50FF">
        <w:rPr>
          <w:b/>
          <w:noProof/>
        </w:rPr>
        <w:t xml:space="preserve">m </w:t>
      </w:r>
      <w:r w:rsidRPr="006E50FF">
        <w:rPr>
          <w:b/>
          <w:noProof/>
          <w:spacing w:val="-1"/>
        </w:rPr>
        <w:t>C</w:t>
      </w:r>
      <w:r w:rsidRPr="006E50FF">
        <w:rPr>
          <w:b/>
          <w:noProof/>
          <w:spacing w:val="1"/>
        </w:rPr>
        <w:t>o</w:t>
      </w:r>
      <w:r w:rsidRPr="006E50FF">
        <w:rPr>
          <w:b/>
          <w:noProof/>
        </w:rPr>
        <w:t>n</w:t>
      </w:r>
      <w:r w:rsidRPr="006E50FF">
        <w:rPr>
          <w:b/>
          <w:noProof/>
          <w:spacing w:val="-1"/>
        </w:rPr>
        <w:t>s</w:t>
      </w:r>
      <w:r w:rsidRPr="006E50FF">
        <w:rPr>
          <w:b/>
          <w:noProof/>
        </w:rPr>
        <w:t>tru</w:t>
      </w:r>
      <w:r w:rsidRPr="006E50FF">
        <w:rPr>
          <w:b/>
          <w:noProof/>
          <w:spacing w:val="-1"/>
        </w:rPr>
        <w:t>c</w:t>
      </w:r>
      <w:r w:rsidRPr="006E50FF">
        <w:rPr>
          <w:b/>
          <w:noProof/>
        </w:rPr>
        <w:t>t</w:t>
      </w:r>
      <w:r w:rsidRPr="006E50FF">
        <w:rPr>
          <w:b/>
          <w:noProof/>
          <w:spacing w:val="-1"/>
        </w:rPr>
        <w:t>io</w:t>
      </w:r>
      <w:r w:rsidRPr="006E50FF">
        <w:rPr>
          <w:b/>
          <w:noProof/>
        </w:rPr>
        <w:t>n</w:t>
      </w:r>
      <w:r w:rsidRPr="006E50FF">
        <w:rPr>
          <w:b/>
          <w:noProof/>
          <w:spacing w:val="1"/>
        </w:rPr>
        <w:t xml:space="preserve"> </w:t>
      </w:r>
      <w:r w:rsidRPr="006E50FF">
        <w:rPr>
          <w:b/>
          <w:noProof/>
          <w:spacing w:val="-1"/>
        </w:rPr>
        <w:t>C</w:t>
      </w:r>
      <w:r w:rsidRPr="006E50FF">
        <w:rPr>
          <w:b/>
          <w:noProof/>
          <w:spacing w:val="1"/>
        </w:rPr>
        <w:t>o</w:t>
      </w:r>
      <w:r w:rsidRPr="006E50FF">
        <w:rPr>
          <w:b/>
          <w:noProof/>
        </w:rPr>
        <w:t>de Enforcement</w:t>
      </w:r>
    </w:p>
    <w:p w14:paraId="435CDF3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spacing w:val="1"/>
          <w:kern w:val="2"/>
        </w:rPr>
        <w:t>C</w:t>
      </w:r>
      <w:r w:rsidRPr="006E50FF">
        <w:rPr>
          <w:b/>
          <w:spacing w:val="-1"/>
          <w:kern w:val="2"/>
        </w:rPr>
        <w:t>h</w:t>
      </w:r>
      <w:r w:rsidRPr="006E50FF">
        <w:rPr>
          <w:b/>
          <w:spacing w:val="1"/>
          <w:kern w:val="2"/>
        </w:rPr>
        <w:t>a</w:t>
      </w:r>
      <w:r w:rsidRPr="006E50FF">
        <w:rPr>
          <w:b/>
          <w:kern w:val="2"/>
        </w:rPr>
        <w:t>pt</w:t>
      </w:r>
      <w:r w:rsidRPr="006E50FF">
        <w:rPr>
          <w:b/>
          <w:spacing w:val="-1"/>
          <w:kern w:val="2"/>
        </w:rPr>
        <w:t>e</w:t>
      </w:r>
      <w:r w:rsidRPr="006E50FF">
        <w:rPr>
          <w:b/>
          <w:kern w:val="2"/>
        </w:rPr>
        <w:t>r</w:t>
      </w:r>
      <w:r w:rsidRPr="006E50FF">
        <w:rPr>
          <w:b/>
          <w:spacing w:val="-5"/>
          <w:kern w:val="2"/>
        </w:rPr>
        <w:t xml:space="preserve"> </w:t>
      </w:r>
      <w:r w:rsidRPr="006E50FF">
        <w:rPr>
          <w:b/>
          <w:spacing w:val="1"/>
          <w:kern w:val="2"/>
        </w:rPr>
        <w:t>7</w:t>
      </w:r>
      <w:r w:rsidRPr="006E50FF">
        <w:rPr>
          <w:b/>
          <w:kern w:val="2"/>
        </w:rPr>
        <w:t>.</w:t>
      </w:r>
      <w:r w:rsidRPr="006E50FF">
        <w:rPr>
          <w:b/>
          <w:kern w:val="2"/>
        </w:rPr>
        <w:tab/>
        <w:t xml:space="preserve">Certificates of Registration </w:t>
      </w:r>
    </w:p>
    <w:p w14:paraId="5CEC0C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§703.</w:t>
      </w:r>
      <w:r w:rsidRPr="006E50FF">
        <w:rPr>
          <w:b/>
          <w:kern w:val="2"/>
        </w:rPr>
        <w:tab/>
        <w:t xml:space="preserve">Classifications and Required Certifications for Municipal or Parish Building Code Enforcement Officers </w:t>
      </w:r>
    </w:p>
    <w:p w14:paraId="66A5D4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C.2.d.ii.</w:t>
      </w:r>
      <w:r w:rsidRPr="006E50FF">
        <w:rPr>
          <w:kern w:val="2"/>
        </w:rPr>
        <w:tab/>
        <w:t>…</w:t>
      </w:r>
    </w:p>
    <w:p w14:paraId="02E13AC1" w14:textId="77777777" w:rsidR="006E50FF" w:rsidRPr="006E50FF" w:rsidRDefault="006E50FF" w:rsidP="006E50FF">
      <w:pPr>
        <w:tabs>
          <w:tab w:val="left" w:pos="907"/>
        </w:tabs>
        <w:ind w:firstLine="547"/>
        <w:jc w:val="both"/>
        <w:outlineLvl w:val="5"/>
        <w:rPr>
          <w:rFonts w:ascii="Aptos" w:hAnsi="Aptos" w:cs="Aptos"/>
          <w:kern w:val="2"/>
        </w:rPr>
      </w:pPr>
      <w:r w:rsidRPr="006E50FF">
        <w:rPr>
          <w:kern w:val="2"/>
        </w:rPr>
        <w:t>e.</w:t>
      </w:r>
      <w:r w:rsidRPr="006E50FF">
        <w:rPr>
          <w:rFonts w:ascii="Aptos" w:hAnsi="Aptos" w:cs="Aptos"/>
          <w:kern w:val="2"/>
        </w:rPr>
        <w:tab/>
      </w:r>
      <w:r w:rsidRPr="006E50FF">
        <w:rPr>
          <w:kern w:val="2"/>
        </w:rPr>
        <w:t>Manufactured Housing Inspectors</w:t>
      </w:r>
    </w:p>
    <w:p w14:paraId="1597AAC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r>
      <w:r w:rsidRPr="006E50FF">
        <w:rPr>
          <w:i/>
          <w:iCs/>
          <w:kern w:val="2"/>
        </w:rPr>
        <w:t>Manufactured Housing Installation Inspector</w:t>
      </w:r>
      <w:r w:rsidRPr="006E50FF">
        <w:rPr>
          <w:kern w:val="2"/>
        </w:rPr>
        <w:t>—shall be a specialty classification that can be applied for as a Public Inspector or a Private Inspector. In order to qualify for this classification, the applicant must provide a copy of a course completion certificate obtained from completing of a HUD-certified manufactured housing installation Inspector training course from a HUD-approved course provider.</w:t>
      </w:r>
    </w:p>
    <w:p w14:paraId="767F2B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37:3727-3750.</w:t>
      </w:r>
    </w:p>
    <w:p w14:paraId="07ACEA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Uniform Construction Code Council, LR 33:292 (February 2007), amended LR 33:1683 (August 2007), LR 34:93 (January 2008), amended by the Department of Public Safety and Corrections, Office of Management and Finance, Uniform Construction Code Council, LR 35:490 (March 2009), amended LR 35:2819 (December 2009), repromulgated 36:327 (February 2010), amended by the Office of the Governor, Uniform Construction Code Commission LR 52:</w:t>
      </w:r>
    </w:p>
    <w:p w14:paraId="0FA8A179" w14:textId="77777777" w:rsidR="006E50FF" w:rsidRPr="006E50FF" w:rsidRDefault="006E50FF" w:rsidP="006E50FF">
      <w:pPr>
        <w:keepNext/>
        <w:jc w:val="center"/>
        <w:rPr>
          <w:b/>
          <w:kern w:val="28"/>
        </w:rPr>
      </w:pPr>
      <w:r w:rsidRPr="006E50FF">
        <w:rPr>
          <w:b/>
          <w:kern w:val="28"/>
        </w:rPr>
        <w:t>Family Impact Statement</w:t>
      </w:r>
    </w:p>
    <w:p w14:paraId="534759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family formation, stability, and autonomy as described in R.S. 49:972.</w:t>
      </w:r>
    </w:p>
    <w:p w14:paraId="73491173" w14:textId="77777777" w:rsidR="006E50FF" w:rsidRPr="006E50FF" w:rsidRDefault="006E50FF" w:rsidP="006E50FF">
      <w:pPr>
        <w:keepNext/>
        <w:jc w:val="center"/>
        <w:rPr>
          <w:b/>
          <w:kern w:val="28"/>
        </w:rPr>
      </w:pPr>
      <w:r w:rsidRPr="006E50FF">
        <w:rPr>
          <w:b/>
          <w:kern w:val="28"/>
        </w:rPr>
        <w:t>Poverty Impact Statement</w:t>
      </w:r>
    </w:p>
    <w:p w14:paraId="552F58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poverty as defined by R.S. 49:973.</w:t>
      </w:r>
    </w:p>
    <w:p w14:paraId="145FF397" w14:textId="77777777" w:rsidR="006E50FF" w:rsidRPr="006E50FF" w:rsidRDefault="006E50FF" w:rsidP="006E50FF">
      <w:pPr>
        <w:keepNext/>
        <w:jc w:val="center"/>
        <w:rPr>
          <w:b/>
          <w:kern w:val="28"/>
        </w:rPr>
      </w:pPr>
      <w:r w:rsidRPr="006E50FF">
        <w:rPr>
          <w:b/>
          <w:kern w:val="28"/>
        </w:rPr>
        <w:t>Small Business Analysis</w:t>
      </w:r>
    </w:p>
    <w:p w14:paraId="40109E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Pursuant to R.S. 49:965.6, methods for reduction of the impact on small business, as defined in the Regulatory Flexibility Act, have been considered when creating this proposed Rule. </w:t>
      </w:r>
    </w:p>
    <w:p w14:paraId="58AAF7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is not anticipated to have an adverse impact on small businesses; therefore, a Small Business Economic Impact Statement has not been prepared.</w:t>
      </w:r>
    </w:p>
    <w:p w14:paraId="31E4B479" w14:textId="77777777" w:rsidR="006E50FF" w:rsidRPr="006E50FF" w:rsidRDefault="006E50FF" w:rsidP="006E50FF">
      <w:pPr>
        <w:keepNext/>
        <w:jc w:val="center"/>
        <w:rPr>
          <w:b/>
          <w:kern w:val="28"/>
        </w:rPr>
      </w:pPr>
      <w:r w:rsidRPr="006E50FF">
        <w:rPr>
          <w:b/>
          <w:kern w:val="28"/>
        </w:rPr>
        <w:t>Provider Impact Statement</w:t>
      </w:r>
    </w:p>
    <w:p w14:paraId="2DEC65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providers of services funded by the state as described in HCR 170 of the 2014 Regular Legislative Session.</w:t>
      </w:r>
    </w:p>
    <w:p w14:paraId="6109DC6F" w14:textId="77777777" w:rsidR="006E50FF" w:rsidRPr="006E50FF" w:rsidRDefault="006E50FF" w:rsidP="006E50FF">
      <w:pPr>
        <w:keepNext/>
        <w:jc w:val="center"/>
        <w:rPr>
          <w:b/>
          <w:kern w:val="28"/>
        </w:rPr>
      </w:pPr>
      <w:r w:rsidRPr="006E50FF">
        <w:rPr>
          <w:b/>
          <w:kern w:val="28"/>
        </w:rPr>
        <w:t>Public Comments</w:t>
      </w:r>
    </w:p>
    <w:p w14:paraId="525A77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All interested persons are invited to submit written comments or hearing request on the proposed Rule. Such comments or request should be sent to Tarah Revette, Administrative Director, Uniform Construction Code Commission, 600 North Street, Baton Rouge, LA 70802 or tsrevette@luccc.louisiana.gov. All comments must be submitted no later than the end of business day, central time zone, October 10, 2026.</w:t>
      </w:r>
    </w:p>
    <w:p w14:paraId="739F8A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A9CE5C4" w14:textId="77777777" w:rsidR="006E50FF" w:rsidRPr="006E50FF" w:rsidRDefault="006E50FF" w:rsidP="006E50FF">
      <w:pPr>
        <w:keepNext/>
        <w:ind w:left="2160"/>
        <w:jc w:val="both"/>
      </w:pPr>
      <w:r w:rsidRPr="006E50FF">
        <w:t>Brad Hassert</w:t>
      </w:r>
    </w:p>
    <w:p w14:paraId="00275D75" w14:textId="77777777" w:rsidR="006E50FF" w:rsidRPr="006E50FF" w:rsidRDefault="006E50FF" w:rsidP="006E50FF">
      <w:pPr>
        <w:keepNext/>
        <w:ind w:left="2160"/>
        <w:jc w:val="both"/>
      </w:pPr>
      <w:r w:rsidRPr="006E50FF">
        <w:t>Executive Director</w:t>
      </w:r>
    </w:p>
    <w:p w14:paraId="01390F66" w14:textId="77777777" w:rsidR="006E50FF" w:rsidRPr="006E50FF" w:rsidRDefault="006E50FF" w:rsidP="006E50FF">
      <w:pPr>
        <w:keepNext/>
        <w:jc w:val="center"/>
        <w:rPr>
          <w:b/>
        </w:rPr>
      </w:pPr>
    </w:p>
    <w:p w14:paraId="051070E2" w14:textId="77777777" w:rsidR="006E50FF" w:rsidRPr="006E50FF" w:rsidRDefault="006E50FF" w:rsidP="006E50FF">
      <w:pPr>
        <w:keepNext/>
        <w:jc w:val="center"/>
        <w:rPr>
          <w:b/>
        </w:rPr>
      </w:pPr>
      <w:r w:rsidRPr="006E50FF">
        <w:rPr>
          <w:b/>
        </w:rPr>
        <w:t>FISCAL AND ECONOMIC IMPACT STATEMENT FOR ADMINISTRATIVE RULES</w:t>
      </w:r>
    </w:p>
    <w:p w14:paraId="62C7521F" w14:textId="77777777" w:rsidR="006E50FF" w:rsidRPr="006E50FF" w:rsidRDefault="006E50FF" w:rsidP="006E50FF">
      <w:pPr>
        <w:keepNext/>
        <w:jc w:val="center"/>
        <w:rPr>
          <w:b/>
          <w:noProof/>
        </w:rPr>
      </w:pPr>
      <w:r w:rsidRPr="006E50FF">
        <w:rPr>
          <w:b/>
          <w:noProof/>
        </w:rPr>
        <w:t>RULE TITLE:  Manufactured Housing Installation Inspector Classification</w:t>
      </w:r>
    </w:p>
    <w:p w14:paraId="13A661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0F2923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4E028DD"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468C7AE1" w14:textId="77777777" w:rsidR="006E50FF" w:rsidRPr="006E50FF" w:rsidRDefault="006E50FF" w:rsidP="006E50FF">
      <w:pPr>
        <w:ind w:left="288" w:firstLine="288"/>
        <w:jc w:val="both"/>
        <w:rPr>
          <w:noProof/>
          <w:sz w:val="18"/>
        </w:rPr>
      </w:pPr>
      <w:r w:rsidRPr="006E50FF">
        <w:rPr>
          <w:noProof/>
          <w:sz w:val="18"/>
        </w:rPr>
        <w:t>The Louisiana Uniform Construction Code Commission (LUCCC) proposes amendments to Section 703 of Chapter 7 (Certificates of Registration) within Part VI (Uniform Construction Code Enforcement) of Title 55 (Public Safety) of the Louisiana Administrative Code. The proposed rule expands the specialty classifications available for designation by adding a Manufactured Housing Installation Inspector classification. Specifically, this proposed rule:</w:t>
      </w:r>
    </w:p>
    <w:p w14:paraId="1652E65A" w14:textId="77777777" w:rsidR="006E50FF" w:rsidRPr="006E50FF" w:rsidRDefault="006E50FF" w:rsidP="006E50FF">
      <w:pPr>
        <w:numPr>
          <w:ilvl w:val="0"/>
          <w:numId w:val="29"/>
        </w:numPr>
        <w:ind w:left="540" w:hanging="270"/>
        <w:jc w:val="both"/>
        <w:rPr>
          <w:noProof/>
          <w:sz w:val="18"/>
        </w:rPr>
      </w:pPr>
      <w:r w:rsidRPr="006E50FF">
        <w:rPr>
          <w:noProof/>
          <w:sz w:val="18"/>
        </w:rPr>
        <w:t>Adds Manufactured Housing Inspectors as a new specialty classification available to Building Code Enforcement Officers.</w:t>
      </w:r>
    </w:p>
    <w:p w14:paraId="055BD1A8" w14:textId="77777777" w:rsidR="006E50FF" w:rsidRPr="006E50FF" w:rsidRDefault="006E50FF" w:rsidP="006E50FF">
      <w:pPr>
        <w:numPr>
          <w:ilvl w:val="0"/>
          <w:numId w:val="29"/>
        </w:numPr>
        <w:ind w:left="540" w:hanging="270"/>
        <w:jc w:val="both"/>
        <w:rPr>
          <w:noProof/>
          <w:sz w:val="18"/>
        </w:rPr>
      </w:pPr>
      <w:r w:rsidRPr="006E50FF">
        <w:rPr>
          <w:noProof/>
          <w:sz w:val="18"/>
        </w:rPr>
        <w:t>Establishes a Manufactured Housing Installation Inspector designation.</w:t>
      </w:r>
    </w:p>
    <w:p w14:paraId="2E86CE08" w14:textId="77777777" w:rsidR="006E50FF" w:rsidRPr="006E50FF" w:rsidRDefault="006E50FF" w:rsidP="006E50FF">
      <w:pPr>
        <w:numPr>
          <w:ilvl w:val="0"/>
          <w:numId w:val="29"/>
        </w:numPr>
        <w:ind w:left="540" w:hanging="270"/>
        <w:jc w:val="both"/>
        <w:rPr>
          <w:sz w:val="18"/>
        </w:rPr>
      </w:pPr>
      <w:r w:rsidRPr="006E50FF">
        <w:rPr>
          <w:sz w:val="18"/>
        </w:rPr>
        <w:t>Establishes eligibility requirements for the Manufactured Housing Installation Inspector designation, requiring applicants to provide a course completion certificate for a U.S. Department of Housing and Urban Development (HUD)-certified manufactured housing installation inspector training course offered by a HUD-approved course provider.</w:t>
      </w:r>
    </w:p>
    <w:p w14:paraId="049AE4F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54FC72E" w14:textId="77777777" w:rsidR="006E50FF" w:rsidRPr="006E50FF" w:rsidRDefault="006E50FF" w:rsidP="006E50FF">
      <w:pPr>
        <w:ind w:left="288" w:firstLine="288"/>
        <w:jc w:val="both"/>
        <w:rPr>
          <w:noProof/>
          <w:sz w:val="18"/>
        </w:rPr>
      </w:pPr>
      <w:r w:rsidRPr="006E50FF">
        <w:rPr>
          <w:noProof/>
          <w:sz w:val="18"/>
        </w:rPr>
        <w:t>In accordance with Act 881 of the 2026 RS, responsibility for confirming manufactured housing installations shifted to local jurisdictions using inspectors licensed by LUCCC. Additionally, Act 765 of the 2026 RS provides that municipalities and parishes shall inspect the installation and setup of manufactured homes within their jurisdictions and may charge a reasonable fee based on the formula or schedule used for site-built residential housing. Act 765 of the 2026 RS also authorizes the use of third-party providers to perform installation inspection.</w:t>
      </w:r>
    </w:p>
    <w:p w14:paraId="20990090" w14:textId="77777777" w:rsidR="006E50FF" w:rsidRPr="006E50FF" w:rsidRDefault="006E50FF" w:rsidP="006E50FF">
      <w:pPr>
        <w:ind w:left="288" w:firstLine="288"/>
        <w:jc w:val="both"/>
        <w:rPr>
          <w:noProof/>
          <w:sz w:val="18"/>
        </w:rPr>
      </w:pPr>
      <w:r w:rsidRPr="006E50FF">
        <w:rPr>
          <w:noProof/>
          <w:sz w:val="18"/>
        </w:rPr>
        <w:lastRenderedPageBreak/>
        <w:t xml:space="preserve">As a result, local governments may collect inspection fees associated with manufactured housing installations. However, the amount of any additional revenue is indeterminable due to inspecting jurisdictions establishing their own fees and inspection processes. For example, some jurisdictions may charge separate fees for individual inspections, such as electrical, framing, and foundation inspections, while others may assess a single fee covering all inspections associated with a property. Therefore, the amount of revenue generated from manufactured housing installation inspections will vary by jurisdiction. Some jurisdictions may conduct a significant number of manufactured housing installation inspections, while others may conduct few or none. </w:t>
      </w:r>
    </w:p>
    <w:p w14:paraId="28B7476A" w14:textId="77777777" w:rsidR="006E50FF" w:rsidRPr="006E50FF" w:rsidRDefault="006E50FF" w:rsidP="006E50FF">
      <w:pPr>
        <w:ind w:left="288" w:firstLine="288"/>
        <w:jc w:val="both"/>
        <w:rPr>
          <w:sz w:val="18"/>
        </w:rPr>
      </w:pPr>
      <w:r w:rsidRPr="006E50FF">
        <w:rPr>
          <w:sz w:val="18"/>
        </w:rPr>
        <w:t>The separate LUCCC administrative fee of up to $10 per permit is collected by the local government and remitted to LUCCC and, therefore, does not represent additional revenue to the local government. Additionally, the administrative fee may be waived under certain circumstances. Consequently, while local jurisdictions may realize additional inspection-fee revenue and LUCCC may receive additional administrative-fee revenue, the net impact on state and local revenues is indeterminable yet is not anticipated to be significant.</w:t>
      </w:r>
    </w:p>
    <w:p w14:paraId="1A3B82B4"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811FB05"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64D7E18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8F3FBD7"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5311545A" w14:textId="77777777" w:rsidR="006E50FF" w:rsidRPr="006E50FF" w:rsidRDefault="006E50FF" w:rsidP="006E50FF">
      <w:pPr>
        <w:ind w:left="288" w:firstLine="288"/>
        <w:jc w:val="both"/>
        <w:rPr>
          <w:sz w:val="18"/>
        </w:rPr>
      </w:pPr>
    </w:p>
    <w:p w14:paraId="5ADDD417" w14:textId="77777777" w:rsidR="006E50FF" w:rsidRPr="006E50FF" w:rsidRDefault="006E50FF" w:rsidP="006E50FF">
      <w:pPr>
        <w:tabs>
          <w:tab w:val="left" w:pos="2880"/>
          <w:tab w:val="decimal" w:pos="2988"/>
        </w:tabs>
        <w:outlineLvl w:val="8"/>
        <w:rPr>
          <w:kern w:val="2"/>
          <w:sz w:val="18"/>
        </w:rPr>
      </w:pPr>
      <w:r w:rsidRPr="006E50FF">
        <w:rPr>
          <w:kern w:val="2"/>
          <w:sz w:val="18"/>
        </w:rPr>
        <w:t>Brad Hassert</w:t>
      </w:r>
      <w:r w:rsidRPr="006E50FF">
        <w:rPr>
          <w:kern w:val="2"/>
          <w:sz w:val="18"/>
        </w:rPr>
        <w:tab/>
        <w:t>Patrice Thomas</w:t>
      </w:r>
    </w:p>
    <w:p w14:paraId="0B1E5691"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Deputy Fiscal Officer</w:t>
      </w:r>
    </w:p>
    <w:p w14:paraId="25EBB4D8" w14:textId="77777777" w:rsidR="006E50FF" w:rsidRPr="006E50FF" w:rsidRDefault="006E50FF" w:rsidP="006E50FF">
      <w:pPr>
        <w:tabs>
          <w:tab w:val="left" w:pos="2880"/>
          <w:tab w:val="decimal" w:pos="2988"/>
        </w:tabs>
        <w:outlineLvl w:val="8"/>
        <w:rPr>
          <w:kern w:val="2"/>
          <w:sz w:val="18"/>
        </w:rPr>
      </w:pPr>
      <w:r w:rsidRPr="006E50FF">
        <w:rPr>
          <w:noProof/>
          <w:sz w:val="16"/>
        </w:rPr>
        <w:t>2609#049</w:t>
      </w:r>
      <w:r w:rsidRPr="006E50FF">
        <w:rPr>
          <w:kern w:val="2"/>
        </w:rPr>
        <w:tab/>
      </w:r>
      <w:r w:rsidRPr="006E50FF">
        <w:rPr>
          <w:kern w:val="2"/>
          <w:sz w:val="18"/>
        </w:rPr>
        <w:t>Legislative Fiscal Office</w:t>
      </w:r>
    </w:p>
    <w:p w14:paraId="5E8596D6" w14:textId="77777777" w:rsidR="006E50FF" w:rsidRPr="006E50FF" w:rsidRDefault="006E50FF" w:rsidP="006E50FF"/>
    <w:p w14:paraId="45F87DD0" w14:textId="77777777" w:rsidR="006E50FF" w:rsidRPr="006E50FF" w:rsidRDefault="006E50FF" w:rsidP="006E50FF">
      <w:pPr>
        <w:keepNext/>
        <w:tabs>
          <w:tab w:val="left" w:pos="-1440"/>
        </w:tabs>
        <w:spacing w:after="120"/>
        <w:jc w:val="center"/>
        <w:rPr>
          <w:b/>
          <w:noProof/>
        </w:rPr>
      </w:pPr>
      <w:bookmarkStart w:id="589" w:name="_Toc533067537"/>
      <w:bookmarkStart w:id="590" w:name="_Toc206579909"/>
      <w:r w:rsidRPr="006E50FF">
        <w:rPr>
          <w:b/>
          <w:noProof/>
        </w:rPr>
        <w:t>NOTICE OF INTENT</w:t>
      </w:r>
    </w:p>
    <w:p w14:paraId="68FF67E1" w14:textId="77777777" w:rsidR="006E50FF" w:rsidRPr="006E50FF" w:rsidRDefault="006E50FF" w:rsidP="006E50FF">
      <w:pPr>
        <w:keepNext/>
        <w:jc w:val="center"/>
        <w:rPr>
          <w:b/>
          <w:noProof/>
        </w:rPr>
      </w:pPr>
      <w:r w:rsidRPr="006E50FF">
        <w:rPr>
          <w:b/>
          <w:noProof/>
        </w:rPr>
        <w:t>Department of Health</w:t>
      </w:r>
    </w:p>
    <w:p w14:paraId="29412258" w14:textId="77777777" w:rsidR="006E50FF" w:rsidRPr="006E50FF" w:rsidRDefault="006E50FF" w:rsidP="006E50FF">
      <w:pPr>
        <w:keepNext/>
        <w:jc w:val="center"/>
        <w:rPr>
          <w:b/>
          <w:noProof/>
        </w:rPr>
      </w:pPr>
      <w:r w:rsidRPr="006E50FF">
        <w:rPr>
          <w:b/>
          <w:noProof/>
        </w:rPr>
        <w:t>Board of Medical Examiners</w:t>
      </w:r>
    </w:p>
    <w:p w14:paraId="42CF4A42" w14:textId="77777777" w:rsidR="006E50FF" w:rsidRPr="006E50FF" w:rsidRDefault="006E50FF" w:rsidP="006E50FF">
      <w:pPr>
        <w:keepNext/>
        <w:spacing w:before="240" w:after="240"/>
        <w:jc w:val="center"/>
        <w:rPr>
          <w:noProof/>
        </w:rPr>
      </w:pPr>
      <w:r w:rsidRPr="006E50FF">
        <w:rPr>
          <w:noProof/>
        </w:rPr>
        <w:t>Adjudication (LAC 46:XLV.9935)</w:t>
      </w:r>
    </w:p>
    <w:p w14:paraId="256099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Notice is hereby given that in accordance with the Administrative Procedure Act, R.S. 49:950 et seq., and pursuant to the authority vested in the Board of Medical Examiners (the board) by the Louisiana Medical Practice Act., R.S. 37:1270 et seq., the board proposes to amend its rules governing assessment of costs and fines.</w:t>
      </w:r>
    </w:p>
    <w:p w14:paraId="05FFB0B0" w14:textId="77777777" w:rsidR="006E50FF" w:rsidRPr="006E50FF" w:rsidRDefault="006E50FF" w:rsidP="006E50FF">
      <w:pPr>
        <w:keepNext/>
        <w:jc w:val="center"/>
        <w:rPr>
          <w:b/>
          <w:kern w:val="28"/>
        </w:rPr>
      </w:pPr>
      <w:r w:rsidRPr="006E50FF">
        <w:rPr>
          <w:b/>
          <w:kern w:val="28"/>
        </w:rPr>
        <w:t>Title 46</w:t>
      </w:r>
    </w:p>
    <w:p w14:paraId="3D2A1180" w14:textId="77777777" w:rsidR="006E50FF" w:rsidRPr="006E50FF" w:rsidRDefault="006E50FF" w:rsidP="006E50FF">
      <w:pPr>
        <w:keepNext/>
        <w:jc w:val="center"/>
        <w:rPr>
          <w:b/>
          <w:kern w:val="28"/>
        </w:rPr>
      </w:pPr>
      <w:r w:rsidRPr="006E50FF">
        <w:rPr>
          <w:b/>
          <w:kern w:val="28"/>
        </w:rPr>
        <w:t>PROFESSIONAL AND OCCUPATIONAL STANDARDS</w:t>
      </w:r>
    </w:p>
    <w:p w14:paraId="11EE32DF" w14:textId="77777777" w:rsidR="006E50FF" w:rsidRPr="006E50FF" w:rsidRDefault="006E50FF" w:rsidP="006E50FF">
      <w:pPr>
        <w:keepNext/>
        <w:jc w:val="center"/>
        <w:rPr>
          <w:b/>
          <w:noProof/>
        </w:rPr>
      </w:pPr>
      <w:r w:rsidRPr="006E50FF">
        <w:rPr>
          <w:b/>
          <w:noProof/>
        </w:rPr>
        <w:t>Part XLV.  Medical Professions</w:t>
      </w:r>
    </w:p>
    <w:p w14:paraId="7A22408B" w14:textId="77777777" w:rsidR="006E50FF" w:rsidRPr="006E50FF" w:rsidRDefault="006E50FF" w:rsidP="006E50FF">
      <w:pPr>
        <w:keepNext/>
        <w:jc w:val="center"/>
        <w:rPr>
          <w:b/>
          <w:noProof/>
        </w:rPr>
      </w:pPr>
      <w:r w:rsidRPr="006E50FF">
        <w:rPr>
          <w:b/>
          <w:noProof/>
        </w:rPr>
        <w:t>Subpart 5.  Rules of Procedure</w:t>
      </w:r>
    </w:p>
    <w:p w14:paraId="0F1302C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Petitions for Rulemaking</w:t>
      </w:r>
    </w:p>
    <w:p w14:paraId="675EE79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99.</w:t>
      </w:r>
      <w:r w:rsidRPr="006E50FF">
        <w:rPr>
          <w:b/>
          <w:kern w:val="2"/>
        </w:rPr>
        <w:tab/>
        <w:t>Adjudication</w:t>
      </w:r>
    </w:p>
    <w:p w14:paraId="3EE8188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§9935.</w:t>
      </w:r>
      <w:r w:rsidRPr="006E50FF">
        <w:rPr>
          <w:b/>
          <w:kern w:val="2"/>
        </w:rPr>
        <w:tab/>
      </w:r>
      <w:bookmarkEnd w:id="589"/>
      <w:r w:rsidRPr="006E50FF">
        <w:rPr>
          <w:b/>
          <w:kern w:val="2"/>
        </w:rPr>
        <w:t>Assessment of Costs and Fines</w:t>
      </w:r>
      <w:bookmarkEnd w:id="590"/>
    </w:p>
    <w:p w14:paraId="69029A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color w:val="000000"/>
          <w:spacing w:val="-13"/>
          <w:kern w:val="2"/>
        </w:rPr>
        <w:t>A.</w:t>
      </w:r>
      <w:r w:rsidRPr="006E50FF">
        <w:rPr>
          <w:rFonts w:eastAsia="Courier New"/>
          <w:color w:val="000000"/>
          <w:spacing w:val="-13"/>
          <w:kern w:val="2"/>
        </w:rPr>
        <w:tab/>
      </w:r>
      <w:r w:rsidRPr="006E50FF">
        <w:rPr>
          <w:rFonts w:eastAsia="Courier New"/>
          <w:color w:val="000000"/>
          <w:kern w:val="2"/>
        </w:rPr>
        <w:t>Assessment.</w:t>
      </w:r>
      <w:r w:rsidRPr="006E50FF">
        <w:rPr>
          <w:rFonts w:eastAsia="Courier New"/>
          <w:color w:val="000000"/>
          <w:spacing w:val="-13"/>
          <w:kern w:val="2"/>
        </w:rPr>
        <w:t xml:space="preserve"> </w:t>
      </w:r>
      <w:r w:rsidRPr="006E50FF">
        <w:rPr>
          <w:kern w:val="2"/>
        </w:rPr>
        <w:t>As part of a decision, consent order, or other agreed order, the board may require a respondent to pay all costs of the board proceedings. If costs are assessed in a consent or other agreed order, the amount shall be stated in the order.</w:t>
      </w:r>
    </w:p>
    <w:p w14:paraId="23F328A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color w:val="000000"/>
          <w:spacing w:val="-13"/>
          <w:kern w:val="2"/>
        </w:rPr>
      </w:pPr>
      <w:r w:rsidRPr="006E50FF">
        <w:rPr>
          <w:bCs/>
          <w:kern w:val="2"/>
        </w:rPr>
        <w:t>B.</w:t>
      </w:r>
      <w:r w:rsidRPr="006E50FF">
        <w:rPr>
          <w:bCs/>
          <w:kern w:val="2"/>
        </w:rPr>
        <w:tab/>
        <w:t xml:space="preserve">Special Definition. </w:t>
      </w:r>
      <w:r w:rsidRPr="006E50FF">
        <w:rPr>
          <w:i/>
          <w:kern w:val="2"/>
        </w:rPr>
        <w:t>Costs of the Proceedings—</w:t>
      </w:r>
      <w:r w:rsidRPr="006E50FF">
        <w:rPr>
          <w:kern w:val="2"/>
        </w:rPr>
        <w:t xml:space="preserve">for the purposes of this rule, shall mean a reasonable charge to meet all obligations incurred by the board in the performance of its </w:t>
      </w:r>
      <w:r w:rsidRPr="006E50FF">
        <w:rPr>
          <w:kern w:val="2"/>
        </w:rPr>
        <w:t>duties, including but not limited to investigators', stenographers', and attorneys’ fees, witness fees and expenses, and the per diem and expenses of the members of the board's hearing panel.</w:t>
      </w:r>
    </w:p>
    <w:p w14:paraId="426B1C1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C.</w:t>
      </w:r>
      <w:r w:rsidRPr="006E50FF">
        <w:rPr>
          <w:rFonts w:eastAsia="Courier New"/>
          <w:kern w:val="2"/>
        </w:rPr>
        <w:tab/>
        <w:t xml:space="preserve">Notice. Notice of the application of this Section shall be provided to a respondent with the written notice of filing of an administrative complaint, pursuant to 9905. </w:t>
      </w:r>
    </w:p>
    <w:p w14:paraId="222118D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D.</w:t>
      </w:r>
      <w:r w:rsidRPr="006E50FF">
        <w:rPr>
          <w:rFonts w:eastAsia="Courier New"/>
          <w:kern w:val="2"/>
        </w:rPr>
        <w:tab/>
        <w:t>Timing; Content; Service; Scope and Limitations; Exceptions and Requests for Modification; Disposition. Statements of Costs shall be processed as follows:</w:t>
      </w:r>
    </w:p>
    <w:p w14:paraId="6AC1AC77"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Timing. A statement of costs shall be compiled by the board within 20 days from the date on which the board’s decision is served on the respondent.</w:t>
      </w:r>
    </w:p>
    <w:p w14:paraId="23024752"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2.</w:t>
      </w:r>
      <w:r w:rsidRPr="006E50FF">
        <w:rPr>
          <w:rFonts w:eastAsia="Courier New"/>
          <w:kern w:val="2"/>
        </w:rPr>
        <w:tab/>
        <w:t>Content. A statement of costs must state with particularity the nature and amount of the costs assessed. The statement must be signed and certify that all reasonable attempts have been made to ensure the statement's accuracy.</w:t>
      </w:r>
    </w:p>
    <w:p w14:paraId="2976D275"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3.</w:t>
      </w:r>
      <w:r w:rsidRPr="006E50FF">
        <w:rPr>
          <w:rFonts w:eastAsia="Courier New"/>
          <w:kern w:val="2"/>
        </w:rPr>
        <w:tab/>
        <w:t>Service. A statement of costs shall be served on respondent by regular and certified mail at the last known address on file with the board not later than 20 days from the date on which the board’s decision is served on the respondent.</w:t>
      </w:r>
      <w:r w:rsidRPr="006E50FF" w:rsidDel="005628B6">
        <w:rPr>
          <w:rFonts w:eastAsia="Courier New"/>
          <w:kern w:val="2"/>
        </w:rPr>
        <w:t xml:space="preserve"> </w:t>
      </w:r>
    </w:p>
    <w:p w14:paraId="4E7498C9" w14:textId="77777777" w:rsidR="006E50FF" w:rsidRPr="006E50FF" w:rsidRDefault="006E50FF" w:rsidP="006E50FF">
      <w:pPr>
        <w:tabs>
          <w:tab w:val="left" w:pos="720"/>
          <w:tab w:val="left" w:pos="979"/>
          <w:tab w:val="left" w:pos="1152"/>
        </w:tabs>
        <w:ind w:firstLine="360"/>
        <w:jc w:val="both"/>
        <w:outlineLvl w:val="4"/>
        <w:rPr>
          <w:kern w:val="2"/>
        </w:rPr>
      </w:pPr>
      <w:r w:rsidRPr="006E50FF">
        <w:rPr>
          <w:bCs/>
          <w:kern w:val="2"/>
        </w:rPr>
        <w:t>4.</w:t>
      </w:r>
      <w:r w:rsidRPr="006E50FF">
        <w:rPr>
          <w:bCs/>
          <w:kern w:val="2"/>
        </w:rPr>
        <w:tab/>
        <w:t>Scope and Limitations.</w:t>
      </w:r>
      <w:r w:rsidRPr="006E50FF">
        <w:rPr>
          <w:kern w:val="2"/>
        </w:rPr>
        <w:t xml:space="preserve"> A statement of costs shall be assessed in any decision following an administrative hearing, in which a respondent is found guilty of a violation of a law or rule administered by the board. The statement shall include those costs actually incurred by the board from the time of filing of an administrative complaint until the issuance of a final decision or order; </w:t>
      </w:r>
    </w:p>
    <w:p w14:paraId="6A163F64"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ourier New"/>
          <w:kern w:val="2"/>
        </w:rPr>
        <w:t>5.</w:t>
      </w:r>
      <w:r w:rsidRPr="006E50FF">
        <w:rPr>
          <w:rFonts w:eastAsia="Courier New"/>
          <w:kern w:val="2"/>
        </w:rPr>
        <w:tab/>
        <w:t>Exceptions; Requests for Modification. Within 20 days of the date of service</w:t>
      </w:r>
      <w:r w:rsidRPr="006E50FF">
        <w:rPr>
          <w:kern w:val="2"/>
        </w:rPr>
        <w:t xml:space="preserve"> of the statement of costs:</w:t>
      </w:r>
    </w:p>
    <w:p w14:paraId="728AE080" w14:textId="77777777" w:rsidR="006E50FF" w:rsidRPr="006E50FF" w:rsidRDefault="006E50FF" w:rsidP="006E50FF">
      <w:pPr>
        <w:tabs>
          <w:tab w:val="left" w:pos="907"/>
        </w:tabs>
        <w:ind w:firstLine="547"/>
        <w:jc w:val="both"/>
        <w:outlineLvl w:val="5"/>
        <w:rPr>
          <w:rFonts w:eastAsia="Courier New"/>
          <w:kern w:val="2"/>
        </w:rPr>
      </w:pPr>
      <w:r w:rsidRPr="006E50FF">
        <w:rPr>
          <w:kern w:val="2"/>
        </w:rPr>
        <w:t>a.</w:t>
      </w:r>
      <w:r w:rsidRPr="006E50FF">
        <w:rPr>
          <w:kern w:val="2"/>
        </w:rPr>
        <w:tab/>
      </w:r>
      <w:r w:rsidRPr="006E50FF">
        <w:rPr>
          <w:rFonts w:eastAsia="Courier New"/>
          <w:kern w:val="2"/>
        </w:rPr>
        <w:t xml:space="preserve">the respondent may file an exception to, or submit a request for modification of, a statement of costs. </w:t>
      </w:r>
      <w:r w:rsidRPr="006E50FF">
        <w:rPr>
          <w:kern w:val="2"/>
        </w:rPr>
        <w:t xml:space="preserve">Each such exception or request shall be accompanied by a concise statement of the grounds on which the exception or request is based and any supporting legal or other authority. </w:t>
      </w:r>
      <w:r w:rsidRPr="006E50FF">
        <w:rPr>
          <w:rFonts w:eastAsia="Courier New"/>
          <w:kern w:val="2"/>
        </w:rPr>
        <w:t>Within 10 days of such filing or submission, a response may be filed by the complainant;</w:t>
      </w:r>
    </w:p>
    <w:p w14:paraId="54D39465"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t>b.</w:t>
      </w:r>
      <w:r w:rsidRPr="006E50FF">
        <w:rPr>
          <w:rFonts w:eastAsia="Courier New"/>
          <w:kern w:val="2"/>
        </w:rPr>
        <w:tab/>
        <w:t>the complainant may request an assessment of costs above the amounts specified above. Such a request shall be made only when the complainant contends a respondent unreasonably increased the costs of the proceedings by activities undertaken to harass or create undue burden, or by the repetitive, unduly burdensome, or unwarranted filing of meritless motions or discovery requests. Within 10 days of the filing of such a request, a response may be filed by the respondent.</w:t>
      </w:r>
    </w:p>
    <w:p w14:paraId="53F0D74F"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ourier New"/>
          <w:kern w:val="2"/>
        </w:rPr>
        <w:t>6.</w:t>
      </w:r>
      <w:r w:rsidRPr="006E50FF">
        <w:rPr>
          <w:rFonts w:eastAsia="Courier New"/>
          <w:kern w:val="2"/>
        </w:rPr>
        <w:tab/>
        <w:t>Disposition of Exceptions and Requests for Modification. Upon timely filing</w:t>
      </w:r>
      <w:r w:rsidRPr="006E50FF">
        <w:rPr>
          <w:kern w:val="2"/>
        </w:rPr>
        <w:t>:</w:t>
      </w:r>
    </w:p>
    <w:p w14:paraId="5980CBC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r>
      <w:r w:rsidRPr="006E50FF">
        <w:rPr>
          <w:rFonts w:eastAsia="Courier New"/>
          <w:color w:val="000000"/>
          <w:kern w:val="2"/>
        </w:rPr>
        <w:t>an exception or request</w:t>
      </w:r>
      <w:r w:rsidRPr="006E50FF">
        <w:rPr>
          <w:kern w:val="2"/>
        </w:rPr>
        <w:t xml:space="preserve"> shall be referred to the presiding officer of the hearing panel with respect to the proceeding for a ruling. The presiding officer, in his or her discretion, may refer an exception or request to the entire hearing panel which considered the case for disposition, and any party aggrieved by the ruling of a presiding officer may request, within 10 days of receipt of the ruling, that the exception or request be reconsidered by the entire panel which heard the case;</w:t>
      </w:r>
    </w:p>
    <w:p w14:paraId="3D15DE6B" w14:textId="77777777" w:rsidR="006E50FF" w:rsidRPr="006E50FF" w:rsidRDefault="006E50FF" w:rsidP="006E50FF">
      <w:pPr>
        <w:tabs>
          <w:tab w:val="left" w:pos="907"/>
        </w:tabs>
        <w:ind w:firstLine="547"/>
        <w:jc w:val="both"/>
        <w:outlineLvl w:val="5"/>
        <w:rPr>
          <w:kern w:val="2"/>
        </w:rPr>
      </w:pPr>
      <w:r w:rsidRPr="006E50FF">
        <w:rPr>
          <w:rFonts w:eastAsia="Courier New"/>
          <w:color w:val="000000"/>
          <w:kern w:val="2"/>
        </w:rPr>
        <w:t>b.</w:t>
      </w:r>
      <w:r w:rsidRPr="006E50FF">
        <w:rPr>
          <w:rFonts w:eastAsia="Courier New"/>
          <w:color w:val="000000"/>
          <w:kern w:val="2"/>
        </w:rPr>
        <w:tab/>
        <w:t xml:space="preserve">the matter shall </w:t>
      </w:r>
      <w:r w:rsidRPr="006E50FF">
        <w:rPr>
          <w:kern w:val="2"/>
        </w:rPr>
        <w:t xml:space="preserve">ordinarily be decided on by the presiding officer or the hearing panel, as the case may be, on the papers filed, without hearing. On the written request of </w:t>
      </w:r>
      <w:r w:rsidRPr="006E50FF">
        <w:rPr>
          <w:kern w:val="2"/>
        </w:rPr>
        <w:br w:type="page"/>
      </w:r>
      <w:r w:rsidRPr="006E50FF">
        <w:rPr>
          <w:kern w:val="2"/>
        </w:rPr>
        <w:lastRenderedPageBreak/>
        <w:t>respondent or complainant, however, and on demonstration that there are good grounds therefor, the presiding officer may grant opportunity for hearing by oral argument;</w:t>
      </w:r>
    </w:p>
    <w:p w14:paraId="0B027BE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president of the board or presiding officer of the hearing panel, as the case may be, may delegate the task of ruling on such exceptions or request to the board’s independent legal counsel appointed pursuant to §9921D, who is independent of complaint counsel and who has not participated in the investigation or prosecution of the case.</w:t>
      </w:r>
    </w:p>
    <w:p w14:paraId="7957F5E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E.</w:t>
      </w:r>
      <w:r w:rsidRPr="006E50FF">
        <w:rPr>
          <w:rFonts w:eastAsia="Courier New"/>
          <w:kern w:val="2"/>
        </w:rPr>
        <w:tab/>
        <w:t>Payment of Costs and Expenses; Periodic Payment Plan; Waiver</w:t>
      </w:r>
    </w:p>
    <w:p w14:paraId="3E818678"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A statement of costs must be satisfied within 30 days of receipt unless the statement of costs provides otherwise or the respondent enters into a periodic payment plan with the board’s compliance officer assigned to the matter or with another individual designated by the board.</w:t>
      </w:r>
    </w:p>
    <w:p w14:paraId="0A1084A3"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2.</w:t>
      </w:r>
      <w:r w:rsidRPr="006E50FF">
        <w:rPr>
          <w:rFonts w:eastAsia="Courier New"/>
          <w:kern w:val="2"/>
        </w:rPr>
        <w:tab/>
        <w:t>The board’s compliance officer or designee may enter into an agreement with a respondent for a reasonable periodic payment plan if the respondent demonstrates in writing the present inability to pay such costs or provides other satisfactory cause to support the request.</w:t>
      </w:r>
    </w:p>
    <w:p w14:paraId="36BD08EE"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3.</w:t>
      </w:r>
      <w:r w:rsidRPr="006E50FF">
        <w:rPr>
          <w:rFonts w:eastAsia="Courier New"/>
          <w:kern w:val="2"/>
        </w:rPr>
        <w:tab/>
        <w:t>A respondent may ask the board to review an adverse determination by its compliance officer or designee regarding specific conditions for a periodic payment plan. Such review shall be conducted in accordance with §9935.D.6.</w:t>
      </w:r>
    </w:p>
    <w:p w14:paraId="0D0C50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color w:val="000000"/>
          <w:kern w:val="2"/>
        </w:rPr>
        <w:t>F.</w:t>
      </w:r>
      <w:r w:rsidRPr="006E50FF">
        <w:rPr>
          <w:rFonts w:eastAsia="Courier New"/>
          <w:color w:val="000000"/>
          <w:kern w:val="2"/>
        </w:rPr>
        <w:tab/>
      </w:r>
      <w:r w:rsidRPr="006E50FF">
        <w:rPr>
          <w:kern w:val="2"/>
        </w:rPr>
        <w:t>Fine. As part of a decision, consent order, or other agreed order, the board may require the payment of a fine; provided, however, that such fine shall not exceed, as to a respondent:</w:t>
      </w:r>
    </w:p>
    <w:p w14:paraId="2C70880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physician, the sum of $5,000; </w:t>
      </w:r>
    </w:p>
    <w:p w14:paraId="741EBB38" w14:textId="77777777" w:rsidR="006E50FF" w:rsidRPr="006E50FF" w:rsidRDefault="006E50FF" w:rsidP="006E50FF">
      <w:pPr>
        <w:tabs>
          <w:tab w:val="left" w:pos="907"/>
        </w:tabs>
        <w:ind w:firstLine="547"/>
        <w:jc w:val="both"/>
        <w:outlineLvl w:val="5"/>
        <w:rPr>
          <w:rFonts w:eastAsia="Courier New"/>
          <w:kern w:val="2"/>
        </w:rPr>
      </w:pPr>
      <w:r w:rsidRPr="006E50FF">
        <w:rPr>
          <w:kern w:val="2"/>
        </w:rPr>
        <w:t>b.</w:t>
      </w:r>
      <w:r w:rsidRPr="006E50FF">
        <w:rPr>
          <w:kern w:val="2"/>
        </w:rPr>
        <w:tab/>
        <w:t>allied health care practitioner, the amount authorized by law, but in no event more than $5,000.</w:t>
      </w:r>
    </w:p>
    <w:p w14:paraId="5A0155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kern w:val="2"/>
        </w:rPr>
        <w:t>G.</w:t>
      </w:r>
      <w:r w:rsidRPr="006E50FF">
        <w:rPr>
          <w:rFonts w:eastAsia="Courier New"/>
          <w:kern w:val="2"/>
        </w:rPr>
        <w:tab/>
        <w:t xml:space="preserve">Waiver; Adjustment. </w:t>
      </w:r>
      <w:r w:rsidRPr="006E50FF">
        <w:rPr>
          <w:kern w:val="2"/>
        </w:rPr>
        <w:t xml:space="preserve">A statement of costs or amount of a fine, or both, may be waived or reduced by the board, in its discretion, in whole or part, upon a request submitted in writing that evidences to the board’s satisfaction a significant medical, physical, financial or similar extenuating circumstance precluding the individual's payment of costs or fine or where it appears to the board in the interests of justice to do so. </w:t>
      </w:r>
    </w:p>
    <w:p w14:paraId="003110B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H.</w:t>
      </w:r>
      <w:r w:rsidRPr="006E50FF">
        <w:rPr>
          <w:rFonts w:eastAsia="Courier New"/>
          <w:kern w:val="2"/>
        </w:rPr>
        <w:tab/>
      </w:r>
      <w:r w:rsidRPr="006E50FF">
        <w:rPr>
          <w:bCs/>
          <w:kern w:val="2"/>
        </w:rPr>
        <w:t>Failure to Comply with Assessment of Costs or Fine.</w:t>
      </w:r>
      <w:r w:rsidRPr="006E50FF">
        <w:rPr>
          <w:kern w:val="2"/>
        </w:rPr>
        <w:t xml:space="preserve"> A respondent who fails to timely pay a statement of costs or fine, or who fails to comply with the terms of a periodic payment plan, shall be notified in writing of non-compliance. A respondent’s failure to comply with such notice within 30 days may provide a basis for further action by the board</w:t>
      </w:r>
      <w:r w:rsidRPr="006E50FF">
        <w:rPr>
          <w:rFonts w:eastAsia="Courier New"/>
          <w:kern w:val="2"/>
        </w:rPr>
        <w:t>, including referral to the Office of the Attorney General for collections. Only one 30-day grace period will be granted, any subsequent failure to timely pay or failure to comply with the terms of the payment plan, will result in immediate referral to the AGs.</w:t>
      </w:r>
    </w:p>
    <w:p w14:paraId="755AC50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I.</w:t>
      </w:r>
      <w:r w:rsidRPr="006E50FF">
        <w:rPr>
          <w:rFonts w:eastAsia="Courier New"/>
          <w:kern w:val="2"/>
        </w:rPr>
        <w:tab/>
        <w:t>Nothing in this Section shall delay, suspend, extend, or otherwise affect the time authorized by law within which a respondent may file a petition for judicial review of a final decision or order issued by the board.</w:t>
      </w:r>
    </w:p>
    <w:p w14:paraId="364545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37:1261-1292, 37:1270, 37:1285.</w:t>
      </w:r>
    </w:p>
    <w:p w14:paraId="1A92E0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Board of Medical Examiners, LR 47:726 (June 2021), amended by Board of Medical Examiners, LR 52: </w:t>
      </w:r>
    </w:p>
    <w:p w14:paraId="0FB5963E" w14:textId="77777777" w:rsidR="006E50FF" w:rsidRPr="006E50FF" w:rsidRDefault="006E50FF" w:rsidP="006E50FF">
      <w:pPr>
        <w:keepNext/>
        <w:jc w:val="center"/>
        <w:rPr>
          <w:b/>
          <w:kern w:val="28"/>
        </w:rPr>
      </w:pPr>
      <w:r w:rsidRPr="006E50FF">
        <w:rPr>
          <w:b/>
          <w:kern w:val="28"/>
        </w:rPr>
        <w:t>Family Impact Statement</w:t>
      </w:r>
    </w:p>
    <w:p w14:paraId="44518F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the proposed </w:t>
      </w:r>
      <w:r w:rsidRPr="006E50FF">
        <w:rPr>
          <w:kern w:val="2"/>
        </w:rPr>
        <w:t>amendments on the family has been considered. It is not anticipated that the proposed amendments will have any impact on family formation, stability or autonomy, as described in R.S. 49:972.</w:t>
      </w:r>
    </w:p>
    <w:p w14:paraId="07EEBC91" w14:textId="77777777" w:rsidR="006E50FF" w:rsidRPr="006E50FF" w:rsidRDefault="006E50FF" w:rsidP="006E50FF">
      <w:pPr>
        <w:keepNext/>
        <w:jc w:val="center"/>
        <w:rPr>
          <w:b/>
          <w:kern w:val="28"/>
        </w:rPr>
      </w:pPr>
      <w:r w:rsidRPr="006E50FF">
        <w:rPr>
          <w:b/>
          <w:kern w:val="28"/>
        </w:rPr>
        <w:t>Poverty Impact Statement</w:t>
      </w:r>
    </w:p>
    <w:p w14:paraId="6CC4CC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impact of the proposed amendments on those that may be living at or below one hundred percent of the federal poverty line has been considered. It is not anticipated that the proposed amendments will have any impact on child, individual or family poverty in relation to individual or community asset development, as described in R.S. 49:973.</w:t>
      </w:r>
    </w:p>
    <w:p w14:paraId="54F4DB82" w14:textId="77777777" w:rsidR="006E50FF" w:rsidRPr="006E50FF" w:rsidRDefault="006E50FF" w:rsidP="006E50FF">
      <w:pPr>
        <w:keepNext/>
        <w:jc w:val="center"/>
        <w:rPr>
          <w:b/>
          <w:kern w:val="28"/>
        </w:rPr>
      </w:pPr>
      <w:r w:rsidRPr="006E50FF">
        <w:rPr>
          <w:b/>
          <w:kern w:val="28"/>
        </w:rPr>
        <w:t>Small Business Analysis</w:t>
      </w:r>
    </w:p>
    <w:p w14:paraId="5095E9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It is not anticipated that the proposed amendments will have any adverse impact on small businesses as defined in the Regulatory Flexibility Act, R.S. 49:978.1 et seq.</w:t>
      </w:r>
    </w:p>
    <w:p w14:paraId="221EA90E" w14:textId="77777777" w:rsidR="006E50FF" w:rsidRPr="006E50FF" w:rsidRDefault="006E50FF" w:rsidP="006E50FF">
      <w:pPr>
        <w:keepNext/>
        <w:jc w:val="center"/>
        <w:rPr>
          <w:b/>
          <w:kern w:val="28"/>
        </w:rPr>
      </w:pPr>
      <w:r w:rsidRPr="006E50FF">
        <w:rPr>
          <w:b/>
          <w:kern w:val="28"/>
        </w:rPr>
        <w:t>Provider Impact Statement</w:t>
      </w:r>
    </w:p>
    <w:p w14:paraId="0D484B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HCR 170 of the 2014 Regular Session of the Louisiana Legislature, the impact of the proposed amendments on organizations that provide services for individuals with developmental disabilities has been considered. It is not anticipated that the proposed amendments will have any impact on the staffing, costs or overall ability of such organizations to provide the same level of services, as described in HCR 170.</w:t>
      </w:r>
    </w:p>
    <w:p w14:paraId="299045B9" w14:textId="77777777" w:rsidR="006E50FF" w:rsidRPr="006E50FF" w:rsidRDefault="006E50FF" w:rsidP="006E50FF">
      <w:pPr>
        <w:keepNext/>
        <w:jc w:val="center"/>
        <w:rPr>
          <w:b/>
          <w:kern w:val="28"/>
        </w:rPr>
      </w:pPr>
      <w:r w:rsidRPr="006E50FF">
        <w:rPr>
          <w:b/>
          <w:kern w:val="28"/>
        </w:rPr>
        <w:t>Public Comments</w:t>
      </w:r>
    </w:p>
    <w:p w14:paraId="1ECF8C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data, views, arguments, information or comments on the proposed amendments to Jacintha Duthu, LSBME, 630 Camp Street, New Orleans, LA 70130. She is responsible for responding to inquiries. Written comments will be accepted until 4 p.m. on October 21, 2026.</w:t>
      </w:r>
    </w:p>
    <w:p w14:paraId="1B545A62" w14:textId="77777777" w:rsidR="006E50FF" w:rsidRPr="006E50FF" w:rsidRDefault="006E50FF" w:rsidP="006E50FF">
      <w:pPr>
        <w:keepNext/>
        <w:jc w:val="center"/>
        <w:rPr>
          <w:b/>
          <w:kern w:val="28"/>
        </w:rPr>
      </w:pPr>
      <w:r w:rsidRPr="006E50FF">
        <w:rPr>
          <w:b/>
          <w:kern w:val="28"/>
        </w:rPr>
        <w:t>Public Hearing</w:t>
      </w:r>
    </w:p>
    <w:p w14:paraId="0E1C28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request pursuant to R.S. 49:953(A)(2) for a public hearing must be made in writing and received by the board within 20 days of the date of this notice. If a public hearing is requested to provide data, views, arguments, information or comments orally in accordance with the Louisiana Administrative Procedure Act, the hearing will be held on October 21, 2026 at 9 a.m., at the office of the LSBME, 630 Camp Street, New Orleans, LA 70130. Any person wishing to attend should call in advance to confirm.</w:t>
      </w:r>
    </w:p>
    <w:p w14:paraId="694710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653955E" w14:textId="77777777" w:rsidR="006E50FF" w:rsidRPr="006E50FF" w:rsidRDefault="006E50FF" w:rsidP="006E50FF">
      <w:pPr>
        <w:keepNext/>
        <w:ind w:left="2160"/>
        <w:jc w:val="both"/>
      </w:pPr>
      <w:r w:rsidRPr="006E50FF">
        <w:t>Vincent A. Culotta, Jr., M.D.,</w:t>
      </w:r>
    </w:p>
    <w:p w14:paraId="2F96194E" w14:textId="77777777" w:rsidR="006E50FF" w:rsidRPr="006E50FF" w:rsidRDefault="006E50FF" w:rsidP="006E50FF">
      <w:pPr>
        <w:keepNext/>
        <w:ind w:left="2160"/>
        <w:jc w:val="both"/>
      </w:pPr>
      <w:r w:rsidRPr="006E50FF">
        <w:t>Executive Director</w:t>
      </w:r>
    </w:p>
    <w:p w14:paraId="2C559D3A" w14:textId="77777777" w:rsidR="006E50FF" w:rsidRPr="006E50FF" w:rsidRDefault="006E50FF" w:rsidP="006E50FF">
      <w:pPr>
        <w:keepNext/>
        <w:jc w:val="center"/>
        <w:rPr>
          <w:b/>
        </w:rPr>
      </w:pPr>
    </w:p>
    <w:p w14:paraId="6B7D9661" w14:textId="77777777" w:rsidR="006E50FF" w:rsidRPr="006E50FF" w:rsidRDefault="006E50FF" w:rsidP="006E50FF">
      <w:pPr>
        <w:keepNext/>
        <w:jc w:val="center"/>
        <w:rPr>
          <w:b/>
        </w:rPr>
      </w:pPr>
      <w:r w:rsidRPr="006E50FF">
        <w:rPr>
          <w:b/>
        </w:rPr>
        <w:t>FISCAL AND ECONOMIC IMPACT STATEMENT FOR ADMINISTRATIVE RULES</w:t>
      </w:r>
    </w:p>
    <w:p w14:paraId="4BFEFF0C" w14:textId="77777777" w:rsidR="006E50FF" w:rsidRPr="006E50FF" w:rsidRDefault="006E50FF" w:rsidP="006E50FF">
      <w:pPr>
        <w:keepNext/>
        <w:jc w:val="center"/>
        <w:rPr>
          <w:b/>
          <w:noProof/>
        </w:rPr>
      </w:pPr>
      <w:r w:rsidRPr="006E50FF">
        <w:rPr>
          <w:b/>
          <w:noProof/>
        </w:rPr>
        <w:t>RULE TITLE:  Adjudication</w:t>
      </w:r>
    </w:p>
    <w:p w14:paraId="108B5A4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D135DB6"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7AFEFBFC" w14:textId="77777777" w:rsidR="006E50FF" w:rsidRPr="006E50FF" w:rsidRDefault="006E50FF" w:rsidP="006E50FF">
      <w:pPr>
        <w:ind w:left="288" w:firstLine="288"/>
        <w:jc w:val="both"/>
        <w:rPr>
          <w:noProof/>
          <w:sz w:val="18"/>
        </w:rPr>
      </w:pPr>
      <w:r w:rsidRPr="006E50FF">
        <w:rPr>
          <w:noProof/>
          <w:sz w:val="18"/>
        </w:rPr>
        <w:t xml:space="preserve">Other than the cost of rulemaking, there are no estimated implementation costs or savings for state or local governmental units resulting from the promulgation of the proposed rule change. The cost for the Louisiana State Board of Medical Examiners (LSBME) is approximately $640 in FY 27 for the notice and rule publication in the </w:t>
      </w:r>
      <w:r w:rsidRPr="006E50FF">
        <w:rPr>
          <w:i/>
          <w:iCs/>
          <w:noProof/>
          <w:sz w:val="18"/>
        </w:rPr>
        <w:t>Louisiana Register</w:t>
      </w:r>
      <w:r w:rsidRPr="006E50FF">
        <w:rPr>
          <w:noProof/>
          <w:sz w:val="18"/>
        </w:rPr>
        <w:t>.</w:t>
      </w:r>
    </w:p>
    <w:p w14:paraId="2315EFD4" w14:textId="77777777" w:rsidR="006E50FF" w:rsidRPr="006E50FF" w:rsidRDefault="006E50FF" w:rsidP="006E50FF">
      <w:pPr>
        <w:ind w:left="288" w:firstLine="288"/>
        <w:jc w:val="both"/>
        <w:rPr>
          <w:sz w:val="18"/>
        </w:rPr>
      </w:pPr>
      <w:r w:rsidRPr="006E50FF">
        <w:rPr>
          <w:sz w:val="18"/>
        </w:rPr>
        <w:t xml:space="preserve">LSBME proposes to amend the section governing the assessment of costs and fines for a respondent to board proceedings. The proposed rule removes the self-imposed recovery cap of $75,000 for physicians and $25,000 for allied health care practitioners. It also makes amendments to notify the </w:t>
      </w:r>
      <w:r w:rsidRPr="006E50FF">
        <w:rPr>
          <w:sz w:val="18"/>
        </w:rPr>
        <w:lastRenderedPageBreak/>
        <w:t>licensees that failure to pay or comply with a payment plan will result in referral to the Office of the Attorney General (AG) for collections.</w:t>
      </w:r>
    </w:p>
    <w:p w14:paraId="1B9E667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6CDC3E4" w14:textId="77777777" w:rsidR="006E50FF" w:rsidRPr="006E50FF" w:rsidRDefault="006E50FF" w:rsidP="006E50FF">
      <w:pPr>
        <w:ind w:left="288" w:firstLine="288"/>
        <w:jc w:val="both"/>
        <w:rPr>
          <w:sz w:val="18"/>
        </w:rPr>
      </w:pPr>
      <w:r w:rsidRPr="006E50FF">
        <w:rPr>
          <w:sz w:val="18"/>
        </w:rPr>
        <w:t>The proposed rule change is not anticipated to impact the revenue collections of state or local governmental units.</w:t>
      </w:r>
    </w:p>
    <w:p w14:paraId="3EE0C171"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F69EE0E" w14:textId="77777777" w:rsidR="006E50FF" w:rsidRPr="006E50FF" w:rsidRDefault="006E50FF" w:rsidP="006E50FF">
      <w:pPr>
        <w:ind w:left="288" w:firstLine="288"/>
        <w:jc w:val="both"/>
        <w:rPr>
          <w:sz w:val="18"/>
        </w:rPr>
      </w:pPr>
      <w:r w:rsidRPr="006E50FF">
        <w:rPr>
          <w:sz w:val="18"/>
        </w:rPr>
        <w:t>The proposed rule is not anticipated to result in any material economic impact on directly affected persons, small businesses, or non-governmental groups.</w:t>
      </w:r>
    </w:p>
    <w:p w14:paraId="2DDE7F6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BCA76F9" w14:textId="77777777" w:rsidR="006E50FF" w:rsidRPr="006E50FF" w:rsidRDefault="006E50FF" w:rsidP="006E50FF">
      <w:pPr>
        <w:ind w:left="288" w:firstLine="288"/>
        <w:jc w:val="both"/>
        <w:rPr>
          <w:sz w:val="18"/>
        </w:rPr>
      </w:pPr>
      <w:r w:rsidRPr="006E50FF">
        <w:rPr>
          <w:sz w:val="18"/>
        </w:rPr>
        <w:t>The proposed rule change is not anticipated to have an effect on competition or employment.</w:t>
      </w:r>
    </w:p>
    <w:p w14:paraId="3142FF28" w14:textId="77777777" w:rsidR="006E50FF" w:rsidRPr="006E50FF" w:rsidRDefault="006E50FF" w:rsidP="006E50FF">
      <w:pPr>
        <w:ind w:left="288" w:firstLine="288"/>
        <w:jc w:val="both"/>
        <w:rPr>
          <w:sz w:val="18"/>
        </w:rPr>
      </w:pPr>
    </w:p>
    <w:p w14:paraId="72436D0E" w14:textId="77777777" w:rsidR="006E50FF" w:rsidRPr="006E50FF" w:rsidRDefault="006E50FF" w:rsidP="006E50FF">
      <w:pPr>
        <w:tabs>
          <w:tab w:val="left" w:pos="2880"/>
          <w:tab w:val="decimal" w:pos="2988"/>
        </w:tabs>
        <w:outlineLvl w:val="8"/>
        <w:rPr>
          <w:kern w:val="2"/>
          <w:sz w:val="18"/>
        </w:rPr>
      </w:pPr>
      <w:r w:rsidRPr="006E50FF">
        <w:rPr>
          <w:kern w:val="2"/>
          <w:sz w:val="18"/>
        </w:rPr>
        <w:t>Dr. Vincent Culotta, Jr.</w:t>
      </w:r>
      <w:r w:rsidRPr="006E50FF">
        <w:rPr>
          <w:kern w:val="2"/>
          <w:sz w:val="18"/>
        </w:rPr>
        <w:tab/>
        <w:t>Alan M. Boxberger</w:t>
      </w:r>
    </w:p>
    <w:p w14:paraId="1FBBB5E3"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7F3D8C6B" w14:textId="77777777" w:rsidR="006E50FF" w:rsidRPr="006E50FF" w:rsidRDefault="006E50FF" w:rsidP="006E50FF">
      <w:pPr>
        <w:tabs>
          <w:tab w:val="left" w:pos="2880"/>
          <w:tab w:val="decimal" w:pos="2988"/>
        </w:tabs>
        <w:outlineLvl w:val="8"/>
        <w:rPr>
          <w:kern w:val="2"/>
          <w:sz w:val="18"/>
        </w:rPr>
      </w:pPr>
      <w:r w:rsidRPr="006E50FF">
        <w:rPr>
          <w:noProof/>
          <w:sz w:val="16"/>
        </w:rPr>
        <w:t>2609#080</w:t>
      </w:r>
      <w:r w:rsidRPr="006E50FF">
        <w:rPr>
          <w:kern w:val="2"/>
        </w:rPr>
        <w:tab/>
      </w:r>
      <w:r w:rsidRPr="006E50FF">
        <w:rPr>
          <w:kern w:val="2"/>
          <w:sz w:val="18"/>
        </w:rPr>
        <w:t>Legislative Fiscal Office</w:t>
      </w:r>
    </w:p>
    <w:p w14:paraId="7740E598" w14:textId="77777777" w:rsidR="006E50FF" w:rsidRPr="006E50FF" w:rsidRDefault="006E50FF" w:rsidP="006E50FF"/>
    <w:p w14:paraId="0FB4FAD2"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2D0714D8" w14:textId="77777777" w:rsidR="006E50FF" w:rsidRPr="006E50FF" w:rsidRDefault="006E50FF" w:rsidP="006E50FF">
      <w:pPr>
        <w:keepNext/>
        <w:jc w:val="center"/>
        <w:rPr>
          <w:b/>
          <w:noProof/>
        </w:rPr>
      </w:pPr>
      <w:r w:rsidRPr="006E50FF">
        <w:rPr>
          <w:b/>
          <w:noProof/>
        </w:rPr>
        <w:t>Department of Health</w:t>
      </w:r>
    </w:p>
    <w:p w14:paraId="03B7720C" w14:textId="77777777" w:rsidR="006E50FF" w:rsidRPr="006E50FF" w:rsidRDefault="006E50FF" w:rsidP="006E50FF">
      <w:pPr>
        <w:keepNext/>
        <w:jc w:val="center"/>
        <w:rPr>
          <w:b/>
          <w:noProof/>
        </w:rPr>
      </w:pPr>
      <w:r w:rsidRPr="006E50FF">
        <w:rPr>
          <w:b/>
          <w:noProof/>
        </w:rPr>
        <w:t>Board of Medical Examiners</w:t>
      </w:r>
    </w:p>
    <w:p w14:paraId="2F9EE617" w14:textId="77777777" w:rsidR="006E50FF" w:rsidRPr="006E50FF" w:rsidRDefault="006E50FF" w:rsidP="006E50FF">
      <w:pPr>
        <w:keepNext/>
        <w:spacing w:before="240" w:after="240"/>
        <w:jc w:val="center"/>
        <w:rPr>
          <w:noProof/>
          <w:szCs w:val="24"/>
        </w:rPr>
      </w:pPr>
      <w:r w:rsidRPr="006E50FF">
        <w:rPr>
          <w:noProof/>
        </w:rPr>
        <w:t xml:space="preserve">Physician Collaboration with Advanced Practice Registered Nurses </w:t>
      </w:r>
      <w:r w:rsidRPr="006E50FF">
        <w:rPr>
          <w:noProof/>
          <w:szCs w:val="24"/>
        </w:rPr>
        <w:t>(LAC 46:XLV.7901)</w:t>
      </w:r>
    </w:p>
    <w:p w14:paraId="7DEDCE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that in accordance with the Administrative Procedure Act, R.S. 49:950 et seq., and pursuant to the authority vested in the Board of Medical Examiners (the board) by the Louisiana Medical Practice Act., R.S. 37:1270 et seq., the board proposes to amend its rules </w:t>
      </w:r>
      <w:bookmarkStart w:id="591" w:name="_Hlk210901022"/>
      <w:r w:rsidRPr="006E50FF">
        <w:rPr>
          <w:kern w:val="2"/>
        </w:rPr>
        <w:t>governing Physician Collaboration with Advanced Practice Registered Nurses to update reporting requirements, clarify when a collaborative practice agreement is necessary and what should be included, and correct typographical errors.</w:t>
      </w:r>
      <w:bookmarkEnd w:id="591"/>
      <w:r w:rsidRPr="006E50FF">
        <w:rPr>
          <w:kern w:val="2"/>
        </w:rPr>
        <w:t xml:space="preserve"> </w:t>
      </w:r>
    </w:p>
    <w:p w14:paraId="2726755E" w14:textId="77777777" w:rsidR="006E50FF" w:rsidRPr="006E50FF" w:rsidRDefault="006E50FF" w:rsidP="006E50FF">
      <w:pPr>
        <w:keepNext/>
        <w:jc w:val="center"/>
        <w:rPr>
          <w:b/>
          <w:kern w:val="28"/>
        </w:rPr>
      </w:pPr>
      <w:r w:rsidRPr="006E50FF">
        <w:rPr>
          <w:b/>
          <w:kern w:val="28"/>
        </w:rPr>
        <w:t>Title 46</w:t>
      </w:r>
    </w:p>
    <w:p w14:paraId="097152B8" w14:textId="77777777" w:rsidR="006E50FF" w:rsidRPr="006E50FF" w:rsidRDefault="006E50FF" w:rsidP="006E50FF">
      <w:pPr>
        <w:keepNext/>
        <w:jc w:val="center"/>
        <w:rPr>
          <w:b/>
          <w:kern w:val="28"/>
        </w:rPr>
      </w:pPr>
      <w:r w:rsidRPr="006E50FF">
        <w:rPr>
          <w:b/>
          <w:kern w:val="28"/>
        </w:rPr>
        <w:t>PROFESSIONAL AND OCCUPATIONAL STANDARDS</w:t>
      </w:r>
    </w:p>
    <w:p w14:paraId="5B7F1FD4" w14:textId="77777777" w:rsidR="006E50FF" w:rsidRPr="006E50FF" w:rsidRDefault="006E50FF" w:rsidP="006E50FF">
      <w:pPr>
        <w:keepNext/>
        <w:jc w:val="center"/>
        <w:rPr>
          <w:b/>
          <w:noProof/>
        </w:rPr>
      </w:pPr>
      <w:r w:rsidRPr="006E50FF">
        <w:rPr>
          <w:b/>
          <w:noProof/>
        </w:rPr>
        <w:t>Part XLV.  Medical Professionals</w:t>
      </w:r>
    </w:p>
    <w:p w14:paraId="36F4F0B1" w14:textId="77777777" w:rsidR="006E50FF" w:rsidRPr="006E50FF" w:rsidRDefault="006E50FF" w:rsidP="006E50FF">
      <w:pPr>
        <w:keepNext/>
        <w:jc w:val="center"/>
        <w:rPr>
          <w:b/>
          <w:noProof/>
        </w:rPr>
      </w:pPr>
      <w:r w:rsidRPr="006E50FF">
        <w:rPr>
          <w:b/>
          <w:noProof/>
        </w:rPr>
        <w:t>Subpart 3.  Practice</w:t>
      </w:r>
    </w:p>
    <w:p w14:paraId="6DC2869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79.</w:t>
      </w:r>
      <w:r w:rsidRPr="006E50FF">
        <w:rPr>
          <w:b/>
          <w:kern w:val="2"/>
        </w:rPr>
        <w:tab/>
        <w:t>Physician Collaboration with Advanced Practice Registered Nurses</w:t>
      </w:r>
    </w:p>
    <w:p w14:paraId="5AB3772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20"/>
          <w:kern w:val="2"/>
        </w:rPr>
        <w:t xml:space="preserve"> </w:t>
      </w:r>
      <w:r w:rsidRPr="006E50FF">
        <w:rPr>
          <w:b/>
          <w:kern w:val="2"/>
        </w:rPr>
        <w:t>A.</w:t>
      </w:r>
      <w:r w:rsidRPr="006E50FF">
        <w:rPr>
          <w:b/>
          <w:spacing w:val="46"/>
          <w:kern w:val="2"/>
        </w:rPr>
        <w:tab/>
      </w:r>
      <w:r w:rsidRPr="006E50FF">
        <w:rPr>
          <w:b/>
          <w:kern w:val="2"/>
        </w:rPr>
        <w:t>General</w:t>
      </w:r>
      <w:r w:rsidRPr="006E50FF">
        <w:rPr>
          <w:b/>
          <w:spacing w:val="-2"/>
          <w:kern w:val="2"/>
        </w:rPr>
        <w:t xml:space="preserve"> Provisions</w:t>
      </w:r>
    </w:p>
    <w:p w14:paraId="31EFC51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§7901.</w:t>
      </w:r>
      <w:r w:rsidRPr="006E50FF">
        <w:rPr>
          <w:b/>
          <w:kern w:val="2"/>
        </w:rPr>
        <w:tab/>
      </w:r>
      <w:r w:rsidRPr="006E50FF">
        <w:rPr>
          <w:b/>
          <w:spacing w:val="-2"/>
          <w:kern w:val="2"/>
        </w:rPr>
        <w:t>Scope</w:t>
      </w:r>
    </w:p>
    <w:p w14:paraId="566942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rules of this Chapter govern the practice of` physicians in this state who engage in collaborative practice with</w:t>
      </w:r>
      <w:r w:rsidRPr="006E50FF">
        <w:rPr>
          <w:spacing w:val="-7"/>
          <w:kern w:val="2"/>
        </w:rPr>
        <w:t xml:space="preserve"> </w:t>
      </w:r>
      <w:r w:rsidRPr="006E50FF">
        <w:rPr>
          <w:kern w:val="2"/>
        </w:rPr>
        <w:t>an</w:t>
      </w:r>
      <w:r w:rsidRPr="006E50FF">
        <w:rPr>
          <w:spacing w:val="-7"/>
          <w:kern w:val="2"/>
        </w:rPr>
        <w:t xml:space="preserve"> </w:t>
      </w:r>
      <w:r w:rsidRPr="006E50FF">
        <w:rPr>
          <w:kern w:val="2"/>
        </w:rPr>
        <w:t>advanced</w:t>
      </w:r>
      <w:r w:rsidRPr="006E50FF">
        <w:rPr>
          <w:spacing w:val="-5"/>
          <w:kern w:val="2"/>
        </w:rPr>
        <w:t xml:space="preserve"> </w:t>
      </w:r>
      <w:r w:rsidRPr="006E50FF">
        <w:rPr>
          <w:kern w:val="2"/>
        </w:rPr>
        <w:t>practice</w:t>
      </w:r>
      <w:r w:rsidRPr="006E50FF">
        <w:rPr>
          <w:spacing w:val="-6"/>
          <w:kern w:val="2"/>
        </w:rPr>
        <w:t xml:space="preserve"> </w:t>
      </w:r>
      <w:r w:rsidRPr="006E50FF">
        <w:rPr>
          <w:kern w:val="2"/>
        </w:rPr>
        <w:t>registered</w:t>
      </w:r>
      <w:r w:rsidRPr="006E50FF">
        <w:rPr>
          <w:spacing w:val="-5"/>
          <w:kern w:val="2"/>
        </w:rPr>
        <w:t xml:space="preserve"> </w:t>
      </w:r>
      <w:r w:rsidRPr="006E50FF">
        <w:rPr>
          <w:kern w:val="2"/>
        </w:rPr>
        <w:t>nurse</w:t>
      </w:r>
      <w:r w:rsidRPr="006E50FF">
        <w:rPr>
          <w:spacing w:val="-3"/>
          <w:kern w:val="2"/>
        </w:rPr>
        <w:t xml:space="preserve"> </w:t>
      </w:r>
      <w:r w:rsidRPr="006E50FF">
        <w:rPr>
          <w:kern w:val="2"/>
        </w:rPr>
        <w:t>who</w:t>
      </w:r>
      <w:r w:rsidRPr="006E50FF">
        <w:rPr>
          <w:spacing w:val="-5"/>
          <w:kern w:val="2"/>
        </w:rPr>
        <w:t xml:space="preserve"> </w:t>
      </w:r>
      <w:r w:rsidRPr="006E50FF">
        <w:rPr>
          <w:kern w:val="2"/>
        </w:rPr>
        <w:t>provides</w:t>
      </w:r>
      <w:r w:rsidRPr="006E50FF">
        <w:rPr>
          <w:spacing w:val="-7"/>
          <w:kern w:val="2"/>
        </w:rPr>
        <w:t xml:space="preserve"> </w:t>
      </w:r>
      <w:r w:rsidRPr="006E50FF">
        <w:rPr>
          <w:kern w:val="2"/>
        </w:rPr>
        <w:t>acts of medical diagnosis or prescribing under the supervision of the collaborating physician within an area of practice</w:t>
      </w:r>
      <w:r w:rsidRPr="006E50FF">
        <w:rPr>
          <w:spacing w:val="-11"/>
          <w:kern w:val="2"/>
        </w:rPr>
        <w:t xml:space="preserve"> mutually </w:t>
      </w:r>
      <w:r w:rsidRPr="006E50FF">
        <w:rPr>
          <w:kern w:val="2"/>
        </w:rPr>
        <w:t>comparable</w:t>
      </w:r>
      <w:r w:rsidRPr="006E50FF">
        <w:rPr>
          <w:spacing w:val="-12"/>
          <w:kern w:val="2"/>
        </w:rPr>
        <w:t xml:space="preserve"> </w:t>
      </w:r>
      <w:r w:rsidRPr="006E50FF">
        <w:rPr>
          <w:kern w:val="2"/>
        </w:rPr>
        <w:t>in</w:t>
      </w:r>
      <w:r w:rsidRPr="006E50FF">
        <w:rPr>
          <w:spacing w:val="-13"/>
          <w:kern w:val="2"/>
        </w:rPr>
        <w:t xml:space="preserve"> </w:t>
      </w:r>
      <w:r w:rsidRPr="006E50FF">
        <w:rPr>
          <w:kern w:val="2"/>
        </w:rPr>
        <w:t>scope,</w:t>
      </w:r>
      <w:r w:rsidRPr="006E50FF">
        <w:rPr>
          <w:spacing w:val="-11"/>
          <w:kern w:val="2"/>
        </w:rPr>
        <w:t xml:space="preserve"> </w:t>
      </w:r>
      <w:r w:rsidRPr="006E50FF">
        <w:rPr>
          <w:kern w:val="2"/>
        </w:rPr>
        <w:t>specialty,</w:t>
      </w:r>
      <w:r w:rsidRPr="006E50FF">
        <w:rPr>
          <w:spacing w:val="-11"/>
          <w:kern w:val="2"/>
        </w:rPr>
        <w:t xml:space="preserve"> </w:t>
      </w:r>
      <w:r w:rsidRPr="006E50FF">
        <w:rPr>
          <w:kern w:val="2"/>
        </w:rPr>
        <w:t>or expertise.</w:t>
      </w:r>
    </w:p>
    <w:p w14:paraId="1F260A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115EF56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w:t>
      </w:r>
      <w:r w:rsidRPr="006E50FF">
        <w:rPr>
          <w:spacing w:val="-2"/>
          <w:kern w:val="2"/>
          <w:sz w:val="18"/>
        </w:rPr>
        <w:t xml:space="preserve"> </w:t>
      </w:r>
      <w:r w:rsidRPr="006E50FF">
        <w:rPr>
          <w:kern w:val="2"/>
          <w:sz w:val="18"/>
        </w:rPr>
        <w:t>Board</w:t>
      </w:r>
      <w:r w:rsidRPr="006E50FF">
        <w:rPr>
          <w:spacing w:val="-3"/>
          <w:kern w:val="2"/>
          <w:sz w:val="18"/>
        </w:rPr>
        <w:t xml:space="preserve"> </w:t>
      </w:r>
      <w:r w:rsidRPr="006E50FF">
        <w:rPr>
          <w:kern w:val="2"/>
          <w:sz w:val="18"/>
        </w:rPr>
        <w:t>of</w:t>
      </w:r>
      <w:r w:rsidRPr="006E50FF">
        <w:rPr>
          <w:spacing w:val="-4"/>
          <w:kern w:val="2"/>
          <w:sz w:val="18"/>
        </w:rPr>
        <w:t xml:space="preserve"> </w:t>
      </w:r>
      <w:r w:rsidRPr="006E50FF">
        <w:rPr>
          <w:kern w:val="2"/>
          <w:sz w:val="18"/>
        </w:rPr>
        <w:t>Medical</w:t>
      </w:r>
      <w:r w:rsidRPr="006E50FF">
        <w:rPr>
          <w:spacing w:val="-1"/>
          <w:kern w:val="2"/>
          <w:sz w:val="18"/>
        </w:rPr>
        <w:t xml:space="preserve"> </w:t>
      </w:r>
      <w:r w:rsidRPr="006E50FF">
        <w:rPr>
          <w:kern w:val="2"/>
          <w:sz w:val="18"/>
        </w:rPr>
        <w:t>Examiners,</w:t>
      </w:r>
      <w:r w:rsidRPr="006E50FF">
        <w:rPr>
          <w:spacing w:val="-2"/>
          <w:kern w:val="2"/>
          <w:sz w:val="18"/>
        </w:rPr>
        <w:t xml:space="preserve"> </w:t>
      </w:r>
      <w:r w:rsidRPr="006E50FF">
        <w:rPr>
          <w:kern w:val="2"/>
          <w:sz w:val="18"/>
        </w:rPr>
        <w:t>LR 44:2720</w:t>
      </w:r>
      <w:r w:rsidRPr="006E50FF">
        <w:rPr>
          <w:spacing w:val="-1"/>
          <w:kern w:val="2"/>
          <w:sz w:val="18"/>
        </w:rPr>
        <w:t xml:space="preserve"> </w:t>
      </w:r>
      <w:r w:rsidRPr="006E50FF">
        <w:rPr>
          <w:kern w:val="2"/>
          <w:sz w:val="18"/>
        </w:rPr>
        <w:t>(February</w:t>
      </w:r>
      <w:r w:rsidRPr="006E50FF">
        <w:rPr>
          <w:spacing w:val="-5"/>
          <w:kern w:val="2"/>
          <w:sz w:val="18"/>
        </w:rPr>
        <w:t xml:space="preserve"> </w:t>
      </w:r>
      <w:r w:rsidRPr="006E50FF">
        <w:rPr>
          <w:spacing w:val="-2"/>
          <w:kern w:val="2"/>
          <w:sz w:val="18"/>
        </w:rPr>
        <w:t xml:space="preserve">2018), </w:t>
      </w:r>
      <w:r w:rsidRPr="006E50FF">
        <w:rPr>
          <w:kern w:val="2"/>
          <w:sz w:val="18"/>
        </w:rPr>
        <w:t>amended LR 52:</w:t>
      </w:r>
    </w:p>
    <w:p w14:paraId="02F9DF8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§7903.</w:t>
      </w:r>
      <w:r w:rsidRPr="006E50FF">
        <w:rPr>
          <w:b/>
          <w:spacing w:val="32"/>
          <w:kern w:val="2"/>
        </w:rPr>
        <w:tab/>
      </w:r>
      <w:r w:rsidRPr="006E50FF">
        <w:rPr>
          <w:b/>
          <w:kern w:val="2"/>
        </w:rPr>
        <w:t>Definitions</w:t>
      </w:r>
    </w:p>
    <w:p w14:paraId="470096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As</w:t>
      </w:r>
      <w:r w:rsidRPr="006E50FF">
        <w:rPr>
          <w:spacing w:val="-9"/>
          <w:kern w:val="2"/>
        </w:rPr>
        <w:t xml:space="preserve"> </w:t>
      </w:r>
      <w:r w:rsidRPr="006E50FF">
        <w:rPr>
          <w:kern w:val="2"/>
        </w:rPr>
        <w:t>used</w:t>
      </w:r>
      <w:r w:rsidRPr="006E50FF">
        <w:rPr>
          <w:spacing w:val="-7"/>
          <w:kern w:val="2"/>
        </w:rPr>
        <w:t xml:space="preserve"> </w:t>
      </w:r>
      <w:r w:rsidRPr="006E50FF">
        <w:rPr>
          <w:kern w:val="2"/>
        </w:rPr>
        <w:t>in</w:t>
      </w:r>
      <w:r w:rsidRPr="006E50FF">
        <w:rPr>
          <w:spacing w:val="-10"/>
          <w:kern w:val="2"/>
        </w:rPr>
        <w:t xml:space="preserve"> </w:t>
      </w:r>
      <w:r w:rsidRPr="006E50FF">
        <w:rPr>
          <w:kern w:val="2"/>
        </w:rPr>
        <w:t>this</w:t>
      </w:r>
      <w:r w:rsidRPr="006E50FF">
        <w:rPr>
          <w:spacing w:val="-9"/>
          <w:kern w:val="2"/>
        </w:rPr>
        <w:t xml:space="preserve"> </w:t>
      </w:r>
      <w:r w:rsidRPr="006E50FF">
        <w:rPr>
          <w:kern w:val="2"/>
        </w:rPr>
        <w:t>Chapter,</w:t>
      </w:r>
      <w:r w:rsidRPr="006E50FF">
        <w:rPr>
          <w:spacing w:val="-8"/>
          <w:kern w:val="2"/>
        </w:rPr>
        <w:t xml:space="preserve"> </w:t>
      </w:r>
      <w:r w:rsidRPr="006E50FF">
        <w:rPr>
          <w:kern w:val="2"/>
        </w:rPr>
        <w:t>the</w:t>
      </w:r>
      <w:r w:rsidRPr="006E50FF">
        <w:rPr>
          <w:spacing w:val="-8"/>
          <w:kern w:val="2"/>
        </w:rPr>
        <w:t xml:space="preserve"> </w:t>
      </w:r>
      <w:r w:rsidRPr="006E50FF">
        <w:rPr>
          <w:kern w:val="2"/>
        </w:rPr>
        <w:t>following</w:t>
      </w:r>
      <w:r w:rsidRPr="006E50FF">
        <w:rPr>
          <w:spacing w:val="-10"/>
          <w:kern w:val="2"/>
        </w:rPr>
        <w:t xml:space="preserve"> </w:t>
      </w:r>
      <w:r w:rsidRPr="006E50FF">
        <w:rPr>
          <w:kern w:val="2"/>
        </w:rPr>
        <w:t>terms</w:t>
      </w:r>
      <w:r w:rsidRPr="006E50FF">
        <w:rPr>
          <w:spacing w:val="-9"/>
          <w:kern w:val="2"/>
        </w:rPr>
        <w:t xml:space="preserve"> </w:t>
      </w:r>
      <w:r w:rsidRPr="006E50FF">
        <w:rPr>
          <w:kern w:val="2"/>
        </w:rPr>
        <w:t>shall</w:t>
      </w:r>
      <w:r w:rsidRPr="006E50FF">
        <w:rPr>
          <w:spacing w:val="-9"/>
          <w:kern w:val="2"/>
        </w:rPr>
        <w:t xml:space="preserve"> </w:t>
      </w:r>
      <w:r w:rsidRPr="006E50FF">
        <w:rPr>
          <w:kern w:val="2"/>
        </w:rPr>
        <w:t>have the meanings specified.</w:t>
      </w:r>
    </w:p>
    <w:p w14:paraId="7C888AE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Act</w:t>
      </w:r>
      <w:r w:rsidRPr="006E50FF">
        <w:rPr>
          <w:kern w:val="2"/>
        </w:rPr>
        <w:t>—the</w:t>
      </w:r>
      <w:r w:rsidRPr="006E50FF">
        <w:rPr>
          <w:spacing w:val="36"/>
          <w:kern w:val="2"/>
        </w:rPr>
        <w:t xml:space="preserve"> </w:t>
      </w:r>
      <w:r w:rsidRPr="006E50FF">
        <w:rPr>
          <w:kern w:val="2"/>
        </w:rPr>
        <w:t>Louisiana</w:t>
      </w:r>
      <w:r w:rsidRPr="006E50FF">
        <w:rPr>
          <w:spacing w:val="34"/>
          <w:kern w:val="2"/>
        </w:rPr>
        <w:t xml:space="preserve"> </w:t>
      </w:r>
      <w:r w:rsidRPr="006E50FF">
        <w:rPr>
          <w:kern w:val="2"/>
        </w:rPr>
        <w:t>Medical</w:t>
      </w:r>
      <w:r w:rsidRPr="006E50FF">
        <w:rPr>
          <w:spacing w:val="37"/>
          <w:kern w:val="2"/>
        </w:rPr>
        <w:t xml:space="preserve"> </w:t>
      </w:r>
      <w:r w:rsidRPr="006E50FF">
        <w:rPr>
          <w:kern w:val="2"/>
        </w:rPr>
        <w:t>Practice</w:t>
      </w:r>
      <w:r w:rsidRPr="006E50FF">
        <w:rPr>
          <w:spacing w:val="16"/>
          <w:kern w:val="2"/>
        </w:rPr>
        <w:t xml:space="preserve"> </w:t>
      </w:r>
      <w:r w:rsidRPr="006E50FF">
        <w:rPr>
          <w:kern w:val="2"/>
        </w:rPr>
        <w:t>Act</w:t>
      </w:r>
      <w:r w:rsidRPr="006E50FF">
        <w:rPr>
          <w:spacing w:val="35"/>
          <w:kern w:val="2"/>
        </w:rPr>
        <w:t xml:space="preserve"> </w:t>
      </w:r>
      <w:r w:rsidRPr="006E50FF">
        <w:rPr>
          <w:kern w:val="2"/>
        </w:rPr>
        <w:t>or</w:t>
      </w:r>
      <w:r w:rsidRPr="006E50FF">
        <w:rPr>
          <w:spacing w:val="22"/>
          <w:kern w:val="2"/>
        </w:rPr>
        <w:t xml:space="preserve"> </w:t>
      </w:r>
      <w:r w:rsidRPr="006E50FF">
        <w:rPr>
          <w:kern w:val="2"/>
        </w:rPr>
        <w:t>Act,</w:t>
      </w:r>
      <w:r w:rsidRPr="006E50FF">
        <w:rPr>
          <w:spacing w:val="35"/>
          <w:kern w:val="2"/>
        </w:rPr>
        <w:t xml:space="preserve"> </w:t>
      </w:r>
      <w:r w:rsidRPr="006E50FF">
        <w:rPr>
          <w:spacing w:val="-4"/>
          <w:kern w:val="2"/>
        </w:rPr>
        <w:t xml:space="preserve">R.S. </w:t>
      </w:r>
      <w:r w:rsidRPr="006E50FF">
        <w:rPr>
          <w:kern w:val="2"/>
        </w:rPr>
        <w:t>37:1261</w:t>
      </w:r>
      <w:r w:rsidRPr="006E50FF">
        <w:rPr>
          <w:spacing w:val="-3"/>
          <w:kern w:val="2"/>
        </w:rPr>
        <w:t xml:space="preserve"> </w:t>
      </w:r>
      <w:r w:rsidRPr="006E50FF">
        <w:rPr>
          <w:kern w:val="2"/>
        </w:rPr>
        <w:t>et</w:t>
      </w:r>
      <w:r w:rsidRPr="006E50FF">
        <w:rPr>
          <w:spacing w:val="-3"/>
          <w:kern w:val="2"/>
        </w:rPr>
        <w:t xml:space="preserve"> </w:t>
      </w:r>
      <w:r w:rsidRPr="006E50FF">
        <w:rPr>
          <w:spacing w:val="-4"/>
          <w:kern w:val="2"/>
        </w:rPr>
        <w:t>seq.</w:t>
      </w:r>
    </w:p>
    <w:p w14:paraId="1D4569C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Advanced Practice Registered Nurse </w:t>
      </w:r>
      <w:r w:rsidRPr="006E50FF">
        <w:rPr>
          <w:kern w:val="2"/>
        </w:rPr>
        <w:t xml:space="preserve">or </w:t>
      </w:r>
      <w:r w:rsidRPr="006E50FF">
        <w:rPr>
          <w:i/>
          <w:kern w:val="2"/>
        </w:rPr>
        <w:t>APRN</w:t>
      </w:r>
      <w:r w:rsidRPr="006E50FF">
        <w:rPr>
          <w:kern w:val="2"/>
        </w:rPr>
        <w:t xml:space="preserve">—a licensed registered nurse who is licensed as an advanced practice registered nurse by the Louisiana State Board of </w:t>
      </w:r>
      <w:r w:rsidRPr="006E50FF">
        <w:rPr>
          <w:spacing w:val="-2"/>
          <w:kern w:val="2"/>
        </w:rPr>
        <w:t>Nursing.</w:t>
      </w:r>
    </w:p>
    <w:p w14:paraId="0AF8CBFF" w14:textId="77777777" w:rsidR="006E50FF" w:rsidRPr="006E50FF" w:rsidRDefault="006E50FF" w:rsidP="006E50FF">
      <w:pPr>
        <w:tabs>
          <w:tab w:val="left" w:pos="720"/>
          <w:tab w:val="left" w:pos="979"/>
          <w:tab w:val="left" w:pos="1152"/>
        </w:tabs>
        <w:ind w:firstLine="360"/>
        <w:jc w:val="both"/>
        <w:outlineLvl w:val="4"/>
        <w:rPr>
          <w:spacing w:val="-1"/>
          <w:kern w:val="2"/>
        </w:rPr>
      </w:pPr>
      <w:r w:rsidRPr="006E50FF">
        <w:rPr>
          <w:i/>
          <w:kern w:val="2"/>
        </w:rPr>
        <w:t>Alternate</w:t>
      </w:r>
      <w:r w:rsidRPr="006E50FF">
        <w:rPr>
          <w:i/>
          <w:spacing w:val="-4"/>
          <w:kern w:val="2"/>
        </w:rPr>
        <w:t xml:space="preserve"> </w:t>
      </w:r>
      <w:r w:rsidRPr="006E50FF">
        <w:rPr>
          <w:i/>
          <w:kern w:val="2"/>
        </w:rPr>
        <w:t>Collaborating</w:t>
      </w:r>
      <w:r w:rsidRPr="006E50FF">
        <w:rPr>
          <w:i/>
          <w:spacing w:val="-6"/>
          <w:kern w:val="2"/>
        </w:rPr>
        <w:t xml:space="preserve"> </w:t>
      </w:r>
      <w:r w:rsidRPr="006E50FF">
        <w:rPr>
          <w:i/>
          <w:kern w:val="2"/>
        </w:rPr>
        <w:t xml:space="preserve">Physician </w:t>
      </w:r>
      <w:r w:rsidRPr="006E50FF">
        <w:rPr>
          <w:kern w:val="2"/>
        </w:rPr>
        <w:t>or</w:t>
      </w:r>
      <w:r w:rsidRPr="006E50FF">
        <w:rPr>
          <w:spacing w:val="-4"/>
          <w:kern w:val="2"/>
        </w:rPr>
        <w:t xml:space="preserve"> </w:t>
      </w:r>
      <w:r w:rsidRPr="006E50FF">
        <w:rPr>
          <w:i/>
          <w:kern w:val="2"/>
        </w:rPr>
        <w:t>ACP</w:t>
      </w:r>
      <w:r w:rsidRPr="006E50FF">
        <w:rPr>
          <w:kern w:val="2"/>
        </w:rPr>
        <w:t>—a</w:t>
      </w:r>
      <w:r w:rsidRPr="006E50FF">
        <w:rPr>
          <w:spacing w:val="-4"/>
          <w:kern w:val="2"/>
        </w:rPr>
        <w:t xml:space="preserve"> </w:t>
      </w:r>
      <w:r w:rsidRPr="006E50FF">
        <w:rPr>
          <w:kern w:val="2"/>
        </w:rPr>
        <w:t>physician meeting the eligibility requirements of this Chapter who is designated</w:t>
      </w:r>
      <w:r w:rsidRPr="006E50FF">
        <w:rPr>
          <w:spacing w:val="-1"/>
          <w:kern w:val="2"/>
        </w:rPr>
        <w:t xml:space="preserve"> to serve as collaborating physician, in accordance with §7911.A.5 of these rules, when the collaborating physician is unavailable.</w:t>
      </w:r>
    </w:p>
    <w:p w14:paraId="05B6A60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Board</w:t>
      </w:r>
      <w:r w:rsidRPr="006E50FF">
        <w:rPr>
          <w:kern w:val="2"/>
        </w:rPr>
        <w:t xml:space="preserve">—the Louisiana State Board of Medical Examiners, as constituted in the Louisiana Medical Practice </w:t>
      </w:r>
      <w:r w:rsidRPr="006E50FF">
        <w:rPr>
          <w:spacing w:val="-4"/>
          <w:kern w:val="2"/>
        </w:rPr>
        <w:t>Act.</w:t>
      </w:r>
    </w:p>
    <w:p w14:paraId="4B0CB48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Clinical Practice Guidelines</w:t>
      </w:r>
      <w:r w:rsidRPr="006E50FF">
        <w:rPr>
          <w:kern w:val="2"/>
        </w:rPr>
        <w:t>—written or electronic documents, jointly agreed upon by the collaborating physician and APRN that describe a specific plan, arrangement,</w:t>
      </w:r>
      <w:r w:rsidRPr="006E50FF">
        <w:rPr>
          <w:spacing w:val="-12"/>
          <w:kern w:val="2"/>
        </w:rPr>
        <w:t xml:space="preserve"> </w:t>
      </w:r>
      <w:r w:rsidRPr="006E50FF">
        <w:rPr>
          <w:kern w:val="2"/>
        </w:rPr>
        <w:t>or</w:t>
      </w:r>
      <w:r w:rsidRPr="006E50FF">
        <w:rPr>
          <w:spacing w:val="-11"/>
          <w:kern w:val="2"/>
        </w:rPr>
        <w:t xml:space="preserve"> </w:t>
      </w:r>
      <w:r w:rsidRPr="006E50FF">
        <w:rPr>
          <w:kern w:val="2"/>
        </w:rPr>
        <w:t>sequence</w:t>
      </w:r>
      <w:r w:rsidRPr="006E50FF">
        <w:rPr>
          <w:spacing w:val="-9"/>
          <w:kern w:val="2"/>
        </w:rPr>
        <w:t xml:space="preserve"> </w:t>
      </w:r>
      <w:r w:rsidRPr="006E50FF">
        <w:rPr>
          <w:kern w:val="2"/>
        </w:rPr>
        <w:t>of</w:t>
      </w:r>
      <w:r w:rsidRPr="006E50FF">
        <w:rPr>
          <w:spacing w:val="-13"/>
          <w:kern w:val="2"/>
        </w:rPr>
        <w:t xml:space="preserve"> </w:t>
      </w:r>
      <w:r w:rsidRPr="006E50FF">
        <w:rPr>
          <w:kern w:val="2"/>
        </w:rPr>
        <w:t>orders,</w:t>
      </w:r>
      <w:r w:rsidRPr="006E50FF">
        <w:rPr>
          <w:spacing w:val="-11"/>
          <w:kern w:val="2"/>
        </w:rPr>
        <w:t xml:space="preserve"> </w:t>
      </w:r>
      <w:r w:rsidRPr="006E50FF">
        <w:rPr>
          <w:kern w:val="2"/>
        </w:rPr>
        <w:t>steps,</w:t>
      </w:r>
      <w:r w:rsidRPr="006E50FF">
        <w:rPr>
          <w:spacing w:val="-11"/>
          <w:kern w:val="2"/>
        </w:rPr>
        <w:t xml:space="preserve"> </w:t>
      </w:r>
      <w:r w:rsidRPr="006E50FF">
        <w:rPr>
          <w:kern w:val="2"/>
        </w:rPr>
        <w:t>or</w:t>
      </w:r>
      <w:r w:rsidRPr="006E50FF">
        <w:rPr>
          <w:spacing w:val="-11"/>
          <w:kern w:val="2"/>
        </w:rPr>
        <w:t xml:space="preserve"> </w:t>
      </w:r>
      <w:r w:rsidRPr="006E50FF">
        <w:rPr>
          <w:kern w:val="2"/>
        </w:rPr>
        <w:t>procedures to be followed or carried out in providing patient care in various clinical situations. These may include textbooks, reference manuals, electronic communications and Internet sources.</w:t>
      </w:r>
    </w:p>
    <w:p w14:paraId="4175C82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Collaborating</w:t>
      </w:r>
      <w:r w:rsidRPr="006E50FF">
        <w:rPr>
          <w:i/>
          <w:spacing w:val="-10"/>
          <w:kern w:val="2"/>
        </w:rPr>
        <w:t xml:space="preserve"> </w:t>
      </w:r>
      <w:r w:rsidRPr="006E50FF">
        <w:rPr>
          <w:i/>
          <w:kern w:val="2"/>
        </w:rPr>
        <w:t>Physician</w:t>
      </w:r>
      <w:r w:rsidRPr="006E50FF">
        <w:rPr>
          <w:i/>
          <w:spacing w:val="-8"/>
          <w:kern w:val="2"/>
        </w:rPr>
        <w:t xml:space="preserve"> </w:t>
      </w:r>
      <w:r w:rsidRPr="006E50FF">
        <w:rPr>
          <w:kern w:val="2"/>
        </w:rPr>
        <w:t>or</w:t>
      </w:r>
      <w:r w:rsidRPr="006E50FF">
        <w:rPr>
          <w:spacing w:val="-11"/>
          <w:kern w:val="2"/>
        </w:rPr>
        <w:t xml:space="preserve"> </w:t>
      </w:r>
      <w:r w:rsidRPr="006E50FF">
        <w:rPr>
          <w:i/>
          <w:kern w:val="2"/>
        </w:rPr>
        <w:t>CP</w:t>
      </w:r>
      <w:r w:rsidRPr="006E50FF">
        <w:rPr>
          <w:kern w:val="2"/>
        </w:rPr>
        <w:t>—a</w:t>
      </w:r>
      <w:r w:rsidRPr="006E50FF">
        <w:rPr>
          <w:spacing w:val="-11"/>
          <w:kern w:val="2"/>
        </w:rPr>
        <w:t xml:space="preserve"> </w:t>
      </w:r>
      <w:r w:rsidRPr="006E50FF">
        <w:rPr>
          <w:kern w:val="2"/>
        </w:rPr>
        <w:t>physician</w:t>
      </w:r>
      <w:r w:rsidRPr="006E50FF">
        <w:rPr>
          <w:spacing w:val="-10"/>
          <w:kern w:val="2"/>
        </w:rPr>
        <w:t xml:space="preserve"> </w:t>
      </w:r>
      <w:r w:rsidRPr="006E50FF">
        <w:rPr>
          <w:kern w:val="2"/>
        </w:rPr>
        <w:t>with</w:t>
      </w:r>
      <w:r w:rsidRPr="006E50FF">
        <w:rPr>
          <w:spacing w:val="-10"/>
          <w:kern w:val="2"/>
        </w:rPr>
        <w:t xml:space="preserve"> </w:t>
      </w:r>
      <w:r w:rsidRPr="006E50FF">
        <w:rPr>
          <w:kern w:val="2"/>
        </w:rPr>
        <w:t>whom an</w:t>
      </w:r>
      <w:r w:rsidRPr="006E50FF">
        <w:rPr>
          <w:spacing w:val="-7"/>
          <w:kern w:val="2"/>
        </w:rPr>
        <w:t xml:space="preserve"> </w:t>
      </w:r>
      <w:r w:rsidRPr="006E50FF">
        <w:rPr>
          <w:kern w:val="2"/>
        </w:rPr>
        <w:t>APRN has been approved to collaborate by</w:t>
      </w:r>
      <w:r w:rsidRPr="006E50FF">
        <w:rPr>
          <w:spacing w:val="-1"/>
          <w:kern w:val="2"/>
        </w:rPr>
        <w:t xml:space="preserve"> </w:t>
      </w:r>
      <w:r w:rsidRPr="006E50FF">
        <w:rPr>
          <w:kern w:val="2"/>
        </w:rPr>
        <w:t>the Louisiana State Board of Nursing, who is actively engaged in clinical practice</w:t>
      </w:r>
      <w:r w:rsidRPr="006E50FF">
        <w:rPr>
          <w:spacing w:val="-2"/>
          <w:kern w:val="2"/>
        </w:rPr>
        <w:t xml:space="preserve"> </w:t>
      </w:r>
      <w:r w:rsidRPr="006E50FF">
        <w:rPr>
          <w:kern w:val="2"/>
        </w:rPr>
        <w:t>and</w:t>
      </w:r>
      <w:r w:rsidRPr="006E50FF">
        <w:rPr>
          <w:spacing w:val="-2"/>
          <w:kern w:val="2"/>
        </w:rPr>
        <w:t xml:space="preserve"> </w:t>
      </w:r>
      <w:r w:rsidRPr="006E50FF">
        <w:rPr>
          <w:kern w:val="2"/>
        </w:rPr>
        <w:t>the provision</w:t>
      </w:r>
      <w:r w:rsidRPr="006E50FF">
        <w:rPr>
          <w:spacing w:val="-3"/>
          <w:kern w:val="2"/>
        </w:rPr>
        <w:t xml:space="preserve"> </w:t>
      </w:r>
      <w:r w:rsidRPr="006E50FF">
        <w:rPr>
          <w:kern w:val="2"/>
        </w:rPr>
        <w:t>of direct</w:t>
      </w:r>
      <w:r w:rsidRPr="006E50FF">
        <w:rPr>
          <w:spacing w:val="-2"/>
          <w:kern w:val="2"/>
        </w:rPr>
        <w:t xml:space="preserve"> </w:t>
      </w:r>
      <w:r w:rsidRPr="006E50FF">
        <w:rPr>
          <w:kern w:val="2"/>
        </w:rPr>
        <w:t>patient</w:t>
      </w:r>
      <w:r w:rsidRPr="006E50FF">
        <w:rPr>
          <w:spacing w:val="-2"/>
          <w:kern w:val="2"/>
        </w:rPr>
        <w:t xml:space="preserve"> </w:t>
      </w:r>
      <w:r w:rsidRPr="006E50FF">
        <w:rPr>
          <w:kern w:val="2"/>
        </w:rPr>
        <w:t>care in</w:t>
      </w:r>
      <w:r w:rsidRPr="006E50FF">
        <w:rPr>
          <w:spacing w:val="-2"/>
          <w:kern w:val="2"/>
        </w:rPr>
        <w:t xml:space="preserve"> </w:t>
      </w:r>
      <w:r w:rsidRPr="006E50FF">
        <w:rPr>
          <w:kern w:val="2"/>
        </w:rPr>
        <w:t xml:space="preserve">Louisiana, with whom an APRN has developed and signed a collaborative practice agreement </w:t>
      </w:r>
      <w:r w:rsidRPr="006E50FF">
        <w:rPr>
          <w:spacing w:val="34"/>
          <w:kern w:val="2"/>
        </w:rPr>
        <w:t>for</w:t>
      </w:r>
      <w:r w:rsidRPr="006E50FF">
        <w:rPr>
          <w:kern w:val="2"/>
        </w:rPr>
        <w:t xml:space="preserve"> prescriptive and distributing authority. A CP shall reside or maintain a physical practice in Louisiana, hold a current, medical license issued by the board, or be otherwise authorized by federal law or regulation to practice medicine in this state, have no pending disciplinary proceedings and practice in accordance with rules of the board.</w:t>
      </w:r>
    </w:p>
    <w:p w14:paraId="5E8B58D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Collaboration </w:t>
      </w:r>
      <w:r w:rsidRPr="006E50FF">
        <w:rPr>
          <w:kern w:val="2"/>
        </w:rPr>
        <w:t xml:space="preserve">or </w:t>
      </w:r>
      <w:r w:rsidRPr="006E50FF">
        <w:rPr>
          <w:i/>
          <w:kern w:val="2"/>
        </w:rPr>
        <w:t>Collaborate</w:t>
      </w:r>
      <w:r w:rsidRPr="006E50FF">
        <w:rPr>
          <w:kern w:val="2"/>
        </w:rPr>
        <w:t>—a cooperative working relationship between a physician and APRN to jointly contribute to providing patient care and may include but not be</w:t>
      </w:r>
      <w:r w:rsidRPr="006E50FF">
        <w:rPr>
          <w:spacing w:val="69"/>
          <w:w w:val="150"/>
          <w:kern w:val="2"/>
        </w:rPr>
        <w:t xml:space="preserve"> </w:t>
      </w:r>
      <w:r w:rsidRPr="006E50FF">
        <w:rPr>
          <w:kern w:val="2"/>
        </w:rPr>
        <w:t>limited</w:t>
      </w:r>
      <w:r w:rsidRPr="006E50FF">
        <w:rPr>
          <w:spacing w:val="69"/>
          <w:w w:val="150"/>
          <w:kern w:val="2"/>
        </w:rPr>
        <w:t xml:space="preserve"> </w:t>
      </w:r>
      <w:r w:rsidRPr="006E50FF">
        <w:rPr>
          <w:kern w:val="2"/>
        </w:rPr>
        <w:t>to</w:t>
      </w:r>
      <w:r w:rsidRPr="006E50FF">
        <w:rPr>
          <w:spacing w:val="70"/>
          <w:w w:val="150"/>
          <w:kern w:val="2"/>
        </w:rPr>
        <w:t xml:space="preserve"> </w:t>
      </w:r>
      <w:r w:rsidRPr="006E50FF">
        <w:rPr>
          <w:kern w:val="2"/>
        </w:rPr>
        <w:t>discussion</w:t>
      </w:r>
      <w:r w:rsidRPr="006E50FF">
        <w:rPr>
          <w:spacing w:val="69"/>
          <w:w w:val="150"/>
          <w:kern w:val="2"/>
        </w:rPr>
        <w:t xml:space="preserve"> </w:t>
      </w:r>
      <w:r w:rsidRPr="006E50FF">
        <w:rPr>
          <w:kern w:val="2"/>
        </w:rPr>
        <w:t>of</w:t>
      </w:r>
      <w:r w:rsidRPr="006E50FF">
        <w:rPr>
          <w:spacing w:val="67"/>
          <w:w w:val="150"/>
          <w:kern w:val="2"/>
        </w:rPr>
        <w:t xml:space="preserve"> </w:t>
      </w:r>
      <w:r w:rsidRPr="006E50FF">
        <w:rPr>
          <w:kern w:val="2"/>
        </w:rPr>
        <w:t>a</w:t>
      </w:r>
      <w:r w:rsidRPr="006E50FF">
        <w:rPr>
          <w:spacing w:val="70"/>
          <w:w w:val="150"/>
          <w:kern w:val="2"/>
        </w:rPr>
        <w:t xml:space="preserve"> </w:t>
      </w:r>
      <w:r w:rsidRPr="006E50FF">
        <w:rPr>
          <w:kern w:val="2"/>
        </w:rPr>
        <w:t>patient’s</w:t>
      </w:r>
      <w:r w:rsidRPr="006E50FF">
        <w:rPr>
          <w:spacing w:val="70"/>
          <w:w w:val="150"/>
          <w:kern w:val="2"/>
        </w:rPr>
        <w:t xml:space="preserve"> </w:t>
      </w:r>
      <w:r w:rsidRPr="006E50FF">
        <w:rPr>
          <w:kern w:val="2"/>
        </w:rPr>
        <w:t>diagnosis</w:t>
      </w:r>
      <w:r w:rsidRPr="006E50FF">
        <w:rPr>
          <w:spacing w:val="69"/>
          <w:w w:val="150"/>
          <w:kern w:val="2"/>
        </w:rPr>
        <w:t xml:space="preserve"> </w:t>
      </w:r>
      <w:r w:rsidRPr="006E50FF">
        <w:rPr>
          <w:spacing w:val="-5"/>
          <w:kern w:val="2"/>
        </w:rPr>
        <w:t xml:space="preserve">and </w:t>
      </w:r>
      <w:r w:rsidRPr="006E50FF">
        <w:rPr>
          <w:kern w:val="2"/>
        </w:rPr>
        <w:t>cooperation in the management and delivery of health care with each provider performing those activities that he or she is legally authorized to perform.</w:t>
      </w:r>
    </w:p>
    <w:p w14:paraId="22DC8C3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Collaborative Practice</w:t>
      </w:r>
      <w:r w:rsidRPr="006E50FF">
        <w:rPr>
          <w:kern w:val="2"/>
        </w:rPr>
        <w:t xml:space="preserve">—the joint management of the health care of a patient by an APRN performing advanced </w:t>
      </w:r>
      <w:r w:rsidRPr="006E50FF">
        <w:rPr>
          <w:spacing w:val="-1"/>
          <w:kern w:val="2"/>
        </w:rPr>
        <w:t>practice registered nursing and one or more consulting physicians. Except as provided in R.S. 37:930, acts of medical diagnosis and prescriptions by an APRN shall be in accordance with a collaborative practice</w:t>
      </w:r>
      <w:r w:rsidRPr="006E50FF">
        <w:rPr>
          <w:kern w:val="2"/>
        </w:rPr>
        <w:t xml:space="preserve"> agreement.</w:t>
      </w:r>
    </w:p>
    <w:p w14:paraId="01FD19B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Collaborative Practice Agreement </w:t>
      </w:r>
      <w:r w:rsidRPr="006E50FF">
        <w:rPr>
          <w:kern w:val="2"/>
        </w:rPr>
        <w:t xml:space="preserve">or </w:t>
      </w:r>
      <w:r w:rsidRPr="006E50FF">
        <w:rPr>
          <w:i/>
          <w:kern w:val="2"/>
        </w:rPr>
        <w:t>CPA</w:t>
      </w:r>
      <w:r w:rsidRPr="006E50FF">
        <w:rPr>
          <w:kern w:val="2"/>
        </w:rPr>
        <w:t xml:space="preserve">—a formal written statement addressing the parameters of the collaborative practice which are </w:t>
      </w:r>
      <w:r w:rsidRPr="006E50FF">
        <w:rPr>
          <w:spacing w:val="34"/>
          <w:kern w:val="2"/>
        </w:rPr>
        <w:t>mutually</w:t>
      </w:r>
      <w:r w:rsidRPr="006E50FF">
        <w:rPr>
          <w:spacing w:val="-1"/>
          <w:kern w:val="2"/>
        </w:rPr>
        <w:t xml:space="preserve"> </w:t>
      </w:r>
      <w:r w:rsidRPr="006E50FF">
        <w:rPr>
          <w:kern w:val="2"/>
        </w:rPr>
        <w:t>agreed upon by</w:t>
      </w:r>
      <w:r w:rsidRPr="006E50FF">
        <w:rPr>
          <w:spacing w:val="-1"/>
          <w:kern w:val="2"/>
        </w:rPr>
        <w:t xml:space="preserve"> </w:t>
      </w:r>
      <w:r w:rsidRPr="006E50FF">
        <w:rPr>
          <w:kern w:val="2"/>
        </w:rPr>
        <w:t>an APRN</w:t>
      </w:r>
      <w:r w:rsidRPr="006E50FF">
        <w:rPr>
          <w:spacing w:val="-13"/>
          <w:kern w:val="2"/>
        </w:rPr>
        <w:t xml:space="preserve"> </w:t>
      </w:r>
      <w:r w:rsidRPr="006E50FF">
        <w:rPr>
          <w:kern w:val="2"/>
        </w:rPr>
        <w:t>and</w:t>
      </w:r>
      <w:r w:rsidRPr="006E50FF">
        <w:rPr>
          <w:spacing w:val="-12"/>
          <w:kern w:val="2"/>
        </w:rPr>
        <w:t xml:space="preserve"> </w:t>
      </w:r>
      <w:r w:rsidRPr="006E50FF">
        <w:rPr>
          <w:kern w:val="2"/>
        </w:rPr>
        <w:t>one</w:t>
      </w:r>
      <w:r w:rsidRPr="006E50FF">
        <w:rPr>
          <w:spacing w:val="-13"/>
          <w:kern w:val="2"/>
        </w:rPr>
        <w:t xml:space="preserve"> </w:t>
      </w:r>
      <w:r w:rsidRPr="006E50FF">
        <w:rPr>
          <w:kern w:val="2"/>
        </w:rPr>
        <w:t>or</w:t>
      </w:r>
      <w:r w:rsidRPr="006E50FF">
        <w:rPr>
          <w:spacing w:val="-12"/>
          <w:kern w:val="2"/>
        </w:rPr>
        <w:t xml:space="preserve"> </w:t>
      </w:r>
      <w:r w:rsidRPr="006E50FF">
        <w:rPr>
          <w:kern w:val="2"/>
        </w:rPr>
        <w:t>more</w:t>
      </w:r>
      <w:r w:rsidRPr="006E50FF">
        <w:rPr>
          <w:spacing w:val="-13"/>
          <w:kern w:val="2"/>
        </w:rPr>
        <w:t xml:space="preserve"> </w:t>
      </w:r>
      <w:r w:rsidRPr="006E50FF">
        <w:rPr>
          <w:kern w:val="2"/>
        </w:rPr>
        <w:t>physicians</w:t>
      </w:r>
      <w:r w:rsidRPr="006E50FF">
        <w:rPr>
          <w:spacing w:val="-12"/>
          <w:kern w:val="2"/>
        </w:rPr>
        <w:t xml:space="preserve"> </w:t>
      </w:r>
      <w:r w:rsidRPr="006E50FF">
        <w:rPr>
          <w:kern w:val="2"/>
        </w:rPr>
        <w:t>which</w:t>
      </w:r>
      <w:r w:rsidRPr="006E50FF">
        <w:rPr>
          <w:spacing w:val="-13"/>
          <w:kern w:val="2"/>
        </w:rPr>
        <w:t xml:space="preserve"> </w:t>
      </w:r>
      <w:r w:rsidRPr="006E50FF">
        <w:rPr>
          <w:kern w:val="2"/>
        </w:rPr>
        <w:t>shall</w:t>
      </w:r>
      <w:r w:rsidRPr="006E50FF">
        <w:rPr>
          <w:spacing w:val="-12"/>
          <w:kern w:val="2"/>
        </w:rPr>
        <w:t xml:space="preserve"> </w:t>
      </w:r>
      <w:r w:rsidRPr="006E50FF">
        <w:rPr>
          <w:kern w:val="2"/>
        </w:rPr>
        <w:t>include</w:t>
      </w:r>
      <w:r w:rsidRPr="006E50FF">
        <w:rPr>
          <w:spacing w:val="-13"/>
          <w:kern w:val="2"/>
        </w:rPr>
        <w:t xml:space="preserve"> </w:t>
      </w:r>
      <w:r w:rsidRPr="006E50FF">
        <w:rPr>
          <w:kern w:val="2"/>
        </w:rPr>
        <w:t>but</w:t>
      </w:r>
      <w:r w:rsidRPr="006E50FF">
        <w:rPr>
          <w:spacing w:val="-12"/>
          <w:kern w:val="2"/>
        </w:rPr>
        <w:t xml:space="preserve"> </w:t>
      </w:r>
      <w:r w:rsidRPr="006E50FF">
        <w:rPr>
          <w:kern w:val="2"/>
        </w:rPr>
        <w:t>not be limited to the following provisions:</w:t>
      </w:r>
    </w:p>
    <w:p w14:paraId="65CF55B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availability</w:t>
      </w:r>
      <w:r w:rsidRPr="006E50FF">
        <w:rPr>
          <w:spacing w:val="40"/>
          <w:kern w:val="2"/>
        </w:rPr>
        <w:t xml:space="preserve"> </w:t>
      </w:r>
      <w:r w:rsidRPr="006E50FF">
        <w:rPr>
          <w:kern w:val="2"/>
        </w:rPr>
        <w:t>of</w:t>
      </w:r>
      <w:r w:rsidRPr="006E50FF">
        <w:rPr>
          <w:spacing w:val="40"/>
          <w:kern w:val="2"/>
        </w:rPr>
        <w:t xml:space="preserve"> </w:t>
      </w:r>
      <w:r w:rsidRPr="006E50FF">
        <w:rPr>
          <w:kern w:val="2"/>
        </w:rPr>
        <w:t>the</w:t>
      </w:r>
      <w:r w:rsidRPr="006E50FF">
        <w:rPr>
          <w:spacing w:val="40"/>
          <w:kern w:val="2"/>
        </w:rPr>
        <w:t xml:space="preserve"> </w:t>
      </w:r>
      <w:r w:rsidRPr="006E50FF">
        <w:rPr>
          <w:kern w:val="2"/>
        </w:rPr>
        <w:t>collaborating</w:t>
      </w:r>
      <w:r w:rsidRPr="006E50FF">
        <w:rPr>
          <w:spacing w:val="40"/>
          <w:kern w:val="2"/>
        </w:rPr>
        <w:t xml:space="preserve"> </w:t>
      </w:r>
      <w:r w:rsidRPr="006E50FF">
        <w:rPr>
          <w:kern w:val="2"/>
        </w:rPr>
        <w:t>physician</w:t>
      </w:r>
      <w:r w:rsidRPr="006E50FF">
        <w:rPr>
          <w:spacing w:val="40"/>
          <w:kern w:val="2"/>
        </w:rPr>
        <w:t xml:space="preserve"> </w:t>
      </w:r>
      <w:r w:rsidRPr="006E50FF">
        <w:rPr>
          <w:kern w:val="2"/>
        </w:rPr>
        <w:t>for consultation, referral, and management of complications of treatment;</w:t>
      </w:r>
    </w:p>
    <w:p w14:paraId="5E194DF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methods</w:t>
      </w:r>
      <w:r w:rsidRPr="006E50FF">
        <w:rPr>
          <w:spacing w:val="40"/>
          <w:kern w:val="2"/>
        </w:rPr>
        <w:t xml:space="preserve"> </w:t>
      </w:r>
      <w:r w:rsidRPr="006E50FF">
        <w:rPr>
          <w:kern w:val="2"/>
        </w:rPr>
        <w:t>of</w:t>
      </w:r>
      <w:r w:rsidRPr="006E50FF">
        <w:rPr>
          <w:spacing w:val="40"/>
          <w:kern w:val="2"/>
        </w:rPr>
        <w:t xml:space="preserve"> </w:t>
      </w:r>
      <w:r w:rsidRPr="006E50FF">
        <w:rPr>
          <w:kern w:val="2"/>
        </w:rPr>
        <w:t>management</w:t>
      </w:r>
      <w:r w:rsidRPr="006E50FF">
        <w:rPr>
          <w:spacing w:val="40"/>
          <w:kern w:val="2"/>
        </w:rPr>
        <w:t xml:space="preserve"> </w:t>
      </w:r>
      <w:r w:rsidRPr="006E50FF">
        <w:rPr>
          <w:kern w:val="2"/>
        </w:rPr>
        <w:t>of</w:t>
      </w:r>
      <w:r w:rsidRPr="006E50FF">
        <w:rPr>
          <w:spacing w:val="40"/>
          <w:kern w:val="2"/>
        </w:rPr>
        <w:t xml:space="preserve"> </w:t>
      </w:r>
      <w:r w:rsidRPr="006E50FF">
        <w:rPr>
          <w:kern w:val="2"/>
        </w:rPr>
        <w:t>the</w:t>
      </w:r>
      <w:r w:rsidRPr="006E50FF">
        <w:rPr>
          <w:spacing w:val="40"/>
          <w:kern w:val="2"/>
        </w:rPr>
        <w:t xml:space="preserve"> </w:t>
      </w:r>
      <w:r w:rsidRPr="006E50FF">
        <w:rPr>
          <w:kern w:val="2"/>
        </w:rPr>
        <w:t>collaborative practice which shall include clinical practice guidelines; and</w:t>
      </w:r>
    </w:p>
    <w:p w14:paraId="0BCFE0F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coverage</w:t>
      </w:r>
      <w:r w:rsidRPr="006E50FF">
        <w:rPr>
          <w:spacing w:val="40"/>
          <w:kern w:val="2"/>
        </w:rPr>
        <w:t xml:space="preserve"> </w:t>
      </w:r>
      <w:r w:rsidRPr="006E50FF">
        <w:rPr>
          <w:kern w:val="2"/>
        </w:rPr>
        <w:t>of</w:t>
      </w:r>
      <w:r w:rsidRPr="006E50FF">
        <w:rPr>
          <w:spacing w:val="40"/>
          <w:kern w:val="2"/>
        </w:rPr>
        <w:t xml:space="preserve"> </w:t>
      </w:r>
      <w:r w:rsidRPr="006E50FF">
        <w:rPr>
          <w:kern w:val="2"/>
        </w:rPr>
        <w:t>the</w:t>
      </w:r>
      <w:r w:rsidRPr="006E50FF">
        <w:rPr>
          <w:spacing w:val="40"/>
          <w:kern w:val="2"/>
        </w:rPr>
        <w:t xml:space="preserve"> </w:t>
      </w:r>
      <w:r w:rsidRPr="006E50FF">
        <w:rPr>
          <w:kern w:val="2"/>
        </w:rPr>
        <w:t>health</w:t>
      </w:r>
      <w:r w:rsidRPr="006E50FF">
        <w:rPr>
          <w:spacing w:val="40"/>
          <w:kern w:val="2"/>
        </w:rPr>
        <w:t xml:space="preserve"> </w:t>
      </w:r>
      <w:r w:rsidRPr="006E50FF">
        <w:rPr>
          <w:kern w:val="2"/>
        </w:rPr>
        <w:t>care</w:t>
      </w:r>
      <w:r w:rsidRPr="006E50FF">
        <w:rPr>
          <w:spacing w:val="40"/>
          <w:kern w:val="2"/>
        </w:rPr>
        <w:t xml:space="preserve"> </w:t>
      </w:r>
      <w:r w:rsidRPr="006E50FF">
        <w:rPr>
          <w:kern w:val="2"/>
        </w:rPr>
        <w:t>needs</w:t>
      </w:r>
      <w:r w:rsidRPr="006E50FF">
        <w:rPr>
          <w:spacing w:val="40"/>
          <w:kern w:val="2"/>
        </w:rPr>
        <w:t xml:space="preserve"> </w:t>
      </w:r>
      <w:r w:rsidRPr="006E50FF">
        <w:rPr>
          <w:kern w:val="2"/>
        </w:rPr>
        <w:t>of</w:t>
      </w:r>
      <w:r w:rsidRPr="006E50FF">
        <w:rPr>
          <w:spacing w:val="40"/>
          <w:kern w:val="2"/>
        </w:rPr>
        <w:t xml:space="preserve"> </w:t>
      </w:r>
      <w:r w:rsidRPr="006E50FF">
        <w:rPr>
          <w:kern w:val="2"/>
        </w:rPr>
        <w:t>a</w:t>
      </w:r>
      <w:r w:rsidRPr="006E50FF">
        <w:rPr>
          <w:spacing w:val="40"/>
          <w:kern w:val="2"/>
        </w:rPr>
        <w:t xml:space="preserve"> </w:t>
      </w:r>
      <w:r w:rsidRPr="006E50FF">
        <w:rPr>
          <w:kern w:val="2"/>
        </w:rPr>
        <w:t>patient during any absence of the APRN or physician.</w:t>
      </w:r>
    </w:p>
    <w:p w14:paraId="40F5D8A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Controlled Substance</w:t>
      </w:r>
      <w:r w:rsidRPr="006E50FF">
        <w:rPr>
          <w:kern w:val="2"/>
        </w:rPr>
        <w:t xml:space="preserve">—any substance defined, enumerated, or included in federal or state statue or regulations 21 CFR 1308.11-15 or R.S. 40:964, or any </w:t>
      </w:r>
      <w:r w:rsidRPr="006E50FF">
        <w:rPr>
          <w:spacing w:val="-1"/>
          <w:kern w:val="2"/>
        </w:rPr>
        <w:t>substance which may hereafter be designated as a controlled substance by amendment or su</w:t>
      </w:r>
      <w:r w:rsidRPr="006E50FF">
        <w:rPr>
          <w:kern w:val="2"/>
        </w:rPr>
        <w:t>pplementation of such regulations or statute.</w:t>
      </w:r>
    </w:p>
    <w:p w14:paraId="3284E9E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lastRenderedPageBreak/>
        <w:t xml:space="preserve">Fair Market Value </w:t>
      </w:r>
      <w:r w:rsidRPr="006E50FF">
        <w:rPr>
          <w:kern w:val="2"/>
        </w:rPr>
        <w:t xml:space="preserve">or </w:t>
      </w:r>
      <w:r w:rsidRPr="006E50FF">
        <w:rPr>
          <w:i/>
          <w:kern w:val="2"/>
        </w:rPr>
        <w:t>FMV</w:t>
      </w:r>
      <w:r w:rsidRPr="006E50FF">
        <w:rPr>
          <w:kern w:val="2"/>
        </w:rPr>
        <w:t>—the value in arm’s-length transactions, consistent with the general market value of the services provided.</w:t>
      </w:r>
    </w:p>
    <w:p w14:paraId="300E83C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LSBN</w:t>
      </w:r>
      <w:r w:rsidRPr="006E50FF">
        <w:rPr>
          <w:kern w:val="2"/>
        </w:rPr>
        <w:t>—the Louisiana State Board of Nursing, as constituted in R.S. 37:911 et seq.</w:t>
      </w:r>
    </w:p>
    <w:p w14:paraId="37E27E5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Physician</w:t>
      </w:r>
      <w:r w:rsidRPr="006E50FF">
        <w:rPr>
          <w:kern w:val="2"/>
        </w:rPr>
        <w:t>—an individual lawfully entitled to engage in the</w:t>
      </w:r>
      <w:r w:rsidRPr="006E50FF">
        <w:rPr>
          <w:spacing w:val="-9"/>
          <w:kern w:val="2"/>
        </w:rPr>
        <w:t xml:space="preserve"> </w:t>
      </w:r>
      <w:r w:rsidRPr="006E50FF">
        <w:rPr>
          <w:kern w:val="2"/>
        </w:rPr>
        <w:t>practice</w:t>
      </w:r>
      <w:r w:rsidRPr="006E50FF">
        <w:rPr>
          <w:spacing w:val="-9"/>
          <w:kern w:val="2"/>
        </w:rPr>
        <w:t xml:space="preserve"> </w:t>
      </w:r>
      <w:r w:rsidRPr="006E50FF">
        <w:rPr>
          <w:kern w:val="2"/>
        </w:rPr>
        <w:t>of</w:t>
      </w:r>
      <w:r w:rsidRPr="006E50FF">
        <w:rPr>
          <w:spacing w:val="-11"/>
          <w:kern w:val="2"/>
        </w:rPr>
        <w:t xml:space="preserve"> </w:t>
      </w:r>
      <w:r w:rsidRPr="006E50FF">
        <w:rPr>
          <w:kern w:val="2"/>
        </w:rPr>
        <w:t>medicine</w:t>
      </w:r>
      <w:r w:rsidRPr="006E50FF">
        <w:rPr>
          <w:spacing w:val="-9"/>
          <w:kern w:val="2"/>
        </w:rPr>
        <w:t xml:space="preserve"> </w:t>
      </w:r>
      <w:r w:rsidRPr="006E50FF">
        <w:rPr>
          <w:kern w:val="2"/>
        </w:rPr>
        <w:t>in</w:t>
      </w:r>
      <w:r w:rsidRPr="006E50FF">
        <w:rPr>
          <w:spacing w:val="-11"/>
          <w:kern w:val="2"/>
        </w:rPr>
        <w:t xml:space="preserve"> </w:t>
      </w:r>
      <w:r w:rsidRPr="006E50FF">
        <w:rPr>
          <w:kern w:val="2"/>
        </w:rPr>
        <w:t>this</w:t>
      </w:r>
      <w:r w:rsidRPr="006E50FF">
        <w:rPr>
          <w:spacing w:val="-8"/>
          <w:kern w:val="2"/>
        </w:rPr>
        <w:t xml:space="preserve"> </w:t>
      </w:r>
      <w:r w:rsidRPr="006E50FF">
        <w:rPr>
          <w:kern w:val="2"/>
        </w:rPr>
        <w:t>state</w:t>
      </w:r>
      <w:r w:rsidRPr="006E50FF">
        <w:rPr>
          <w:spacing w:val="-9"/>
          <w:kern w:val="2"/>
        </w:rPr>
        <w:t xml:space="preserve"> </w:t>
      </w:r>
      <w:r w:rsidRPr="006E50FF">
        <w:rPr>
          <w:kern w:val="2"/>
        </w:rPr>
        <w:t>as</w:t>
      </w:r>
      <w:r w:rsidRPr="006E50FF">
        <w:rPr>
          <w:spacing w:val="-10"/>
          <w:kern w:val="2"/>
        </w:rPr>
        <w:t xml:space="preserve"> </w:t>
      </w:r>
      <w:r w:rsidRPr="006E50FF">
        <w:rPr>
          <w:kern w:val="2"/>
        </w:rPr>
        <w:t>evidenced</w:t>
      </w:r>
      <w:r w:rsidRPr="006E50FF">
        <w:rPr>
          <w:spacing w:val="-9"/>
          <w:kern w:val="2"/>
        </w:rPr>
        <w:t xml:space="preserve"> </w:t>
      </w:r>
      <w:r w:rsidRPr="006E50FF">
        <w:rPr>
          <w:kern w:val="2"/>
        </w:rPr>
        <w:t>by</w:t>
      </w:r>
      <w:r w:rsidRPr="006E50FF">
        <w:rPr>
          <w:spacing w:val="-13"/>
          <w:kern w:val="2"/>
        </w:rPr>
        <w:t xml:space="preserve"> </w:t>
      </w:r>
      <w:r w:rsidRPr="006E50FF">
        <w:rPr>
          <w:kern w:val="2"/>
        </w:rPr>
        <w:t>a</w:t>
      </w:r>
      <w:r w:rsidRPr="006E50FF">
        <w:rPr>
          <w:spacing w:val="-9"/>
          <w:kern w:val="2"/>
        </w:rPr>
        <w:t xml:space="preserve"> </w:t>
      </w:r>
      <w:r w:rsidRPr="006E50FF">
        <w:rPr>
          <w:kern w:val="2"/>
        </w:rPr>
        <w:t>license duly issued by the board.</w:t>
      </w:r>
    </w:p>
    <w:p w14:paraId="07151AD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Practice Site </w:t>
      </w:r>
      <w:r w:rsidRPr="006E50FF">
        <w:rPr>
          <w:kern w:val="2"/>
        </w:rPr>
        <w:t xml:space="preserve">or </w:t>
      </w:r>
      <w:r w:rsidRPr="006E50FF">
        <w:rPr>
          <w:i/>
          <w:kern w:val="2"/>
        </w:rPr>
        <w:t>Site</w:t>
      </w:r>
      <w:r w:rsidRPr="006E50FF">
        <w:rPr>
          <w:kern w:val="2"/>
        </w:rPr>
        <w:t>—a location identified in a CPA or other documentation</w:t>
      </w:r>
      <w:r w:rsidRPr="006E50FF">
        <w:rPr>
          <w:spacing w:val="-1"/>
          <w:kern w:val="2"/>
        </w:rPr>
        <w:t xml:space="preserve"> </w:t>
      </w:r>
      <w:r w:rsidRPr="006E50FF">
        <w:rPr>
          <w:kern w:val="2"/>
        </w:rPr>
        <w:t>submitted by</w:t>
      </w:r>
      <w:r w:rsidRPr="006E50FF">
        <w:rPr>
          <w:spacing w:val="-3"/>
          <w:kern w:val="2"/>
        </w:rPr>
        <w:t xml:space="preserve"> </w:t>
      </w:r>
      <w:r w:rsidRPr="006E50FF">
        <w:rPr>
          <w:kern w:val="2"/>
        </w:rPr>
        <w:t>the</w:t>
      </w:r>
      <w:r w:rsidRPr="006E50FF">
        <w:rPr>
          <w:spacing w:val="-10"/>
          <w:kern w:val="2"/>
        </w:rPr>
        <w:t xml:space="preserve"> </w:t>
      </w:r>
      <w:r w:rsidRPr="006E50FF">
        <w:rPr>
          <w:kern w:val="2"/>
        </w:rPr>
        <w:t xml:space="preserve">APRN to the LSBN at which a CP or </w:t>
      </w:r>
      <w:r w:rsidRPr="006E50FF">
        <w:rPr>
          <w:spacing w:val="-1"/>
          <w:kern w:val="2"/>
        </w:rPr>
        <w:t>APRN engage in collaborative practice. A hospital and its clinics, ambulatory surgery center, nursing home, any facility or office licen</w:t>
      </w:r>
      <w:r w:rsidRPr="006E50FF">
        <w:rPr>
          <w:kern w:val="2"/>
        </w:rPr>
        <w:t>sed and regulated by LDH, as</w:t>
      </w:r>
      <w:r w:rsidRPr="006E50FF">
        <w:rPr>
          <w:spacing w:val="-13"/>
          <w:kern w:val="2"/>
        </w:rPr>
        <w:t xml:space="preserve"> </w:t>
      </w:r>
      <w:r w:rsidRPr="006E50FF">
        <w:rPr>
          <w:kern w:val="2"/>
        </w:rPr>
        <w:t>well</w:t>
      </w:r>
      <w:r w:rsidRPr="006E50FF">
        <w:rPr>
          <w:spacing w:val="-12"/>
          <w:kern w:val="2"/>
        </w:rPr>
        <w:t xml:space="preserve"> </w:t>
      </w:r>
      <w:r w:rsidRPr="006E50FF">
        <w:rPr>
          <w:kern w:val="2"/>
        </w:rPr>
        <w:t>as</w:t>
      </w:r>
      <w:r w:rsidRPr="006E50FF">
        <w:rPr>
          <w:spacing w:val="-13"/>
          <w:kern w:val="2"/>
        </w:rPr>
        <w:t xml:space="preserve"> </w:t>
      </w:r>
      <w:r w:rsidRPr="006E50FF">
        <w:rPr>
          <w:spacing w:val="-1"/>
          <w:kern w:val="2"/>
        </w:rPr>
        <w:t>a group or solo physician practice, which</w:t>
      </w:r>
      <w:r w:rsidRPr="006E50FF">
        <w:rPr>
          <w:spacing w:val="-12"/>
          <w:kern w:val="2"/>
        </w:rPr>
        <w:t xml:space="preserve"> </w:t>
      </w:r>
      <w:r w:rsidRPr="006E50FF">
        <w:rPr>
          <w:kern w:val="2"/>
        </w:rPr>
        <w:t>have</w:t>
      </w:r>
      <w:r w:rsidRPr="006E50FF">
        <w:rPr>
          <w:spacing w:val="-13"/>
          <w:kern w:val="2"/>
        </w:rPr>
        <w:t xml:space="preserve"> </w:t>
      </w:r>
      <w:r w:rsidRPr="006E50FF">
        <w:rPr>
          <w:kern w:val="2"/>
        </w:rPr>
        <w:t xml:space="preserve">more than one physical location shall be considered a </w:t>
      </w:r>
      <w:r w:rsidRPr="006E50FF">
        <w:rPr>
          <w:i/>
          <w:kern w:val="2"/>
        </w:rPr>
        <w:t xml:space="preserve">site </w:t>
      </w:r>
      <w:r w:rsidRPr="006E50FF">
        <w:rPr>
          <w:kern w:val="2"/>
        </w:rPr>
        <w:t>for purposes of this definition.</w:t>
      </w:r>
    </w:p>
    <w:p w14:paraId="4FB4223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Prescription</w:t>
      </w:r>
      <w:r w:rsidRPr="006E50FF">
        <w:rPr>
          <w:i/>
          <w:spacing w:val="-13"/>
          <w:kern w:val="2"/>
        </w:rPr>
        <w:t xml:space="preserve"> </w:t>
      </w:r>
      <w:r w:rsidRPr="006E50FF">
        <w:rPr>
          <w:kern w:val="2"/>
        </w:rPr>
        <w:t>or</w:t>
      </w:r>
      <w:r w:rsidRPr="006E50FF">
        <w:rPr>
          <w:spacing w:val="-12"/>
          <w:kern w:val="2"/>
        </w:rPr>
        <w:t xml:space="preserve"> </w:t>
      </w:r>
      <w:r w:rsidRPr="006E50FF">
        <w:rPr>
          <w:i/>
          <w:kern w:val="2"/>
        </w:rPr>
        <w:t>Prescription</w:t>
      </w:r>
      <w:r w:rsidRPr="006E50FF">
        <w:rPr>
          <w:i/>
          <w:spacing w:val="-13"/>
          <w:kern w:val="2"/>
        </w:rPr>
        <w:t xml:space="preserve"> </w:t>
      </w:r>
      <w:r w:rsidRPr="006E50FF">
        <w:rPr>
          <w:i/>
          <w:kern w:val="2"/>
        </w:rPr>
        <w:t>Drug</w:t>
      </w:r>
      <w:r w:rsidRPr="006E50FF">
        <w:rPr>
          <w:i/>
          <w:spacing w:val="-12"/>
          <w:kern w:val="2"/>
        </w:rPr>
        <w:t xml:space="preserve"> </w:t>
      </w:r>
      <w:r w:rsidRPr="006E50FF">
        <w:rPr>
          <w:i/>
          <w:kern w:val="2"/>
        </w:rPr>
        <w:t>Order</w:t>
      </w:r>
      <w:r w:rsidRPr="006E50FF">
        <w:rPr>
          <w:kern w:val="2"/>
        </w:rPr>
        <w:t>—an</w:t>
      </w:r>
      <w:r w:rsidRPr="006E50FF">
        <w:rPr>
          <w:spacing w:val="-13"/>
          <w:kern w:val="2"/>
        </w:rPr>
        <w:t xml:space="preserve"> </w:t>
      </w:r>
      <w:r w:rsidRPr="006E50FF">
        <w:rPr>
          <w:kern w:val="2"/>
        </w:rPr>
        <w:t>order</w:t>
      </w:r>
      <w:r w:rsidRPr="006E50FF">
        <w:rPr>
          <w:spacing w:val="-12"/>
          <w:kern w:val="2"/>
        </w:rPr>
        <w:t xml:space="preserve"> </w:t>
      </w:r>
      <w:r w:rsidRPr="006E50FF">
        <w:rPr>
          <w:kern w:val="2"/>
        </w:rPr>
        <w:t xml:space="preserve">from a practitioner authorized by law to prescribe for a drug or </w:t>
      </w:r>
      <w:r w:rsidRPr="006E50FF">
        <w:rPr>
          <w:spacing w:val="-1"/>
          <w:kern w:val="2"/>
        </w:rPr>
        <w:t>device</w:t>
      </w:r>
      <w:r w:rsidRPr="006E50FF">
        <w:rPr>
          <w:kern w:val="2"/>
        </w:rPr>
        <w:t xml:space="preserve"> that is patient specific and is communicated by any means to a pharmacist in a permitted pharmacy, and is preserved on file as required by law or regulation.</w:t>
      </w:r>
    </w:p>
    <w:p w14:paraId="4C909B7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Unpredictable, Involuntary Reasons</w:t>
      </w:r>
      <w:r w:rsidRPr="006E50FF">
        <w:rPr>
          <w:kern w:val="2"/>
        </w:rPr>
        <w:t>—the death, disability, disappearance, unplanned relocation, or a similar unpredictable or involuntary reason.</w:t>
      </w:r>
    </w:p>
    <w:p w14:paraId="62A868F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71CF8B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44:272 (February 2018), amended LR 52:</w:t>
      </w:r>
    </w:p>
    <w:p w14:paraId="422A30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§7905.</w:t>
      </w:r>
      <w:r w:rsidRPr="006E50FF">
        <w:rPr>
          <w:b/>
          <w:kern w:val="2"/>
        </w:rPr>
        <w:tab/>
        <w:t>Enforcement</w:t>
      </w:r>
    </w:p>
    <w:p w14:paraId="6796CE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w:t>
      </w:r>
      <w:r w:rsidRPr="006E50FF">
        <w:rPr>
          <w:spacing w:val="-11"/>
          <w:kern w:val="2"/>
        </w:rPr>
        <w:t xml:space="preserve"> </w:t>
      </w:r>
      <w:r w:rsidRPr="006E50FF">
        <w:rPr>
          <w:kern w:val="2"/>
        </w:rPr>
        <w:t>physician</w:t>
      </w:r>
      <w:r w:rsidRPr="006E50FF">
        <w:rPr>
          <w:spacing w:val="-10"/>
          <w:kern w:val="2"/>
        </w:rPr>
        <w:t xml:space="preserve"> </w:t>
      </w:r>
      <w:r w:rsidRPr="006E50FF">
        <w:rPr>
          <w:kern w:val="2"/>
        </w:rPr>
        <w:t>who</w:t>
      </w:r>
      <w:r w:rsidRPr="006E50FF">
        <w:rPr>
          <w:spacing w:val="-11"/>
          <w:kern w:val="2"/>
        </w:rPr>
        <w:t xml:space="preserve"> </w:t>
      </w:r>
      <w:r w:rsidRPr="006E50FF">
        <w:rPr>
          <w:kern w:val="2"/>
        </w:rPr>
        <w:t>has</w:t>
      </w:r>
      <w:r w:rsidRPr="006E50FF">
        <w:rPr>
          <w:spacing w:val="-8"/>
          <w:kern w:val="2"/>
        </w:rPr>
        <w:t xml:space="preserve"> </w:t>
      </w:r>
      <w:r w:rsidRPr="006E50FF">
        <w:rPr>
          <w:kern w:val="2"/>
        </w:rPr>
        <w:t>signed</w:t>
      </w:r>
      <w:r w:rsidRPr="006E50FF">
        <w:rPr>
          <w:spacing w:val="-4"/>
          <w:kern w:val="2"/>
        </w:rPr>
        <w:t xml:space="preserve"> </w:t>
      </w:r>
      <w:r w:rsidRPr="006E50FF">
        <w:rPr>
          <w:kern w:val="2"/>
        </w:rPr>
        <w:t>a</w:t>
      </w:r>
      <w:r w:rsidRPr="006E50FF">
        <w:rPr>
          <w:spacing w:val="-5"/>
          <w:kern w:val="2"/>
        </w:rPr>
        <w:t xml:space="preserve"> </w:t>
      </w:r>
      <w:r w:rsidRPr="006E50FF">
        <w:rPr>
          <w:kern w:val="2"/>
        </w:rPr>
        <w:t>CPA</w:t>
      </w:r>
      <w:r w:rsidRPr="006E50FF">
        <w:rPr>
          <w:spacing w:val="-11"/>
          <w:kern w:val="2"/>
        </w:rPr>
        <w:t xml:space="preserve"> </w:t>
      </w:r>
      <w:r w:rsidRPr="006E50FF">
        <w:rPr>
          <w:kern w:val="2"/>
        </w:rPr>
        <w:t>with</w:t>
      </w:r>
      <w:r w:rsidRPr="006E50FF">
        <w:rPr>
          <w:spacing w:val="-6"/>
          <w:kern w:val="2"/>
        </w:rPr>
        <w:t xml:space="preserve"> </w:t>
      </w:r>
      <w:r w:rsidRPr="006E50FF">
        <w:rPr>
          <w:kern w:val="2"/>
        </w:rPr>
        <w:t>an</w:t>
      </w:r>
      <w:r w:rsidRPr="006E50FF">
        <w:rPr>
          <w:spacing w:val="-11"/>
          <w:kern w:val="2"/>
        </w:rPr>
        <w:t xml:space="preserve"> </w:t>
      </w:r>
      <w:r w:rsidRPr="006E50FF">
        <w:rPr>
          <w:kern w:val="2"/>
        </w:rPr>
        <w:t>APRN</w:t>
      </w:r>
      <w:r w:rsidRPr="006E50FF">
        <w:rPr>
          <w:spacing w:val="-5"/>
          <w:kern w:val="2"/>
        </w:rPr>
        <w:t xml:space="preserve"> </w:t>
      </w:r>
      <w:r w:rsidRPr="006E50FF">
        <w:rPr>
          <w:kern w:val="2"/>
        </w:rPr>
        <w:t xml:space="preserve">shall comply with the rules of this Chapter. </w:t>
      </w:r>
    </w:p>
    <w:p w14:paraId="1F7DB0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complaints received by the board involving a CPA or collaborating APRN will be processed in the same manner as a complaint against the physician.</w:t>
      </w:r>
    </w:p>
    <w:p w14:paraId="33FAB5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341B14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by the Department of Health, Board of Medical Examiners, LR 52:</w:t>
      </w:r>
    </w:p>
    <w:p w14:paraId="0DFB35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§7907.</w:t>
      </w:r>
      <w:r w:rsidRPr="006E50FF">
        <w:rPr>
          <w:b/>
          <w:spacing w:val="32"/>
          <w:kern w:val="2"/>
        </w:rPr>
        <w:tab/>
      </w:r>
      <w:r w:rsidRPr="006E50FF">
        <w:rPr>
          <w:b/>
          <w:kern w:val="2"/>
        </w:rPr>
        <w:t>Exceptions</w:t>
      </w:r>
    </w:p>
    <w:p w14:paraId="7937AE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Chapter shall not apply to physician </w:t>
      </w:r>
      <w:r w:rsidRPr="006E50FF">
        <w:rPr>
          <w:spacing w:val="-2"/>
          <w:kern w:val="2"/>
        </w:rPr>
        <w:t>collaboration:</w:t>
      </w:r>
    </w:p>
    <w:p w14:paraId="684059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with an APRN who does not engage in acts of medical diagnosis or prescriptions, as described in R.S. 37:913(8) and (9), or those otherwise exempt from collaborative practice pursuant to R.S. 37:930; and</w:t>
      </w:r>
    </w:p>
    <w:p w14:paraId="07B861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cases of a declared emergency or disaster, as defined</w:t>
      </w:r>
      <w:r w:rsidRPr="006E50FF">
        <w:rPr>
          <w:spacing w:val="-13"/>
          <w:kern w:val="2"/>
        </w:rPr>
        <w:t xml:space="preserve"> </w:t>
      </w:r>
      <w:r w:rsidRPr="006E50FF">
        <w:rPr>
          <w:kern w:val="2"/>
        </w:rPr>
        <w:t>by</w:t>
      </w:r>
      <w:r w:rsidRPr="006E50FF">
        <w:rPr>
          <w:spacing w:val="-12"/>
          <w:kern w:val="2"/>
        </w:rPr>
        <w:t xml:space="preserve"> </w:t>
      </w:r>
      <w:r w:rsidRPr="006E50FF">
        <w:rPr>
          <w:kern w:val="2"/>
        </w:rPr>
        <w:t>the</w:t>
      </w:r>
      <w:r w:rsidRPr="006E50FF">
        <w:rPr>
          <w:spacing w:val="-12"/>
          <w:kern w:val="2"/>
        </w:rPr>
        <w:t xml:space="preserve"> </w:t>
      </w:r>
      <w:r w:rsidRPr="006E50FF">
        <w:rPr>
          <w:kern w:val="2"/>
        </w:rPr>
        <w:t>Louisiana</w:t>
      </w:r>
      <w:r w:rsidRPr="006E50FF">
        <w:rPr>
          <w:spacing w:val="-9"/>
          <w:kern w:val="2"/>
        </w:rPr>
        <w:t xml:space="preserve"> </w:t>
      </w:r>
      <w:r w:rsidRPr="006E50FF">
        <w:rPr>
          <w:kern w:val="2"/>
        </w:rPr>
        <w:t>Health</w:t>
      </w:r>
      <w:r w:rsidRPr="006E50FF">
        <w:rPr>
          <w:spacing w:val="-11"/>
          <w:kern w:val="2"/>
        </w:rPr>
        <w:t xml:space="preserve"> </w:t>
      </w:r>
      <w:r w:rsidRPr="006E50FF">
        <w:rPr>
          <w:kern w:val="2"/>
        </w:rPr>
        <w:t>Emergency</w:t>
      </w:r>
      <w:r w:rsidRPr="006E50FF">
        <w:rPr>
          <w:spacing w:val="-13"/>
          <w:kern w:val="2"/>
        </w:rPr>
        <w:t xml:space="preserve"> </w:t>
      </w:r>
      <w:r w:rsidRPr="006E50FF">
        <w:rPr>
          <w:kern w:val="2"/>
        </w:rPr>
        <w:t>Powers</w:t>
      </w:r>
      <w:r w:rsidRPr="006E50FF">
        <w:rPr>
          <w:spacing w:val="-12"/>
          <w:kern w:val="2"/>
        </w:rPr>
        <w:t xml:space="preserve"> </w:t>
      </w:r>
      <w:r w:rsidRPr="006E50FF">
        <w:rPr>
          <w:kern w:val="2"/>
        </w:rPr>
        <w:t>Act,</w:t>
      </w:r>
      <w:r w:rsidRPr="006E50FF">
        <w:rPr>
          <w:spacing w:val="-10"/>
          <w:kern w:val="2"/>
        </w:rPr>
        <w:t xml:space="preserve"> </w:t>
      </w:r>
      <w:r w:rsidRPr="006E50FF">
        <w:rPr>
          <w:kern w:val="2"/>
        </w:rPr>
        <w:t xml:space="preserve">R.S. 29:760 et seq., or as otherwise provided in Title 29 of the </w:t>
      </w:r>
      <w:r w:rsidRPr="006E50FF">
        <w:rPr>
          <w:i/>
          <w:kern w:val="2"/>
        </w:rPr>
        <w:t xml:space="preserve">Revised Statutes </w:t>
      </w:r>
      <w:r w:rsidRPr="006E50FF">
        <w:rPr>
          <w:kern w:val="2"/>
        </w:rPr>
        <w:t>of 1950, or the board's rules.</w:t>
      </w:r>
    </w:p>
    <w:p w14:paraId="476DEA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5EC0B4B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LR 52:</w:t>
      </w:r>
    </w:p>
    <w:p w14:paraId="21E219B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13"/>
          <w:kern w:val="2"/>
        </w:rPr>
        <w:t xml:space="preserve"> </w:t>
      </w:r>
      <w:r w:rsidRPr="006E50FF">
        <w:rPr>
          <w:b/>
          <w:kern w:val="2"/>
        </w:rPr>
        <w:t>B.</w:t>
      </w:r>
      <w:r w:rsidRPr="006E50FF">
        <w:rPr>
          <w:b/>
          <w:spacing w:val="39"/>
          <w:kern w:val="2"/>
        </w:rPr>
        <w:tab/>
      </w:r>
      <w:r w:rsidRPr="006E50FF">
        <w:rPr>
          <w:b/>
          <w:kern w:val="2"/>
        </w:rPr>
        <w:t>Due</w:t>
      </w:r>
      <w:r w:rsidRPr="006E50FF">
        <w:rPr>
          <w:b/>
          <w:spacing w:val="-10"/>
          <w:kern w:val="2"/>
        </w:rPr>
        <w:t xml:space="preserve"> </w:t>
      </w:r>
      <w:r w:rsidRPr="006E50FF">
        <w:rPr>
          <w:b/>
          <w:kern w:val="2"/>
        </w:rPr>
        <w:t>Diligence; Eligibility; Requirements of Collaborative</w:t>
      </w:r>
      <w:r w:rsidRPr="006E50FF">
        <w:rPr>
          <w:b/>
          <w:spacing w:val="-18"/>
          <w:kern w:val="2"/>
        </w:rPr>
        <w:t xml:space="preserve"> </w:t>
      </w:r>
      <w:r w:rsidRPr="006E50FF">
        <w:rPr>
          <w:b/>
          <w:kern w:val="2"/>
        </w:rPr>
        <w:t>Practice</w:t>
      </w:r>
      <w:r w:rsidRPr="006E50FF">
        <w:rPr>
          <w:b/>
          <w:spacing w:val="-17"/>
          <w:kern w:val="2"/>
        </w:rPr>
        <w:t xml:space="preserve"> </w:t>
      </w:r>
      <w:r w:rsidRPr="006E50FF">
        <w:rPr>
          <w:b/>
          <w:kern w:val="2"/>
        </w:rPr>
        <w:t>Agreement</w:t>
      </w:r>
      <w:r w:rsidRPr="006E50FF">
        <w:rPr>
          <w:b/>
          <w:spacing w:val="-18"/>
          <w:kern w:val="2"/>
        </w:rPr>
        <w:t xml:space="preserve"> </w:t>
      </w:r>
      <w:r w:rsidRPr="006E50FF">
        <w:rPr>
          <w:b/>
          <w:kern w:val="2"/>
        </w:rPr>
        <w:t>and Required Information</w:t>
      </w:r>
    </w:p>
    <w:p w14:paraId="7A023D2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spacing w:val="-2"/>
          <w:kern w:val="2"/>
        </w:rPr>
      </w:pPr>
      <w:r w:rsidRPr="006E50FF">
        <w:rPr>
          <w:b/>
          <w:kern w:val="2"/>
        </w:rPr>
        <w:t>§7909.</w:t>
      </w:r>
      <w:r w:rsidRPr="006E50FF">
        <w:rPr>
          <w:b/>
          <w:spacing w:val="31"/>
          <w:kern w:val="2"/>
        </w:rPr>
        <w:tab/>
      </w:r>
      <w:r w:rsidRPr="006E50FF">
        <w:rPr>
          <w:b/>
          <w:kern w:val="2"/>
        </w:rPr>
        <w:t xml:space="preserve">Due </w:t>
      </w:r>
      <w:r w:rsidRPr="006E50FF">
        <w:rPr>
          <w:b/>
          <w:spacing w:val="-2"/>
          <w:kern w:val="2"/>
        </w:rPr>
        <w:t>Diligence</w:t>
      </w:r>
    </w:p>
    <w:p w14:paraId="42F0E4AC"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Before</w:t>
      </w:r>
      <w:r w:rsidRPr="006E50FF">
        <w:rPr>
          <w:spacing w:val="-13"/>
          <w:kern w:val="2"/>
        </w:rPr>
        <w:t xml:space="preserve"> </w:t>
      </w:r>
      <w:r w:rsidRPr="006E50FF">
        <w:rPr>
          <w:kern w:val="2"/>
        </w:rPr>
        <w:t>entering</w:t>
      </w:r>
      <w:r w:rsidRPr="006E50FF">
        <w:rPr>
          <w:spacing w:val="-12"/>
          <w:kern w:val="2"/>
        </w:rPr>
        <w:t xml:space="preserve"> </w:t>
      </w:r>
      <w:r w:rsidRPr="006E50FF">
        <w:rPr>
          <w:kern w:val="2"/>
        </w:rPr>
        <w:t>into</w:t>
      </w:r>
      <w:r w:rsidRPr="006E50FF">
        <w:rPr>
          <w:spacing w:val="-13"/>
          <w:kern w:val="2"/>
        </w:rPr>
        <w:t xml:space="preserve"> </w:t>
      </w:r>
      <w:r w:rsidRPr="006E50FF">
        <w:rPr>
          <w:kern w:val="2"/>
        </w:rPr>
        <w:t>a</w:t>
      </w:r>
      <w:r w:rsidRPr="006E50FF">
        <w:rPr>
          <w:spacing w:val="-12"/>
          <w:kern w:val="2"/>
        </w:rPr>
        <w:t xml:space="preserve"> </w:t>
      </w:r>
      <w:r w:rsidRPr="006E50FF">
        <w:rPr>
          <w:kern w:val="2"/>
        </w:rPr>
        <w:t>collaborative</w:t>
      </w:r>
      <w:r w:rsidRPr="006E50FF">
        <w:rPr>
          <w:spacing w:val="-13"/>
          <w:kern w:val="2"/>
        </w:rPr>
        <w:t xml:space="preserve"> </w:t>
      </w:r>
      <w:r w:rsidRPr="006E50FF">
        <w:rPr>
          <w:kern w:val="2"/>
        </w:rPr>
        <w:t>practice</w:t>
      </w:r>
      <w:r w:rsidRPr="006E50FF">
        <w:rPr>
          <w:spacing w:val="-12"/>
          <w:kern w:val="2"/>
        </w:rPr>
        <w:t xml:space="preserve"> </w:t>
      </w:r>
      <w:r w:rsidRPr="006E50FF">
        <w:rPr>
          <w:kern w:val="2"/>
        </w:rPr>
        <w:t>agreement with an APRN, a physician shall ensure that he or she possesses the qualifications specified by this Chapter and has</w:t>
      </w:r>
      <w:r w:rsidRPr="006E50FF">
        <w:rPr>
          <w:spacing w:val="-4"/>
          <w:kern w:val="2"/>
        </w:rPr>
        <w:t xml:space="preserve"> </w:t>
      </w:r>
      <w:r w:rsidRPr="006E50FF">
        <w:rPr>
          <w:kern w:val="2"/>
        </w:rPr>
        <w:t>an</w:t>
      </w:r>
      <w:r w:rsidRPr="006E50FF">
        <w:rPr>
          <w:spacing w:val="-5"/>
          <w:kern w:val="2"/>
        </w:rPr>
        <w:t xml:space="preserve"> </w:t>
      </w:r>
      <w:r w:rsidRPr="006E50FF">
        <w:rPr>
          <w:kern w:val="2"/>
        </w:rPr>
        <w:t>understanding</w:t>
      </w:r>
      <w:r w:rsidRPr="006E50FF">
        <w:rPr>
          <w:spacing w:val="-5"/>
          <w:kern w:val="2"/>
        </w:rPr>
        <w:t xml:space="preserve"> </w:t>
      </w:r>
      <w:r w:rsidRPr="006E50FF">
        <w:rPr>
          <w:kern w:val="2"/>
        </w:rPr>
        <w:t>of</w:t>
      </w:r>
      <w:r w:rsidRPr="006E50FF">
        <w:rPr>
          <w:spacing w:val="-5"/>
          <w:kern w:val="2"/>
        </w:rPr>
        <w:t xml:space="preserve"> </w:t>
      </w:r>
      <w:r w:rsidRPr="006E50FF">
        <w:rPr>
          <w:kern w:val="2"/>
        </w:rPr>
        <w:t>the</w:t>
      </w:r>
      <w:r w:rsidRPr="006E50FF">
        <w:rPr>
          <w:spacing w:val="-4"/>
          <w:kern w:val="2"/>
        </w:rPr>
        <w:t xml:space="preserve"> </w:t>
      </w:r>
      <w:r w:rsidRPr="006E50FF">
        <w:rPr>
          <w:kern w:val="2"/>
        </w:rPr>
        <w:t>rules</w:t>
      </w:r>
      <w:r w:rsidRPr="006E50FF">
        <w:rPr>
          <w:spacing w:val="-5"/>
          <w:kern w:val="2"/>
        </w:rPr>
        <w:t xml:space="preserve"> </w:t>
      </w:r>
      <w:r w:rsidRPr="006E50FF">
        <w:rPr>
          <w:kern w:val="2"/>
        </w:rPr>
        <w:t>of</w:t>
      </w:r>
      <w:r w:rsidRPr="006E50FF">
        <w:rPr>
          <w:spacing w:val="-5"/>
          <w:kern w:val="2"/>
        </w:rPr>
        <w:t xml:space="preserve"> </w:t>
      </w:r>
      <w:r w:rsidRPr="006E50FF">
        <w:rPr>
          <w:kern w:val="2"/>
        </w:rPr>
        <w:t>this</w:t>
      </w:r>
      <w:r w:rsidRPr="006E50FF">
        <w:rPr>
          <w:spacing w:val="-5"/>
          <w:kern w:val="2"/>
        </w:rPr>
        <w:t xml:space="preserve"> </w:t>
      </w:r>
      <w:r w:rsidRPr="006E50FF">
        <w:rPr>
          <w:spacing w:val="-2"/>
          <w:kern w:val="2"/>
        </w:rPr>
        <w:t>Chapter.</w:t>
      </w:r>
    </w:p>
    <w:p w14:paraId="2E817C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After signing a collaborative practice agreement with an</w:t>
      </w:r>
      <w:r w:rsidRPr="006E50FF">
        <w:rPr>
          <w:spacing w:val="-5"/>
          <w:kern w:val="2"/>
        </w:rPr>
        <w:t xml:space="preserve"> </w:t>
      </w:r>
      <w:r w:rsidRPr="006E50FF">
        <w:rPr>
          <w:kern w:val="2"/>
        </w:rPr>
        <w:t>APRN a physician shall submit all required documentation to the board and confirm with the</w:t>
      </w:r>
      <w:r w:rsidRPr="006E50FF">
        <w:rPr>
          <w:spacing w:val="-4"/>
          <w:kern w:val="2"/>
        </w:rPr>
        <w:t xml:space="preserve"> </w:t>
      </w:r>
      <w:r w:rsidRPr="006E50FF">
        <w:rPr>
          <w:kern w:val="2"/>
        </w:rPr>
        <w:t>APRN that any required</w:t>
      </w:r>
      <w:r w:rsidRPr="006E50FF">
        <w:rPr>
          <w:spacing w:val="-12"/>
          <w:kern w:val="2"/>
        </w:rPr>
        <w:t xml:space="preserve"> </w:t>
      </w:r>
      <w:r w:rsidRPr="006E50FF">
        <w:rPr>
          <w:kern w:val="2"/>
        </w:rPr>
        <w:t>documentation</w:t>
      </w:r>
      <w:r w:rsidRPr="006E50FF">
        <w:rPr>
          <w:spacing w:val="-12"/>
          <w:kern w:val="2"/>
        </w:rPr>
        <w:t xml:space="preserve"> </w:t>
      </w:r>
      <w:r w:rsidRPr="006E50FF">
        <w:rPr>
          <w:kern w:val="2"/>
        </w:rPr>
        <w:t>concerning</w:t>
      </w:r>
      <w:r w:rsidRPr="006E50FF">
        <w:rPr>
          <w:spacing w:val="-13"/>
          <w:kern w:val="2"/>
        </w:rPr>
        <w:t xml:space="preserve"> </w:t>
      </w:r>
      <w:r w:rsidRPr="006E50FF">
        <w:rPr>
          <w:kern w:val="2"/>
        </w:rPr>
        <w:t>the</w:t>
      </w:r>
      <w:r w:rsidRPr="006E50FF">
        <w:rPr>
          <w:spacing w:val="-11"/>
          <w:kern w:val="2"/>
        </w:rPr>
        <w:t xml:space="preserve"> </w:t>
      </w:r>
      <w:r w:rsidRPr="006E50FF">
        <w:rPr>
          <w:kern w:val="2"/>
        </w:rPr>
        <w:t>collaborative</w:t>
      </w:r>
      <w:r w:rsidRPr="006E50FF">
        <w:rPr>
          <w:spacing w:val="-10"/>
          <w:kern w:val="2"/>
        </w:rPr>
        <w:t xml:space="preserve"> </w:t>
      </w:r>
      <w:r w:rsidRPr="006E50FF">
        <w:rPr>
          <w:kern w:val="2"/>
        </w:rPr>
        <w:t>practice has been submitted to the LSBN.</w:t>
      </w:r>
    </w:p>
    <w:p w14:paraId="389A57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14157C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LR 52:</w:t>
      </w:r>
    </w:p>
    <w:p w14:paraId="17616F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§7911.</w:t>
      </w:r>
      <w:r w:rsidRPr="006E50FF">
        <w:rPr>
          <w:b/>
          <w:spacing w:val="80"/>
          <w:kern w:val="2"/>
        </w:rPr>
        <w:tab/>
      </w:r>
      <w:r w:rsidRPr="006E50FF">
        <w:rPr>
          <w:b/>
          <w:kern w:val="2"/>
        </w:rPr>
        <w:t>Eligibility;</w:t>
      </w:r>
      <w:r w:rsidRPr="006E50FF">
        <w:rPr>
          <w:b/>
          <w:spacing w:val="-8"/>
          <w:kern w:val="2"/>
        </w:rPr>
        <w:t xml:space="preserve"> </w:t>
      </w:r>
      <w:r w:rsidRPr="006E50FF">
        <w:rPr>
          <w:b/>
          <w:kern w:val="2"/>
        </w:rPr>
        <w:t>Required</w:t>
      </w:r>
      <w:r w:rsidRPr="006E50FF">
        <w:rPr>
          <w:b/>
          <w:spacing w:val="-8"/>
          <w:kern w:val="2"/>
        </w:rPr>
        <w:t xml:space="preserve"> </w:t>
      </w:r>
      <w:r w:rsidRPr="006E50FF">
        <w:rPr>
          <w:b/>
          <w:kern w:val="2"/>
        </w:rPr>
        <w:t>Components</w:t>
      </w:r>
      <w:r w:rsidRPr="006E50FF">
        <w:rPr>
          <w:b/>
          <w:spacing w:val="-9"/>
          <w:kern w:val="2"/>
        </w:rPr>
        <w:t xml:space="preserve"> </w:t>
      </w:r>
      <w:r w:rsidRPr="006E50FF">
        <w:rPr>
          <w:b/>
          <w:kern w:val="2"/>
        </w:rPr>
        <w:t>of Collaborative Practice Agreement</w:t>
      </w:r>
    </w:p>
    <w:p w14:paraId="100FE4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w:t>
      </w:r>
      <w:r w:rsidRPr="006E50FF">
        <w:rPr>
          <w:spacing w:val="-2"/>
          <w:kern w:val="2"/>
        </w:rPr>
        <w:t xml:space="preserve"> </w:t>
      </w:r>
      <w:r w:rsidRPr="006E50FF">
        <w:rPr>
          <w:kern w:val="2"/>
        </w:rPr>
        <w:t>be</w:t>
      </w:r>
      <w:r w:rsidRPr="006E50FF">
        <w:rPr>
          <w:spacing w:val="-2"/>
          <w:kern w:val="2"/>
        </w:rPr>
        <w:t xml:space="preserve"> </w:t>
      </w:r>
      <w:r w:rsidRPr="006E50FF">
        <w:rPr>
          <w:kern w:val="2"/>
        </w:rPr>
        <w:t>eligible</w:t>
      </w:r>
      <w:r w:rsidRPr="006E50FF">
        <w:rPr>
          <w:spacing w:val="-1"/>
          <w:kern w:val="2"/>
        </w:rPr>
        <w:t xml:space="preserve"> </w:t>
      </w:r>
      <w:r w:rsidRPr="006E50FF">
        <w:rPr>
          <w:kern w:val="2"/>
        </w:rPr>
        <w:t>to engage</w:t>
      </w:r>
      <w:r w:rsidRPr="006E50FF">
        <w:rPr>
          <w:spacing w:val="-1"/>
          <w:kern w:val="2"/>
        </w:rPr>
        <w:t xml:space="preserve"> </w:t>
      </w:r>
      <w:r w:rsidRPr="006E50FF">
        <w:rPr>
          <w:kern w:val="2"/>
        </w:rPr>
        <w:t>in</w:t>
      </w:r>
      <w:r w:rsidRPr="006E50FF">
        <w:rPr>
          <w:spacing w:val="-2"/>
          <w:kern w:val="2"/>
        </w:rPr>
        <w:t xml:space="preserve"> </w:t>
      </w:r>
      <w:r w:rsidRPr="006E50FF">
        <w:rPr>
          <w:kern w:val="2"/>
        </w:rPr>
        <w:t>collaborative</w:t>
      </w:r>
      <w:r w:rsidRPr="006E50FF">
        <w:rPr>
          <w:spacing w:val="-1"/>
          <w:kern w:val="2"/>
        </w:rPr>
        <w:t xml:space="preserve"> </w:t>
      </w:r>
      <w:r w:rsidRPr="006E50FF">
        <w:rPr>
          <w:kern w:val="2"/>
        </w:rPr>
        <w:t>practice</w:t>
      </w:r>
      <w:r w:rsidRPr="006E50FF">
        <w:rPr>
          <w:spacing w:val="-1"/>
          <w:kern w:val="2"/>
        </w:rPr>
        <w:t xml:space="preserve"> </w:t>
      </w:r>
      <w:r w:rsidRPr="006E50FF">
        <w:rPr>
          <w:kern w:val="2"/>
        </w:rPr>
        <w:t>with an APRN a physician shall:</w:t>
      </w:r>
    </w:p>
    <w:p w14:paraId="4CC8DF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reside or maintain a physical practice in Louisiana;</w:t>
      </w:r>
    </w:p>
    <w:p w14:paraId="512DE5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w:t>
      </w:r>
      <w:r w:rsidRPr="006E50FF">
        <w:rPr>
          <w:spacing w:val="-9"/>
          <w:kern w:val="2"/>
        </w:rPr>
        <w:t xml:space="preserve"> </w:t>
      </w:r>
      <w:r w:rsidRPr="006E50FF">
        <w:rPr>
          <w:kern w:val="2"/>
        </w:rPr>
        <w:t>actively</w:t>
      </w:r>
      <w:r w:rsidRPr="006E50FF">
        <w:rPr>
          <w:spacing w:val="-11"/>
          <w:kern w:val="2"/>
        </w:rPr>
        <w:t xml:space="preserve"> </w:t>
      </w:r>
      <w:r w:rsidRPr="006E50FF">
        <w:rPr>
          <w:kern w:val="2"/>
        </w:rPr>
        <w:t>engaged</w:t>
      </w:r>
      <w:r w:rsidRPr="006E50FF">
        <w:rPr>
          <w:spacing w:val="-8"/>
          <w:kern w:val="2"/>
        </w:rPr>
        <w:t xml:space="preserve"> </w:t>
      </w:r>
      <w:r w:rsidRPr="006E50FF">
        <w:rPr>
          <w:kern w:val="2"/>
        </w:rPr>
        <w:t>in</w:t>
      </w:r>
      <w:r w:rsidRPr="006E50FF">
        <w:rPr>
          <w:spacing w:val="-11"/>
          <w:kern w:val="2"/>
        </w:rPr>
        <w:t xml:space="preserve"> </w:t>
      </w:r>
      <w:r w:rsidRPr="006E50FF">
        <w:rPr>
          <w:kern w:val="2"/>
        </w:rPr>
        <w:t>the</w:t>
      </w:r>
      <w:r w:rsidRPr="006E50FF">
        <w:rPr>
          <w:spacing w:val="-9"/>
          <w:kern w:val="2"/>
        </w:rPr>
        <w:t xml:space="preserve"> </w:t>
      </w:r>
      <w:r w:rsidRPr="006E50FF">
        <w:rPr>
          <w:kern w:val="2"/>
        </w:rPr>
        <w:t>provision</w:t>
      </w:r>
      <w:r w:rsidRPr="006E50FF">
        <w:rPr>
          <w:spacing w:val="-11"/>
          <w:kern w:val="2"/>
        </w:rPr>
        <w:t xml:space="preserve"> </w:t>
      </w:r>
      <w:r w:rsidRPr="006E50FF">
        <w:rPr>
          <w:kern w:val="2"/>
        </w:rPr>
        <w:t>of</w:t>
      </w:r>
      <w:r w:rsidRPr="006E50FF">
        <w:rPr>
          <w:spacing w:val="-11"/>
          <w:kern w:val="2"/>
        </w:rPr>
        <w:t xml:space="preserve"> </w:t>
      </w:r>
      <w:r w:rsidRPr="006E50FF">
        <w:rPr>
          <w:kern w:val="2"/>
        </w:rPr>
        <w:t>direct</w:t>
      </w:r>
      <w:r w:rsidRPr="006E50FF">
        <w:rPr>
          <w:spacing w:val="-10"/>
          <w:kern w:val="2"/>
        </w:rPr>
        <w:t xml:space="preserve"> </w:t>
      </w:r>
      <w:r w:rsidRPr="006E50FF">
        <w:rPr>
          <w:kern w:val="2"/>
        </w:rPr>
        <w:t>patient care in Louisiana;</w:t>
      </w:r>
    </w:p>
    <w:p w14:paraId="68CFFC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practice</w:t>
      </w:r>
      <w:r w:rsidRPr="006E50FF">
        <w:rPr>
          <w:spacing w:val="-11"/>
          <w:kern w:val="2"/>
        </w:rPr>
        <w:t xml:space="preserve"> </w:t>
      </w:r>
      <w:r w:rsidRPr="006E50FF">
        <w:rPr>
          <w:kern w:val="2"/>
        </w:rPr>
        <w:t>in</w:t>
      </w:r>
      <w:r w:rsidRPr="006E50FF">
        <w:rPr>
          <w:spacing w:val="-13"/>
          <w:kern w:val="2"/>
        </w:rPr>
        <w:t xml:space="preserve"> </w:t>
      </w:r>
      <w:r w:rsidRPr="006E50FF">
        <w:rPr>
          <w:kern w:val="2"/>
        </w:rPr>
        <w:t>an</w:t>
      </w:r>
      <w:r w:rsidRPr="006E50FF">
        <w:rPr>
          <w:spacing w:val="-12"/>
          <w:kern w:val="2"/>
        </w:rPr>
        <w:t xml:space="preserve"> </w:t>
      </w:r>
      <w:r w:rsidRPr="006E50FF">
        <w:rPr>
          <w:kern w:val="2"/>
        </w:rPr>
        <w:t>area</w:t>
      </w:r>
      <w:r w:rsidRPr="006E50FF">
        <w:rPr>
          <w:spacing w:val="-11"/>
          <w:kern w:val="2"/>
        </w:rPr>
        <w:t xml:space="preserve"> </w:t>
      </w:r>
      <w:r w:rsidRPr="006E50FF">
        <w:rPr>
          <w:kern w:val="2"/>
        </w:rPr>
        <w:t>comparable</w:t>
      </w:r>
      <w:r w:rsidRPr="006E50FF">
        <w:rPr>
          <w:spacing w:val="-12"/>
          <w:kern w:val="2"/>
        </w:rPr>
        <w:t xml:space="preserve"> </w:t>
      </w:r>
      <w:r w:rsidRPr="006E50FF">
        <w:rPr>
          <w:kern w:val="2"/>
        </w:rPr>
        <w:t>in</w:t>
      </w:r>
      <w:r w:rsidRPr="006E50FF">
        <w:rPr>
          <w:spacing w:val="-13"/>
          <w:kern w:val="2"/>
        </w:rPr>
        <w:t xml:space="preserve"> </w:t>
      </w:r>
      <w:r w:rsidRPr="006E50FF">
        <w:rPr>
          <w:kern w:val="2"/>
        </w:rPr>
        <w:t>scope,</w:t>
      </w:r>
      <w:r w:rsidRPr="006E50FF">
        <w:rPr>
          <w:spacing w:val="-11"/>
          <w:kern w:val="2"/>
        </w:rPr>
        <w:t xml:space="preserve"> </w:t>
      </w:r>
      <w:r w:rsidRPr="006E50FF">
        <w:rPr>
          <w:kern w:val="2"/>
        </w:rPr>
        <w:t>specialty,</w:t>
      </w:r>
      <w:r w:rsidRPr="006E50FF">
        <w:rPr>
          <w:spacing w:val="-11"/>
          <w:kern w:val="2"/>
        </w:rPr>
        <w:t xml:space="preserve"> </w:t>
      </w:r>
      <w:r w:rsidRPr="006E50FF">
        <w:rPr>
          <w:kern w:val="2"/>
        </w:rPr>
        <w:t>or expertise to that of the APRN;</w:t>
      </w:r>
    </w:p>
    <w:p w14:paraId="0E1A7D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except as provided in §7911.A.5, have signed a collaborative</w:t>
      </w:r>
      <w:r w:rsidRPr="006E50FF">
        <w:rPr>
          <w:spacing w:val="80"/>
          <w:kern w:val="2"/>
        </w:rPr>
        <w:t xml:space="preserve"> </w:t>
      </w:r>
      <w:r w:rsidRPr="006E50FF">
        <w:rPr>
          <w:kern w:val="2"/>
        </w:rPr>
        <w:t>practice</w:t>
      </w:r>
      <w:r w:rsidRPr="006E50FF">
        <w:rPr>
          <w:spacing w:val="80"/>
          <w:kern w:val="2"/>
        </w:rPr>
        <w:t xml:space="preserve"> </w:t>
      </w:r>
      <w:r w:rsidRPr="006E50FF">
        <w:rPr>
          <w:kern w:val="2"/>
        </w:rPr>
        <w:t>agreement</w:t>
      </w:r>
      <w:r w:rsidRPr="006E50FF">
        <w:rPr>
          <w:spacing w:val="80"/>
          <w:kern w:val="2"/>
        </w:rPr>
        <w:t xml:space="preserve"> </w:t>
      </w:r>
      <w:r w:rsidRPr="006E50FF">
        <w:rPr>
          <w:kern w:val="2"/>
        </w:rPr>
        <w:t>as</w:t>
      </w:r>
      <w:r w:rsidRPr="006E50FF">
        <w:rPr>
          <w:spacing w:val="80"/>
          <w:kern w:val="2"/>
        </w:rPr>
        <w:t xml:space="preserve"> </w:t>
      </w:r>
      <w:r w:rsidRPr="006E50FF">
        <w:rPr>
          <w:kern w:val="2"/>
        </w:rPr>
        <w:t>described</w:t>
      </w:r>
      <w:r w:rsidRPr="006E50FF">
        <w:rPr>
          <w:spacing w:val="80"/>
          <w:kern w:val="2"/>
        </w:rPr>
        <w:t xml:space="preserve"> </w:t>
      </w:r>
      <w:r w:rsidRPr="006E50FF">
        <w:rPr>
          <w:kern w:val="2"/>
        </w:rPr>
        <w:t>in</w:t>
      </w:r>
      <w:r w:rsidRPr="006E50FF">
        <w:rPr>
          <w:spacing w:val="80"/>
          <w:kern w:val="2"/>
        </w:rPr>
        <w:t xml:space="preserve"> </w:t>
      </w:r>
      <w:r w:rsidRPr="006E50FF">
        <w:rPr>
          <w:kern w:val="2"/>
        </w:rPr>
        <w:t>R.S. 37:913(8) and (9) with an APRN that complies with the standards of practice prescribed by §§7915-7919 of this Chapter. In addition, a collaborating physician shall ensure that the CPA includes:</w:t>
      </w:r>
    </w:p>
    <w:p w14:paraId="295FDE7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 plan of accountability among the parties that </w:t>
      </w:r>
      <w:r w:rsidRPr="006E50FF">
        <w:rPr>
          <w:spacing w:val="-2"/>
          <w:kern w:val="2"/>
        </w:rPr>
        <w:t>addresses:</w:t>
      </w:r>
    </w:p>
    <w:p w14:paraId="5DE5BA9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prescriptive authority of the APRN and the responsibilities of the collaborating physician for consultation, referral, and management of complications;</w:t>
      </w:r>
    </w:p>
    <w:p w14:paraId="51332FE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plan for hospital and other healthcare institution admissions and privileges which provides that a collaborating physician must have hospital privileges at an institution before an APRN receives privileges at the same hospital or institution;</w:t>
      </w:r>
    </w:p>
    <w:p w14:paraId="33C0B77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arrangements for diagnostic and laboratory testing; and</w:t>
      </w:r>
    </w:p>
    <w:p w14:paraId="034AF2D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a</w:t>
      </w:r>
      <w:r w:rsidRPr="006E50FF">
        <w:rPr>
          <w:spacing w:val="-5"/>
          <w:kern w:val="2"/>
        </w:rPr>
        <w:t xml:space="preserve"> </w:t>
      </w:r>
      <w:r w:rsidRPr="006E50FF">
        <w:rPr>
          <w:kern w:val="2"/>
        </w:rPr>
        <w:t>plan</w:t>
      </w:r>
      <w:r w:rsidRPr="006E50FF">
        <w:rPr>
          <w:spacing w:val="-5"/>
          <w:kern w:val="2"/>
        </w:rPr>
        <w:t xml:space="preserve"> </w:t>
      </w:r>
      <w:r w:rsidRPr="006E50FF">
        <w:rPr>
          <w:kern w:val="2"/>
        </w:rPr>
        <w:t>for</w:t>
      </w:r>
      <w:r w:rsidRPr="006E50FF">
        <w:rPr>
          <w:spacing w:val="-4"/>
          <w:kern w:val="2"/>
        </w:rPr>
        <w:t xml:space="preserve"> </w:t>
      </w:r>
      <w:r w:rsidRPr="006E50FF">
        <w:rPr>
          <w:kern w:val="2"/>
        </w:rPr>
        <w:t>documentation</w:t>
      </w:r>
      <w:r w:rsidRPr="006E50FF">
        <w:rPr>
          <w:spacing w:val="-5"/>
          <w:kern w:val="2"/>
        </w:rPr>
        <w:t xml:space="preserve"> </w:t>
      </w:r>
      <w:r w:rsidRPr="006E50FF">
        <w:rPr>
          <w:kern w:val="2"/>
        </w:rPr>
        <w:t>of</w:t>
      </w:r>
      <w:r w:rsidRPr="006E50FF">
        <w:rPr>
          <w:spacing w:val="-3"/>
          <w:kern w:val="2"/>
        </w:rPr>
        <w:t xml:space="preserve"> </w:t>
      </w:r>
      <w:r w:rsidRPr="006E50FF">
        <w:rPr>
          <w:kern w:val="2"/>
        </w:rPr>
        <w:t>medical</w:t>
      </w:r>
      <w:r w:rsidRPr="006E50FF">
        <w:rPr>
          <w:spacing w:val="-4"/>
          <w:kern w:val="2"/>
        </w:rPr>
        <w:t xml:space="preserve"> </w:t>
      </w:r>
      <w:r w:rsidRPr="006E50FF">
        <w:rPr>
          <w:spacing w:val="-2"/>
          <w:kern w:val="2"/>
        </w:rPr>
        <w:t>records;</w:t>
      </w:r>
    </w:p>
    <w:p w14:paraId="6D53458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clinical practice guidelines as required by R.S. 37:913(9)(b), documenting the types or categories or schedules of drugs available and generic substitution for prescription by the APRN and be:</w:t>
      </w:r>
    </w:p>
    <w:p w14:paraId="2E9F059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mutually agreed upon by the APRN and collaborating physician;</w:t>
      </w:r>
    </w:p>
    <w:p w14:paraId="25A64F9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specific</w:t>
      </w:r>
      <w:r w:rsidRPr="006E50FF">
        <w:rPr>
          <w:spacing w:val="-5"/>
          <w:kern w:val="2"/>
        </w:rPr>
        <w:t xml:space="preserve"> </w:t>
      </w:r>
      <w:r w:rsidRPr="006E50FF">
        <w:rPr>
          <w:kern w:val="2"/>
        </w:rPr>
        <w:t>to</w:t>
      </w:r>
      <w:r w:rsidRPr="006E50FF">
        <w:rPr>
          <w:spacing w:val="-4"/>
          <w:kern w:val="2"/>
        </w:rPr>
        <w:t xml:space="preserve"> </w:t>
      </w:r>
      <w:r w:rsidRPr="006E50FF">
        <w:rPr>
          <w:kern w:val="2"/>
        </w:rPr>
        <w:t>the</w:t>
      </w:r>
      <w:r w:rsidRPr="006E50FF">
        <w:rPr>
          <w:spacing w:val="-5"/>
          <w:kern w:val="2"/>
        </w:rPr>
        <w:t xml:space="preserve"> </w:t>
      </w:r>
      <w:r w:rsidRPr="006E50FF">
        <w:rPr>
          <w:kern w:val="2"/>
        </w:rPr>
        <w:t>practice</w:t>
      </w:r>
      <w:r w:rsidRPr="006E50FF">
        <w:rPr>
          <w:spacing w:val="-5"/>
          <w:kern w:val="2"/>
        </w:rPr>
        <w:t xml:space="preserve"> </w:t>
      </w:r>
      <w:r w:rsidRPr="006E50FF">
        <w:rPr>
          <w:spacing w:val="-2"/>
          <w:kern w:val="2"/>
        </w:rPr>
        <w:t>setting;</w:t>
      </w:r>
    </w:p>
    <w:p w14:paraId="7848369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maintained</w:t>
      </w:r>
      <w:r w:rsidRPr="006E50FF">
        <w:rPr>
          <w:spacing w:val="-6"/>
          <w:kern w:val="2"/>
        </w:rPr>
        <w:t xml:space="preserve"> </w:t>
      </w:r>
      <w:r w:rsidRPr="006E50FF">
        <w:rPr>
          <w:kern w:val="2"/>
        </w:rPr>
        <w:t>on</w:t>
      </w:r>
      <w:r w:rsidRPr="006E50FF">
        <w:rPr>
          <w:spacing w:val="-6"/>
          <w:kern w:val="2"/>
        </w:rPr>
        <w:t xml:space="preserve"> </w:t>
      </w:r>
      <w:r w:rsidRPr="006E50FF">
        <w:rPr>
          <w:spacing w:val="-2"/>
          <w:kern w:val="2"/>
        </w:rPr>
        <w:t xml:space="preserve">site; </w:t>
      </w:r>
    </w:p>
    <w:p w14:paraId="0563E7F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reviewed</w:t>
      </w:r>
      <w:r w:rsidRPr="006E50FF">
        <w:rPr>
          <w:spacing w:val="-5"/>
          <w:kern w:val="2"/>
        </w:rPr>
        <w:t xml:space="preserve"> </w:t>
      </w:r>
      <w:r w:rsidRPr="006E50FF">
        <w:rPr>
          <w:kern w:val="2"/>
        </w:rPr>
        <w:t>and</w:t>
      </w:r>
      <w:r w:rsidRPr="006E50FF">
        <w:rPr>
          <w:spacing w:val="-5"/>
          <w:kern w:val="2"/>
        </w:rPr>
        <w:t xml:space="preserve"> </w:t>
      </w:r>
      <w:r w:rsidRPr="006E50FF">
        <w:rPr>
          <w:kern w:val="2"/>
        </w:rPr>
        <w:t>signed</w:t>
      </w:r>
      <w:r w:rsidRPr="006E50FF">
        <w:rPr>
          <w:spacing w:val="-5"/>
          <w:kern w:val="2"/>
        </w:rPr>
        <w:t xml:space="preserve"> </w:t>
      </w:r>
      <w:r w:rsidRPr="006E50FF">
        <w:rPr>
          <w:kern w:val="2"/>
        </w:rPr>
        <w:t>at</w:t>
      </w:r>
      <w:r w:rsidRPr="006E50FF">
        <w:rPr>
          <w:spacing w:val="-6"/>
          <w:kern w:val="2"/>
        </w:rPr>
        <w:t xml:space="preserve"> </w:t>
      </w:r>
      <w:r w:rsidRPr="006E50FF">
        <w:rPr>
          <w:kern w:val="2"/>
        </w:rPr>
        <w:t>least</w:t>
      </w:r>
      <w:r w:rsidRPr="006E50FF">
        <w:rPr>
          <w:spacing w:val="-7"/>
          <w:kern w:val="2"/>
        </w:rPr>
        <w:t xml:space="preserve"> </w:t>
      </w:r>
      <w:r w:rsidRPr="006E50FF">
        <w:rPr>
          <w:kern w:val="2"/>
        </w:rPr>
        <w:t>annually</w:t>
      </w:r>
      <w:r w:rsidRPr="006E50FF">
        <w:rPr>
          <w:spacing w:val="-9"/>
          <w:kern w:val="2"/>
        </w:rPr>
        <w:t xml:space="preserve"> </w:t>
      </w:r>
      <w:r w:rsidRPr="006E50FF">
        <w:rPr>
          <w:kern w:val="2"/>
        </w:rPr>
        <w:t>by</w:t>
      </w:r>
      <w:r w:rsidRPr="006E50FF">
        <w:rPr>
          <w:spacing w:val="-9"/>
          <w:kern w:val="2"/>
        </w:rPr>
        <w:t xml:space="preserve"> </w:t>
      </w:r>
      <w:r w:rsidRPr="006E50FF">
        <w:rPr>
          <w:kern w:val="2"/>
        </w:rPr>
        <w:t>the</w:t>
      </w:r>
      <w:r w:rsidRPr="006E50FF">
        <w:rPr>
          <w:spacing w:val="-6"/>
          <w:kern w:val="2"/>
        </w:rPr>
        <w:t xml:space="preserve"> </w:t>
      </w:r>
      <w:r w:rsidRPr="006E50FF">
        <w:rPr>
          <w:kern w:val="2"/>
        </w:rPr>
        <w:t>CP to reflect current practice;</w:t>
      </w:r>
    </w:p>
    <w:p w14:paraId="64C610B2" w14:textId="77777777" w:rsidR="006E50FF" w:rsidRPr="006E50FF" w:rsidRDefault="006E50FF" w:rsidP="006E50FF">
      <w:pPr>
        <w:tabs>
          <w:tab w:val="left" w:pos="907"/>
        </w:tabs>
        <w:ind w:firstLine="547"/>
        <w:jc w:val="both"/>
        <w:outlineLvl w:val="5"/>
        <w:rPr>
          <w:kern w:val="2"/>
        </w:rPr>
      </w:pPr>
      <w:r w:rsidRPr="006E50FF">
        <w:rPr>
          <w:spacing w:val="-2"/>
          <w:kern w:val="2"/>
        </w:rPr>
        <w:t>c.</w:t>
      </w:r>
      <w:r w:rsidRPr="006E50FF">
        <w:rPr>
          <w:spacing w:val="-2"/>
          <w:kern w:val="2"/>
        </w:rPr>
        <w:tab/>
        <w:t>availability</w:t>
      </w:r>
      <w:r w:rsidRPr="006E50FF">
        <w:rPr>
          <w:spacing w:val="-5"/>
          <w:kern w:val="2"/>
        </w:rPr>
        <w:t xml:space="preserve"> </w:t>
      </w:r>
      <w:r w:rsidRPr="006E50FF">
        <w:rPr>
          <w:spacing w:val="-2"/>
          <w:kern w:val="2"/>
        </w:rPr>
        <w:t>of</w:t>
      </w:r>
      <w:r w:rsidRPr="006E50FF">
        <w:rPr>
          <w:spacing w:val="-6"/>
          <w:kern w:val="2"/>
        </w:rPr>
        <w:t xml:space="preserve"> </w:t>
      </w:r>
      <w:r w:rsidRPr="006E50FF">
        <w:rPr>
          <w:spacing w:val="-2"/>
          <w:kern w:val="2"/>
        </w:rPr>
        <w:t>the</w:t>
      </w:r>
      <w:r w:rsidRPr="006E50FF">
        <w:rPr>
          <w:spacing w:val="-4"/>
          <w:kern w:val="2"/>
        </w:rPr>
        <w:t xml:space="preserve"> </w:t>
      </w:r>
      <w:r w:rsidRPr="006E50FF">
        <w:rPr>
          <w:spacing w:val="-2"/>
          <w:kern w:val="2"/>
        </w:rPr>
        <w:t>collaborating</w:t>
      </w:r>
      <w:r w:rsidRPr="006E50FF">
        <w:rPr>
          <w:spacing w:val="-5"/>
          <w:kern w:val="2"/>
        </w:rPr>
        <w:t xml:space="preserve"> </w:t>
      </w:r>
      <w:r w:rsidRPr="006E50FF">
        <w:rPr>
          <w:spacing w:val="-2"/>
          <w:kern w:val="2"/>
        </w:rPr>
        <w:t xml:space="preserve">physician when he </w:t>
      </w:r>
      <w:r w:rsidRPr="006E50FF">
        <w:rPr>
          <w:kern w:val="2"/>
        </w:rPr>
        <w:t>or she is not physically present in the practice setting for consultation,</w:t>
      </w:r>
      <w:r w:rsidRPr="006E50FF">
        <w:rPr>
          <w:spacing w:val="-4"/>
          <w:kern w:val="2"/>
        </w:rPr>
        <w:t xml:space="preserve"> </w:t>
      </w:r>
      <w:r w:rsidRPr="006E50FF">
        <w:rPr>
          <w:kern w:val="2"/>
        </w:rPr>
        <w:t>assistance</w:t>
      </w:r>
      <w:r w:rsidRPr="006E50FF">
        <w:rPr>
          <w:spacing w:val="-2"/>
          <w:kern w:val="2"/>
        </w:rPr>
        <w:t xml:space="preserve"> </w:t>
      </w:r>
      <w:r w:rsidRPr="006E50FF">
        <w:rPr>
          <w:kern w:val="2"/>
        </w:rPr>
        <w:t>with</w:t>
      </w:r>
      <w:r w:rsidRPr="006E50FF">
        <w:rPr>
          <w:spacing w:val="-6"/>
          <w:kern w:val="2"/>
        </w:rPr>
        <w:t xml:space="preserve"> </w:t>
      </w:r>
      <w:r w:rsidRPr="006E50FF">
        <w:rPr>
          <w:kern w:val="2"/>
        </w:rPr>
        <w:t>medical</w:t>
      </w:r>
      <w:r w:rsidRPr="006E50FF">
        <w:rPr>
          <w:spacing w:val="-4"/>
          <w:kern w:val="2"/>
        </w:rPr>
        <w:t xml:space="preserve"> </w:t>
      </w:r>
      <w:r w:rsidRPr="006E50FF">
        <w:rPr>
          <w:kern w:val="2"/>
        </w:rPr>
        <w:t>emergencies and complications,</w:t>
      </w:r>
      <w:r w:rsidRPr="006E50FF">
        <w:rPr>
          <w:spacing w:val="-4"/>
          <w:kern w:val="2"/>
        </w:rPr>
        <w:t xml:space="preserve"> </w:t>
      </w:r>
      <w:r w:rsidRPr="006E50FF">
        <w:rPr>
          <w:kern w:val="2"/>
        </w:rPr>
        <w:t>or</w:t>
      </w:r>
      <w:r w:rsidRPr="006E50FF">
        <w:rPr>
          <w:spacing w:val="-4"/>
          <w:kern w:val="2"/>
        </w:rPr>
        <w:t xml:space="preserve"> </w:t>
      </w:r>
      <w:r w:rsidRPr="006E50FF">
        <w:rPr>
          <w:kern w:val="2"/>
        </w:rPr>
        <w:t xml:space="preserve">patient </w:t>
      </w:r>
      <w:r w:rsidRPr="006E50FF">
        <w:rPr>
          <w:spacing w:val="-2"/>
          <w:kern w:val="2"/>
        </w:rPr>
        <w:t>referral;</w:t>
      </w:r>
    </w:p>
    <w:p w14:paraId="1D7B581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confirmation that in the event all collaborating physicians are unavailable, and there is no alternate collaborating physician(s), the APRN will not medically diagnose or prescribe;</w:t>
      </w:r>
    </w:p>
    <w:p w14:paraId="1FEEC1D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documentation that patients are informed about how to access care when both the APRN and/or the collaborating physician are absent from the practice setting;</w:t>
      </w:r>
    </w:p>
    <w:p w14:paraId="258E64D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 xml:space="preserve">an acknowledgment of the mutual obligation and responsibility of the APRN and collaborating physician to ensure that all acts of prescriptive authority are properly </w:t>
      </w:r>
      <w:r w:rsidRPr="006E50FF">
        <w:rPr>
          <w:spacing w:val="-2"/>
          <w:kern w:val="2"/>
        </w:rPr>
        <w:t>documented;</w:t>
      </w:r>
    </w:p>
    <w:p w14:paraId="62C04860" w14:textId="77777777" w:rsidR="006E50FF" w:rsidRPr="006E50FF" w:rsidRDefault="006E50FF" w:rsidP="006E50FF">
      <w:pPr>
        <w:tabs>
          <w:tab w:val="left" w:pos="907"/>
        </w:tabs>
        <w:ind w:firstLine="547"/>
        <w:jc w:val="both"/>
        <w:outlineLvl w:val="5"/>
        <w:rPr>
          <w:kern w:val="2"/>
        </w:rPr>
      </w:pPr>
      <w:r w:rsidRPr="006E50FF">
        <w:rPr>
          <w:kern w:val="2"/>
        </w:rPr>
        <w:lastRenderedPageBreak/>
        <w:t>g.</w:t>
      </w:r>
      <w:r w:rsidRPr="006E50FF">
        <w:rPr>
          <w:kern w:val="2"/>
        </w:rPr>
        <w:tab/>
        <w:t>a requirement that there shall be a prominently displayed disclosure statement posted at every practice site informing patients that they may be seen by an advanced practice registered nurse and have a right to see the collaborative practice agreement upon request.</w:t>
      </w:r>
    </w:p>
    <w:p w14:paraId="05A57F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w:t>
      </w:r>
      <w:r w:rsidRPr="006E50FF">
        <w:rPr>
          <w:spacing w:val="-4"/>
          <w:kern w:val="2"/>
        </w:rPr>
        <w:t xml:space="preserve"> </w:t>
      </w:r>
      <w:r w:rsidRPr="006E50FF">
        <w:rPr>
          <w:kern w:val="2"/>
        </w:rPr>
        <w:t>the</w:t>
      </w:r>
      <w:r w:rsidRPr="006E50FF">
        <w:rPr>
          <w:spacing w:val="-11"/>
          <w:kern w:val="2"/>
        </w:rPr>
        <w:t xml:space="preserve"> </w:t>
      </w:r>
      <w:r w:rsidRPr="006E50FF">
        <w:rPr>
          <w:kern w:val="2"/>
        </w:rPr>
        <w:t>APRN</w:t>
      </w:r>
      <w:r w:rsidRPr="006E50FF">
        <w:rPr>
          <w:spacing w:val="-2"/>
          <w:kern w:val="2"/>
        </w:rPr>
        <w:t xml:space="preserve"> </w:t>
      </w:r>
      <w:r w:rsidRPr="006E50FF">
        <w:rPr>
          <w:kern w:val="2"/>
        </w:rPr>
        <w:t>has</w:t>
      </w:r>
      <w:r w:rsidRPr="006E50FF">
        <w:rPr>
          <w:spacing w:val="-3"/>
          <w:kern w:val="2"/>
        </w:rPr>
        <w:t xml:space="preserve"> </w:t>
      </w:r>
      <w:r w:rsidRPr="006E50FF">
        <w:rPr>
          <w:kern w:val="2"/>
        </w:rPr>
        <w:t>been</w:t>
      </w:r>
      <w:r w:rsidRPr="006E50FF">
        <w:rPr>
          <w:spacing w:val="-4"/>
          <w:kern w:val="2"/>
        </w:rPr>
        <w:t xml:space="preserve"> </w:t>
      </w:r>
      <w:r w:rsidRPr="006E50FF">
        <w:rPr>
          <w:kern w:val="2"/>
        </w:rPr>
        <w:t>granted</w:t>
      </w:r>
      <w:r w:rsidRPr="006E50FF">
        <w:rPr>
          <w:spacing w:val="-1"/>
          <w:kern w:val="2"/>
        </w:rPr>
        <w:t xml:space="preserve"> </w:t>
      </w:r>
      <w:r w:rsidRPr="006E50FF">
        <w:rPr>
          <w:kern w:val="2"/>
        </w:rPr>
        <w:t>prescriptive</w:t>
      </w:r>
      <w:r w:rsidRPr="006E50FF">
        <w:rPr>
          <w:spacing w:val="-2"/>
          <w:kern w:val="2"/>
        </w:rPr>
        <w:t xml:space="preserve"> </w:t>
      </w:r>
      <w:r w:rsidRPr="006E50FF">
        <w:rPr>
          <w:kern w:val="2"/>
        </w:rPr>
        <w:t>authority by the Louisiana State Board of Nursing that includes controlled substances; possess a current, unrestricted Louisiana controlled dangerous substance permit and a current, unrestricted registration to prescribe controlled substances issued by the United States Drug Enforcement Administration; and</w:t>
      </w:r>
    </w:p>
    <w:p w14:paraId="392343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w:t>
      </w:r>
      <w:r w:rsidRPr="006E50FF">
        <w:rPr>
          <w:spacing w:val="-10"/>
          <w:kern w:val="2"/>
        </w:rPr>
        <w:t xml:space="preserve"> </w:t>
      </w:r>
      <w:r w:rsidRPr="006E50FF">
        <w:rPr>
          <w:kern w:val="2"/>
        </w:rPr>
        <w:t>the</w:t>
      </w:r>
      <w:r w:rsidRPr="006E50FF">
        <w:rPr>
          <w:spacing w:val="-8"/>
          <w:kern w:val="2"/>
        </w:rPr>
        <w:t xml:space="preserve"> </w:t>
      </w:r>
      <w:r w:rsidRPr="006E50FF">
        <w:rPr>
          <w:kern w:val="2"/>
        </w:rPr>
        <w:t>event</w:t>
      </w:r>
      <w:r w:rsidRPr="006E50FF">
        <w:rPr>
          <w:spacing w:val="-9"/>
          <w:kern w:val="2"/>
        </w:rPr>
        <w:t xml:space="preserve"> </w:t>
      </w:r>
      <w:r w:rsidRPr="006E50FF">
        <w:rPr>
          <w:kern w:val="2"/>
        </w:rPr>
        <w:t>all</w:t>
      </w:r>
      <w:r w:rsidRPr="006E50FF">
        <w:rPr>
          <w:spacing w:val="-6"/>
          <w:kern w:val="2"/>
        </w:rPr>
        <w:t xml:space="preserve"> </w:t>
      </w:r>
      <w:r w:rsidRPr="006E50FF">
        <w:rPr>
          <w:kern w:val="2"/>
        </w:rPr>
        <w:t>CPs</w:t>
      </w:r>
      <w:r w:rsidRPr="006E50FF">
        <w:rPr>
          <w:spacing w:val="-10"/>
          <w:kern w:val="2"/>
        </w:rPr>
        <w:t xml:space="preserve"> </w:t>
      </w:r>
      <w:r w:rsidRPr="006E50FF">
        <w:rPr>
          <w:kern w:val="2"/>
        </w:rPr>
        <w:t>at</w:t>
      </w:r>
      <w:r w:rsidRPr="006E50FF">
        <w:rPr>
          <w:spacing w:val="-9"/>
          <w:kern w:val="2"/>
        </w:rPr>
        <w:t xml:space="preserve"> </w:t>
      </w:r>
      <w:r w:rsidRPr="006E50FF">
        <w:rPr>
          <w:kern w:val="2"/>
        </w:rPr>
        <w:t>a</w:t>
      </w:r>
      <w:r w:rsidRPr="006E50FF">
        <w:rPr>
          <w:spacing w:val="-8"/>
          <w:kern w:val="2"/>
        </w:rPr>
        <w:t xml:space="preserve"> </w:t>
      </w:r>
      <w:r w:rsidRPr="006E50FF">
        <w:rPr>
          <w:kern w:val="2"/>
        </w:rPr>
        <w:t>practice</w:t>
      </w:r>
      <w:r w:rsidRPr="006E50FF">
        <w:rPr>
          <w:spacing w:val="-8"/>
          <w:kern w:val="2"/>
        </w:rPr>
        <w:t xml:space="preserve"> </w:t>
      </w:r>
      <w:r w:rsidRPr="006E50FF">
        <w:rPr>
          <w:kern w:val="2"/>
        </w:rPr>
        <w:t>site</w:t>
      </w:r>
      <w:r w:rsidRPr="006E50FF">
        <w:rPr>
          <w:spacing w:val="-9"/>
          <w:kern w:val="2"/>
        </w:rPr>
        <w:t xml:space="preserve"> </w:t>
      </w:r>
      <w:r w:rsidRPr="006E50FF">
        <w:rPr>
          <w:kern w:val="2"/>
        </w:rPr>
        <w:t>are</w:t>
      </w:r>
      <w:r w:rsidRPr="006E50FF">
        <w:rPr>
          <w:spacing w:val="-6"/>
          <w:kern w:val="2"/>
        </w:rPr>
        <w:t xml:space="preserve"> </w:t>
      </w:r>
      <w:r w:rsidRPr="006E50FF">
        <w:rPr>
          <w:kern w:val="2"/>
        </w:rPr>
        <w:t>unavailable, the CP may designate an alternate collaborating physician at the practice site to be available for consultation and collaboration provided the following conditions are met:</w:t>
      </w:r>
    </w:p>
    <w:p w14:paraId="18E00E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there is a formal, documented, approved and enforceable</w:t>
      </w:r>
      <w:r w:rsidRPr="006E50FF">
        <w:rPr>
          <w:spacing w:val="-13"/>
          <w:kern w:val="2"/>
        </w:rPr>
        <w:t xml:space="preserve"> </w:t>
      </w:r>
      <w:r w:rsidRPr="006E50FF">
        <w:rPr>
          <w:kern w:val="2"/>
        </w:rPr>
        <w:t>organizational</w:t>
      </w:r>
      <w:r w:rsidRPr="006E50FF">
        <w:rPr>
          <w:spacing w:val="-12"/>
          <w:kern w:val="2"/>
        </w:rPr>
        <w:t xml:space="preserve"> </w:t>
      </w:r>
      <w:r w:rsidRPr="006E50FF">
        <w:rPr>
          <w:kern w:val="2"/>
        </w:rPr>
        <w:t>policy</w:t>
      </w:r>
      <w:r w:rsidRPr="006E50FF">
        <w:rPr>
          <w:spacing w:val="-13"/>
          <w:kern w:val="2"/>
        </w:rPr>
        <w:t xml:space="preserve"> </w:t>
      </w:r>
      <w:r w:rsidRPr="006E50FF">
        <w:rPr>
          <w:kern w:val="2"/>
        </w:rPr>
        <w:t>that</w:t>
      </w:r>
      <w:r w:rsidRPr="006E50FF">
        <w:rPr>
          <w:spacing w:val="-12"/>
          <w:kern w:val="2"/>
        </w:rPr>
        <w:t xml:space="preserve"> </w:t>
      </w:r>
      <w:r w:rsidRPr="006E50FF">
        <w:rPr>
          <w:kern w:val="2"/>
        </w:rPr>
        <w:t>allows</w:t>
      </w:r>
      <w:r w:rsidRPr="006E50FF">
        <w:rPr>
          <w:spacing w:val="-13"/>
          <w:kern w:val="2"/>
        </w:rPr>
        <w:t xml:space="preserve"> </w:t>
      </w:r>
      <w:r w:rsidRPr="006E50FF">
        <w:rPr>
          <w:kern w:val="2"/>
        </w:rPr>
        <w:t>and</w:t>
      </w:r>
      <w:r w:rsidRPr="006E50FF">
        <w:rPr>
          <w:spacing w:val="-12"/>
          <w:kern w:val="2"/>
        </w:rPr>
        <w:t xml:space="preserve"> </w:t>
      </w:r>
      <w:r w:rsidRPr="006E50FF">
        <w:rPr>
          <w:kern w:val="2"/>
        </w:rPr>
        <w:t>provides</w:t>
      </w:r>
      <w:r w:rsidRPr="006E50FF">
        <w:rPr>
          <w:spacing w:val="-13"/>
          <w:kern w:val="2"/>
        </w:rPr>
        <w:t xml:space="preserve"> </w:t>
      </w:r>
      <w:r w:rsidRPr="006E50FF">
        <w:rPr>
          <w:kern w:val="2"/>
        </w:rPr>
        <w:t>for designation of an alternate collaborating physician;</w:t>
      </w:r>
    </w:p>
    <w:p w14:paraId="6689445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w:t>
      </w:r>
      <w:r w:rsidRPr="006E50FF">
        <w:rPr>
          <w:spacing w:val="-5"/>
          <w:kern w:val="2"/>
        </w:rPr>
        <w:t xml:space="preserve"> </w:t>
      </w:r>
      <w:r w:rsidRPr="006E50FF">
        <w:rPr>
          <w:kern w:val="2"/>
        </w:rPr>
        <w:t>organizational</w:t>
      </w:r>
      <w:r w:rsidRPr="006E50FF">
        <w:rPr>
          <w:spacing w:val="-6"/>
          <w:kern w:val="2"/>
        </w:rPr>
        <w:t xml:space="preserve"> </w:t>
      </w:r>
      <w:r w:rsidRPr="006E50FF">
        <w:rPr>
          <w:kern w:val="2"/>
        </w:rPr>
        <w:t>policy</w:t>
      </w:r>
      <w:r w:rsidRPr="006E50FF">
        <w:rPr>
          <w:spacing w:val="-9"/>
          <w:kern w:val="2"/>
        </w:rPr>
        <w:t xml:space="preserve"> </w:t>
      </w:r>
      <w:r w:rsidRPr="006E50FF">
        <w:rPr>
          <w:kern w:val="2"/>
        </w:rPr>
        <w:t>establishes</w:t>
      </w:r>
      <w:r w:rsidRPr="006E50FF">
        <w:rPr>
          <w:spacing w:val="-7"/>
          <w:kern w:val="2"/>
        </w:rPr>
        <w:t xml:space="preserve"> </w:t>
      </w:r>
      <w:r w:rsidRPr="006E50FF">
        <w:rPr>
          <w:kern w:val="2"/>
        </w:rPr>
        <w:t>and</w:t>
      </w:r>
      <w:r w:rsidRPr="006E50FF">
        <w:rPr>
          <w:spacing w:val="-5"/>
          <w:kern w:val="2"/>
        </w:rPr>
        <w:t xml:space="preserve"> </w:t>
      </w:r>
      <w:r w:rsidRPr="006E50FF">
        <w:rPr>
          <w:kern w:val="2"/>
        </w:rPr>
        <w:t>provides for documenting such designation and such documentation shall be made available to board representatives when requested,</w:t>
      </w:r>
      <w:r w:rsidRPr="006E50FF">
        <w:rPr>
          <w:spacing w:val="-4"/>
          <w:kern w:val="2"/>
        </w:rPr>
        <w:t xml:space="preserve"> </w:t>
      </w:r>
      <w:r w:rsidRPr="006E50FF">
        <w:rPr>
          <w:kern w:val="2"/>
        </w:rPr>
        <w:t>including</w:t>
      </w:r>
      <w:r w:rsidRPr="006E50FF">
        <w:rPr>
          <w:spacing w:val="-6"/>
          <w:kern w:val="2"/>
        </w:rPr>
        <w:t xml:space="preserve"> </w:t>
      </w:r>
      <w:r w:rsidRPr="006E50FF">
        <w:rPr>
          <w:kern w:val="2"/>
        </w:rPr>
        <w:t>the</w:t>
      </w:r>
      <w:r w:rsidRPr="006E50FF">
        <w:rPr>
          <w:spacing w:val="-5"/>
          <w:kern w:val="2"/>
        </w:rPr>
        <w:t xml:space="preserve"> </w:t>
      </w:r>
      <w:r w:rsidRPr="006E50FF">
        <w:rPr>
          <w:kern w:val="2"/>
        </w:rPr>
        <w:t>dates</w:t>
      </w:r>
      <w:r w:rsidRPr="006E50FF">
        <w:rPr>
          <w:spacing w:val="-3"/>
          <w:kern w:val="2"/>
        </w:rPr>
        <w:t xml:space="preserve"> </w:t>
      </w:r>
      <w:r w:rsidRPr="006E50FF">
        <w:rPr>
          <w:kern w:val="2"/>
        </w:rPr>
        <w:t>of</w:t>
      </w:r>
      <w:r w:rsidRPr="006E50FF">
        <w:rPr>
          <w:spacing w:val="-7"/>
          <w:kern w:val="2"/>
        </w:rPr>
        <w:t xml:space="preserve"> </w:t>
      </w:r>
      <w:r w:rsidRPr="006E50FF">
        <w:rPr>
          <w:kern w:val="2"/>
        </w:rPr>
        <w:t>the</w:t>
      </w:r>
      <w:r w:rsidRPr="006E50FF">
        <w:rPr>
          <w:spacing w:val="-5"/>
          <w:kern w:val="2"/>
        </w:rPr>
        <w:t xml:space="preserve"> </w:t>
      </w:r>
      <w:r w:rsidRPr="006E50FF">
        <w:rPr>
          <w:kern w:val="2"/>
        </w:rPr>
        <w:t>designation</w:t>
      </w:r>
      <w:r w:rsidRPr="006E50FF">
        <w:rPr>
          <w:spacing w:val="-6"/>
          <w:kern w:val="2"/>
        </w:rPr>
        <w:t xml:space="preserve"> </w:t>
      </w:r>
      <w:r w:rsidRPr="006E50FF">
        <w:rPr>
          <w:kern w:val="2"/>
        </w:rPr>
        <w:t>and</w:t>
      </w:r>
      <w:r w:rsidRPr="006E50FF">
        <w:rPr>
          <w:spacing w:val="-4"/>
          <w:kern w:val="2"/>
        </w:rPr>
        <w:t xml:space="preserve"> </w:t>
      </w:r>
      <w:r w:rsidRPr="006E50FF">
        <w:rPr>
          <w:kern w:val="2"/>
        </w:rPr>
        <w:t>name</w:t>
      </w:r>
      <w:r w:rsidRPr="006E50FF">
        <w:rPr>
          <w:spacing w:val="-5"/>
          <w:kern w:val="2"/>
        </w:rPr>
        <w:t xml:space="preserve"> </w:t>
      </w:r>
      <w:r w:rsidRPr="006E50FF">
        <w:rPr>
          <w:kern w:val="2"/>
        </w:rPr>
        <w:t>of the alternate collaborating physician(s);</w:t>
      </w:r>
    </w:p>
    <w:p w14:paraId="3B10DD4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w:t>
      </w:r>
      <w:r w:rsidRPr="006E50FF">
        <w:rPr>
          <w:spacing w:val="-3"/>
          <w:kern w:val="2"/>
        </w:rPr>
        <w:t xml:space="preserve"> </w:t>
      </w:r>
      <w:r w:rsidRPr="006E50FF">
        <w:rPr>
          <w:kern w:val="2"/>
        </w:rPr>
        <w:t>alternate</w:t>
      </w:r>
      <w:r w:rsidRPr="006E50FF">
        <w:rPr>
          <w:spacing w:val="-3"/>
          <w:kern w:val="2"/>
        </w:rPr>
        <w:t xml:space="preserve"> </w:t>
      </w:r>
      <w:r w:rsidRPr="006E50FF">
        <w:rPr>
          <w:kern w:val="2"/>
        </w:rPr>
        <w:t>collaborating</w:t>
      </w:r>
      <w:r w:rsidRPr="006E50FF">
        <w:rPr>
          <w:spacing w:val="-4"/>
          <w:kern w:val="2"/>
        </w:rPr>
        <w:t xml:space="preserve"> </w:t>
      </w:r>
      <w:r w:rsidRPr="006E50FF">
        <w:rPr>
          <w:kern w:val="2"/>
        </w:rPr>
        <w:t>physician</w:t>
      </w:r>
      <w:r w:rsidRPr="006E50FF">
        <w:rPr>
          <w:spacing w:val="-3"/>
          <w:kern w:val="2"/>
        </w:rPr>
        <w:t xml:space="preserve"> </w:t>
      </w:r>
      <w:r w:rsidRPr="006E50FF">
        <w:rPr>
          <w:kern w:val="2"/>
        </w:rPr>
        <w:t>agrees</w:t>
      </w:r>
      <w:r w:rsidRPr="006E50FF">
        <w:rPr>
          <w:spacing w:val="-3"/>
          <w:kern w:val="2"/>
        </w:rPr>
        <w:t xml:space="preserve"> </w:t>
      </w:r>
      <w:r w:rsidRPr="006E50FF">
        <w:rPr>
          <w:kern w:val="2"/>
        </w:rPr>
        <w:t>to</w:t>
      </w:r>
      <w:r w:rsidRPr="006E50FF">
        <w:rPr>
          <w:spacing w:val="-3"/>
          <w:kern w:val="2"/>
        </w:rPr>
        <w:t xml:space="preserve"> </w:t>
      </w:r>
      <w:r w:rsidRPr="006E50FF">
        <w:rPr>
          <w:kern w:val="2"/>
        </w:rPr>
        <w:t>the provisions</w:t>
      </w:r>
      <w:r w:rsidRPr="006E50FF">
        <w:rPr>
          <w:spacing w:val="-8"/>
          <w:kern w:val="2"/>
        </w:rPr>
        <w:t xml:space="preserve"> </w:t>
      </w:r>
      <w:r w:rsidRPr="006E50FF">
        <w:rPr>
          <w:kern w:val="2"/>
        </w:rPr>
        <w:t>of</w:t>
      </w:r>
      <w:r w:rsidRPr="006E50FF">
        <w:rPr>
          <w:spacing w:val="-9"/>
          <w:kern w:val="2"/>
        </w:rPr>
        <w:t xml:space="preserve"> </w:t>
      </w:r>
      <w:r w:rsidRPr="006E50FF">
        <w:rPr>
          <w:kern w:val="2"/>
        </w:rPr>
        <w:t>the</w:t>
      </w:r>
      <w:r w:rsidRPr="006E50FF">
        <w:rPr>
          <w:spacing w:val="-7"/>
          <w:kern w:val="2"/>
        </w:rPr>
        <w:t xml:space="preserve"> </w:t>
      </w:r>
      <w:r w:rsidRPr="006E50FF">
        <w:rPr>
          <w:kern w:val="2"/>
        </w:rPr>
        <w:t>collaborative</w:t>
      </w:r>
      <w:r w:rsidRPr="006E50FF">
        <w:rPr>
          <w:spacing w:val="-6"/>
          <w:kern w:val="2"/>
        </w:rPr>
        <w:t xml:space="preserve"> </w:t>
      </w:r>
      <w:r w:rsidRPr="006E50FF">
        <w:rPr>
          <w:kern w:val="2"/>
        </w:rPr>
        <w:t>practice</w:t>
      </w:r>
      <w:r w:rsidRPr="006E50FF">
        <w:rPr>
          <w:spacing w:val="-7"/>
          <w:kern w:val="2"/>
        </w:rPr>
        <w:t xml:space="preserve"> </w:t>
      </w:r>
      <w:r w:rsidRPr="006E50FF">
        <w:rPr>
          <w:kern w:val="2"/>
        </w:rPr>
        <w:t>agreement</w:t>
      </w:r>
      <w:r w:rsidRPr="006E50FF">
        <w:rPr>
          <w:spacing w:val="-8"/>
          <w:kern w:val="2"/>
        </w:rPr>
        <w:t xml:space="preserve"> </w:t>
      </w:r>
      <w:r w:rsidRPr="006E50FF">
        <w:rPr>
          <w:kern w:val="2"/>
        </w:rPr>
        <w:t>previously signed by the collaborating physician(s);</w:t>
      </w:r>
    </w:p>
    <w:p w14:paraId="1106EFA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collaborating physician and APRN are responsible for ensuring that the documented organization policy is established and that such policy and any</w:t>
      </w:r>
      <w:r w:rsidRPr="006E50FF">
        <w:rPr>
          <w:spacing w:val="-8"/>
          <w:kern w:val="2"/>
        </w:rPr>
        <w:t xml:space="preserve"> </w:t>
      </w:r>
      <w:r w:rsidRPr="006E50FF">
        <w:rPr>
          <w:kern w:val="2"/>
        </w:rPr>
        <w:t>ACP meet the requirements of this Chapter; and</w:t>
      </w:r>
    </w:p>
    <w:p w14:paraId="522485E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ACP is designated to collaborate with the APRN only at the same practice site as the designating CP.</w:t>
      </w:r>
    </w:p>
    <w:p w14:paraId="5E30C2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0FA890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LR 52:</w:t>
      </w:r>
    </w:p>
    <w:p w14:paraId="50BD81A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§7913.</w:t>
      </w:r>
      <w:r w:rsidRPr="006E50FF">
        <w:rPr>
          <w:b/>
          <w:spacing w:val="28"/>
          <w:kern w:val="2"/>
        </w:rPr>
        <w:tab/>
      </w:r>
      <w:r w:rsidRPr="006E50FF">
        <w:rPr>
          <w:b/>
          <w:kern w:val="2"/>
        </w:rPr>
        <w:t>Required Reporting</w:t>
      </w:r>
    </w:p>
    <w:p w14:paraId="1123D2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Each</w:t>
      </w:r>
      <w:r w:rsidRPr="006E50FF">
        <w:rPr>
          <w:spacing w:val="-3"/>
          <w:kern w:val="2"/>
        </w:rPr>
        <w:t xml:space="preserve"> </w:t>
      </w:r>
      <w:r w:rsidRPr="006E50FF">
        <w:rPr>
          <w:kern w:val="2"/>
        </w:rPr>
        <w:t>physician shall report</w:t>
      </w:r>
      <w:r w:rsidRPr="006E50FF">
        <w:rPr>
          <w:spacing w:val="-2"/>
          <w:kern w:val="2"/>
        </w:rPr>
        <w:t xml:space="preserve"> </w:t>
      </w:r>
      <w:r w:rsidRPr="006E50FF">
        <w:rPr>
          <w:kern w:val="2"/>
        </w:rPr>
        <w:t>to</w:t>
      </w:r>
      <w:r w:rsidRPr="006E50FF">
        <w:rPr>
          <w:spacing w:val="-1"/>
          <w:kern w:val="2"/>
        </w:rPr>
        <w:t xml:space="preserve"> </w:t>
      </w:r>
      <w:r w:rsidRPr="006E50FF">
        <w:rPr>
          <w:kern w:val="2"/>
        </w:rPr>
        <w:t>the</w:t>
      </w:r>
      <w:r w:rsidRPr="006E50FF">
        <w:rPr>
          <w:spacing w:val="-1"/>
          <w:kern w:val="2"/>
        </w:rPr>
        <w:t xml:space="preserve"> </w:t>
      </w:r>
      <w:r w:rsidRPr="006E50FF">
        <w:rPr>
          <w:kern w:val="2"/>
        </w:rPr>
        <w:t>board</w:t>
      </w:r>
      <w:r w:rsidRPr="006E50FF">
        <w:rPr>
          <w:spacing w:val="-1"/>
          <w:kern w:val="2"/>
        </w:rPr>
        <w:t xml:space="preserve"> </w:t>
      </w:r>
      <w:r w:rsidRPr="006E50FF">
        <w:rPr>
          <w:kern w:val="2"/>
        </w:rPr>
        <w:t>annually,</w:t>
      </w:r>
      <w:r w:rsidRPr="006E50FF">
        <w:rPr>
          <w:spacing w:val="-1"/>
          <w:kern w:val="2"/>
        </w:rPr>
        <w:t xml:space="preserve"> </w:t>
      </w:r>
      <w:r w:rsidRPr="006E50FF">
        <w:rPr>
          <w:kern w:val="2"/>
        </w:rPr>
        <w:t>as</w:t>
      </w:r>
      <w:r w:rsidRPr="006E50FF">
        <w:rPr>
          <w:spacing w:val="-2"/>
          <w:kern w:val="2"/>
        </w:rPr>
        <w:t xml:space="preserve"> </w:t>
      </w:r>
      <w:r w:rsidRPr="006E50FF">
        <w:rPr>
          <w:kern w:val="2"/>
        </w:rPr>
        <w:t xml:space="preserve">a condition to the issuance or renewal of medical licensure, whether or not he or she is engaged in collaborative practice </w:t>
      </w:r>
      <w:r w:rsidRPr="006E50FF">
        <w:rPr>
          <w:spacing w:val="-2"/>
          <w:kern w:val="2"/>
        </w:rPr>
        <w:t>with</w:t>
      </w:r>
      <w:r w:rsidRPr="006E50FF">
        <w:rPr>
          <w:spacing w:val="-10"/>
          <w:kern w:val="2"/>
        </w:rPr>
        <w:t xml:space="preserve"> </w:t>
      </w:r>
      <w:r w:rsidRPr="006E50FF">
        <w:rPr>
          <w:spacing w:val="-2"/>
          <w:kern w:val="2"/>
        </w:rPr>
        <w:t>an</w:t>
      </w:r>
      <w:r w:rsidRPr="006E50FF">
        <w:rPr>
          <w:spacing w:val="-11"/>
          <w:kern w:val="2"/>
        </w:rPr>
        <w:t xml:space="preserve"> </w:t>
      </w:r>
      <w:r w:rsidRPr="006E50FF">
        <w:rPr>
          <w:spacing w:val="-2"/>
          <w:kern w:val="2"/>
        </w:rPr>
        <w:t>APRN,</w:t>
      </w:r>
      <w:r w:rsidRPr="006E50FF">
        <w:rPr>
          <w:spacing w:val="-5"/>
          <w:kern w:val="2"/>
        </w:rPr>
        <w:t xml:space="preserve"> </w:t>
      </w:r>
      <w:r w:rsidRPr="006E50FF">
        <w:rPr>
          <w:spacing w:val="-2"/>
          <w:kern w:val="2"/>
        </w:rPr>
        <w:t>and submit all active collaborative practice agreements, along with</w:t>
      </w:r>
      <w:r w:rsidRPr="006E50FF">
        <w:rPr>
          <w:spacing w:val="-8"/>
          <w:kern w:val="2"/>
        </w:rPr>
        <w:t xml:space="preserve"> </w:t>
      </w:r>
      <w:r w:rsidRPr="006E50FF">
        <w:rPr>
          <w:spacing w:val="-2"/>
          <w:kern w:val="2"/>
        </w:rPr>
        <w:t>such</w:t>
      </w:r>
      <w:r w:rsidRPr="006E50FF">
        <w:rPr>
          <w:spacing w:val="-8"/>
          <w:kern w:val="2"/>
        </w:rPr>
        <w:t xml:space="preserve"> </w:t>
      </w:r>
      <w:r w:rsidRPr="006E50FF">
        <w:rPr>
          <w:spacing w:val="-2"/>
          <w:kern w:val="2"/>
        </w:rPr>
        <w:t>other</w:t>
      </w:r>
      <w:r w:rsidRPr="006E50FF">
        <w:rPr>
          <w:spacing w:val="-5"/>
          <w:kern w:val="2"/>
        </w:rPr>
        <w:t xml:space="preserve"> </w:t>
      </w:r>
      <w:r w:rsidRPr="006E50FF">
        <w:rPr>
          <w:spacing w:val="-2"/>
          <w:kern w:val="2"/>
        </w:rPr>
        <w:t>information</w:t>
      </w:r>
      <w:r w:rsidRPr="006E50FF">
        <w:rPr>
          <w:spacing w:val="-8"/>
          <w:kern w:val="2"/>
        </w:rPr>
        <w:t xml:space="preserve"> </w:t>
      </w:r>
      <w:r w:rsidRPr="006E50FF">
        <w:rPr>
          <w:spacing w:val="-2"/>
          <w:kern w:val="2"/>
        </w:rPr>
        <w:t>as</w:t>
      </w:r>
      <w:r w:rsidRPr="006E50FF">
        <w:rPr>
          <w:spacing w:val="-4"/>
          <w:kern w:val="2"/>
        </w:rPr>
        <w:t xml:space="preserve"> </w:t>
      </w:r>
      <w:r w:rsidRPr="006E50FF">
        <w:rPr>
          <w:spacing w:val="-2"/>
          <w:kern w:val="2"/>
        </w:rPr>
        <w:t>the</w:t>
      </w:r>
      <w:r w:rsidRPr="006E50FF">
        <w:rPr>
          <w:spacing w:val="-3"/>
          <w:kern w:val="2"/>
        </w:rPr>
        <w:t xml:space="preserve"> </w:t>
      </w:r>
      <w:r w:rsidRPr="006E50FF">
        <w:rPr>
          <w:spacing w:val="-2"/>
          <w:kern w:val="2"/>
        </w:rPr>
        <w:t xml:space="preserve">board </w:t>
      </w:r>
      <w:r w:rsidRPr="006E50FF">
        <w:rPr>
          <w:kern w:val="2"/>
        </w:rPr>
        <w:t>may request.</w:t>
      </w:r>
    </w:p>
    <w:p w14:paraId="264072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In the event of updates or modifications to a collaborative practice agreement, the physician shall submit the new collaborative practice agreement to the board within 60 days. </w:t>
      </w:r>
    </w:p>
    <w:p w14:paraId="116F11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information required by this Section shall be reported in a format prepared by the board, which shall be made part of or accompany each physician’s renewal application for medical licensure.</w:t>
      </w:r>
    </w:p>
    <w:p w14:paraId="6D0DA6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3FC8AE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1"/>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44:274 (February 2018), amended LR 52:</w:t>
      </w:r>
    </w:p>
    <w:p w14:paraId="10D3BD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9"/>
          <w:kern w:val="2"/>
        </w:rPr>
        <w:t xml:space="preserve"> </w:t>
      </w:r>
      <w:r w:rsidRPr="006E50FF">
        <w:rPr>
          <w:b/>
          <w:kern w:val="2"/>
        </w:rPr>
        <w:t>C.</w:t>
      </w:r>
      <w:r w:rsidRPr="006E50FF">
        <w:rPr>
          <w:b/>
          <w:spacing w:val="35"/>
          <w:kern w:val="2"/>
        </w:rPr>
        <w:tab/>
      </w:r>
      <w:r w:rsidRPr="006E50FF">
        <w:rPr>
          <w:b/>
          <w:kern w:val="2"/>
        </w:rPr>
        <w:t>Standards</w:t>
      </w:r>
      <w:r w:rsidRPr="006E50FF">
        <w:rPr>
          <w:b/>
          <w:spacing w:val="-3"/>
          <w:kern w:val="2"/>
        </w:rPr>
        <w:t xml:space="preserve"> </w:t>
      </w:r>
      <w:r w:rsidRPr="006E50FF">
        <w:rPr>
          <w:b/>
          <w:kern w:val="2"/>
        </w:rPr>
        <w:t>of</w:t>
      </w:r>
      <w:r w:rsidRPr="006E50FF">
        <w:rPr>
          <w:b/>
          <w:spacing w:val="-3"/>
          <w:kern w:val="2"/>
        </w:rPr>
        <w:t xml:space="preserve"> </w:t>
      </w:r>
      <w:r w:rsidRPr="006E50FF">
        <w:rPr>
          <w:b/>
          <w:spacing w:val="-2"/>
          <w:kern w:val="2"/>
        </w:rPr>
        <w:t>Practice</w:t>
      </w:r>
    </w:p>
    <w:p w14:paraId="2624542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§7915.</w:t>
      </w:r>
      <w:r w:rsidRPr="006E50FF">
        <w:rPr>
          <w:b/>
          <w:spacing w:val="70"/>
          <w:w w:val="150"/>
          <w:kern w:val="2"/>
        </w:rPr>
        <w:tab/>
      </w:r>
      <w:r w:rsidRPr="006E50FF">
        <w:rPr>
          <w:b/>
          <w:kern w:val="2"/>
        </w:rPr>
        <w:t>Responsibilities</w:t>
      </w:r>
    </w:p>
    <w:p w14:paraId="5ABD6C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w:t>
      </w:r>
      <w:r w:rsidRPr="006E50FF">
        <w:rPr>
          <w:spacing w:val="-13"/>
          <w:kern w:val="2"/>
        </w:rPr>
        <w:t xml:space="preserve"> </w:t>
      </w:r>
      <w:r w:rsidRPr="006E50FF">
        <w:rPr>
          <w:kern w:val="2"/>
        </w:rPr>
        <w:t>collaborating</w:t>
      </w:r>
      <w:r w:rsidRPr="006E50FF">
        <w:rPr>
          <w:spacing w:val="-12"/>
          <w:kern w:val="2"/>
        </w:rPr>
        <w:t xml:space="preserve"> </w:t>
      </w:r>
      <w:r w:rsidRPr="006E50FF">
        <w:rPr>
          <w:kern w:val="2"/>
        </w:rPr>
        <w:t>physician</w:t>
      </w:r>
      <w:r w:rsidRPr="006E50FF">
        <w:rPr>
          <w:spacing w:val="-13"/>
          <w:kern w:val="2"/>
        </w:rPr>
        <w:t xml:space="preserve"> </w:t>
      </w:r>
      <w:r w:rsidRPr="006E50FF">
        <w:rPr>
          <w:kern w:val="2"/>
        </w:rPr>
        <w:t>shall</w:t>
      </w:r>
      <w:r w:rsidRPr="006E50FF">
        <w:rPr>
          <w:spacing w:val="-9"/>
          <w:kern w:val="2"/>
        </w:rPr>
        <w:t xml:space="preserve"> </w:t>
      </w:r>
      <w:r w:rsidRPr="006E50FF">
        <w:rPr>
          <w:kern w:val="2"/>
        </w:rPr>
        <w:t>ensure</w:t>
      </w:r>
      <w:r w:rsidRPr="006E50FF">
        <w:rPr>
          <w:spacing w:val="-9"/>
          <w:kern w:val="2"/>
        </w:rPr>
        <w:t xml:space="preserve"> </w:t>
      </w:r>
      <w:r w:rsidRPr="006E50FF">
        <w:rPr>
          <w:kern w:val="2"/>
        </w:rPr>
        <w:t>that</w:t>
      </w:r>
      <w:r w:rsidRPr="006E50FF">
        <w:rPr>
          <w:spacing w:val="-5"/>
          <w:kern w:val="2"/>
        </w:rPr>
        <w:t xml:space="preserve"> </w:t>
      </w:r>
      <w:r w:rsidRPr="006E50FF">
        <w:rPr>
          <w:kern w:val="2"/>
        </w:rPr>
        <w:t>the</w:t>
      </w:r>
      <w:r w:rsidRPr="006E50FF">
        <w:rPr>
          <w:spacing w:val="-9"/>
          <w:kern w:val="2"/>
        </w:rPr>
        <w:t xml:space="preserve"> </w:t>
      </w:r>
      <w:r w:rsidRPr="006E50FF">
        <w:rPr>
          <w:kern w:val="2"/>
        </w:rPr>
        <w:t xml:space="preserve">identity, contact information and availability of the collaborating </w:t>
      </w:r>
      <w:r w:rsidRPr="006E50FF">
        <w:rPr>
          <w:kern w:val="2"/>
        </w:rPr>
        <w:t>physician(s) and APRN are available to patients of the collaborative practice.</w:t>
      </w:r>
    </w:p>
    <w:p w14:paraId="30001D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When</w:t>
      </w:r>
      <w:r w:rsidRPr="006E50FF">
        <w:rPr>
          <w:spacing w:val="-12"/>
          <w:kern w:val="2"/>
        </w:rPr>
        <w:t xml:space="preserve"> </w:t>
      </w:r>
      <w:r w:rsidRPr="006E50FF">
        <w:rPr>
          <w:kern w:val="2"/>
        </w:rPr>
        <w:t>serving</w:t>
      </w:r>
      <w:r w:rsidRPr="006E50FF">
        <w:rPr>
          <w:spacing w:val="-10"/>
          <w:kern w:val="2"/>
        </w:rPr>
        <w:t xml:space="preserve"> </w:t>
      </w:r>
      <w:r w:rsidRPr="006E50FF">
        <w:rPr>
          <w:kern w:val="2"/>
        </w:rPr>
        <w:t>as</w:t>
      </w:r>
      <w:r w:rsidRPr="006E50FF">
        <w:rPr>
          <w:spacing w:val="-8"/>
          <w:kern w:val="2"/>
        </w:rPr>
        <w:t xml:space="preserve"> </w:t>
      </w:r>
      <w:r w:rsidRPr="006E50FF">
        <w:rPr>
          <w:kern w:val="2"/>
        </w:rPr>
        <w:t>the</w:t>
      </w:r>
      <w:r w:rsidRPr="006E50FF">
        <w:rPr>
          <w:spacing w:val="-7"/>
          <w:kern w:val="2"/>
        </w:rPr>
        <w:t xml:space="preserve"> </w:t>
      </w:r>
      <w:r w:rsidRPr="006E50FF">
        <w:rPr>
          <w:kern w:val="2"/>
        </w:rPr>
        <w:t>sole</w:t>
      </w:r>
      <w:r w:rsidRPr="006E50FF">
        <w:rPr>
          <w:spacing w:val="-7"/>
          <w:kern w:val="2"/>
        </w:rPr>
        <w:t xml:space="preserve"> </w:t>
      </w:r>
      <w:r w:rsidRPr="006E50FF">
        <w:rPr>
          <w:kern w:val="2"/>
        </w:rPr>
        <w:t>CP</w:t>
      </w:r>
      <w:r w:rsidRPr="006E50FF">
        <w:rPr>
          <w:spacing w:val="-13"/>
          <w:kern w:val="2"/>
        </w:rPr>
        <w:t xml:space="preserve"> </w:t>
      </w:r>
      <w:r w:rsidRPr="006E50FF">
        <w:rPr>
          <w:kern w:val="2"/>
        </w:rPr>
        <w:t>for</w:t>
      </w:r>
      <w:r w:rsidRPr="006E50FF">
        <w:rPr>
          <w:spacing w:val="-8"/>
          <w:kern w:val="2"/>
        </w:rPr>
        <w:t xml:space="preserve"> </w:t>
      </w:r>
      <w:r w:rsidRPr="006E50FF">
        <w:rPr>
          <w:kern w:val="2"/>
        </w:rPr>
        <w:t>an</w:t>
      </w:r>
      <w:r w:rsidRPr="006E50FF">
        <w:rPr>
          <w:spacing w:val="-13"/>
          <w:kern w:val="2"/>
        </w:rPr>
        <w:t xml:space="preserve"> </w:t>
      </w:r>
      <w:r w:rsidRPr="006E50FF">
        <w:rPr>
          <w:kern w:val="2"/>
        </w:rPr>
        <w:t>APRN</w:t>
      </w:r>
      <w:r w:rsidRPr="006E50FF">
        <w:rPr>
          <w:spacing w:val="-9"/>
          <w:kern w:val="2"/>
        </w:rPr>
        <w:t xml:space="preserve"> </w:t>
      </w:r>
      <w:r w:rsidRPr="006E50FF">
        <w:rPr>
          <w:kern w:val="2"/>
        </w:rPr>
        <w:t>at</w:t>
      </w:r>
      <w:r w:rsidRPr="006E50FF">
        <w:rPr>
          <w:spacing w:val="-9"/>
          <w:kern w:val="2"/>
        </w:rPr>
        <w:t xml:space="preserve"> </w:t>
      </w:r>
      <w:r w:rsidRPr="006E50FF">
        <w:rPr>
          <w:kern w:val="2"/>
        </w:rPr>
        <w:t>a</w:t>
      </w:r>
      <w:r w:rsidRPr="006E50FF">
        <w:rPr>
          <w:spacing w:val="-7"/>
          <w:kern w:val="2"/>
        </w:rPr>
        <w:t xml:space="preserve"> </w:t>
      </w:r>
      <w:r w:rsidRPr="006E50FF">
        <w:rPr>
          <w:kern w:val="2"/>
        </w:rPr>
        <w:t>practice site, the CP:</w:t>
      </w:r>
    </w:p>
    <w:p w14:paraId="0F8B62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shall give no less than 30-days notice to the</w:t>
      </w:r>
      <w:r w:rsidRPr="006E50FF">
        <w:rPr>
          <w:spacing w:val="-4"/>
          <w:kern w:val="2"/>
        </w:rPr>
        <w:t xml:space="preserve"> </w:t>
      </w:r>
      <w:r w:rsidRPr="006E50FF">
        <w:rPr>
          <w:kern w:val="2"/>
        </w:rPr>
        <w:t>APRN when ending a collaborative practice agreement for predictable, voluntary reasons in order to provide for continuity of care of patients; and</w:t>
      </w:r>
    </w:p>
    <w:p w14:paraId="71538DA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work with the APRN to identify and enlist a physician to serve as alternate collaborating physician for unpredictable, involuntary reasons. A physician serving as alternate collaborating physician for unpredictable or involuntary reasons shall ensure that the APRN notifies the LSBN within</w:t>
      </w:r>
      <w:r w:rsidRPr="006E50FF">
        <w:rPr>
          <w:spacing w:val="-3"/>
          <w:kern w:val="2"/>
        </w:rPr>
        <w:t xml:space="preserve"> </w:t>
      </w:r>
      <w:r w:rsidRPr="006E50FF">
        <w:rPr>
          <w:kern w:val="2"/>
        </w:rPr>
        <w:t>two</w:t>
      </w:r>
      <w:r w:rsidRPr="006E50FF">
        <w:rPr>
          <w:spacing w:val="-1"/>
          <w:kern w:val="2"/>
        </w:rPr>
        <w:t xml:space="preserve"> </w:t>
      </w:r>
      <w:r w:rsidRPr="006E50FF">
        <w:rPr>
          <w:kern w:val="2"/>
        </w:rPr>
        <w:t>business</w:t>
      </w:r>
      <w:r w:rsidRPr="006E50FF">
        <w:rPr>
          <w:spacing w:val="-4"/>
          <w:kern w:val="2"/>
        </w:rPr>
        <w:t xml:space="preserve"> </w:t>
      </w:r>
      <w:r w:rsidRPr="006E50FF">
        <w:rPr>
          <w:kern w:val="2"/>
        </w:rPr>
        <w:t>days</w:t>
      </w:r>
      <w:r w:rsidRPr="006E50FF">
        <w:rPr>
          <w:spacing w:val="-4"/>
          <w:kern w:val="2"/>
        </w:rPr>
        <w:t xml:space="preserve"> </w:t>
      </w:r>
      <w:r w:rsidRPr="006E50FF">
        <w:rPr>
          <w:kern w:val="2"/>
        </w:rPr>
        <w:t>of</w:t>
      </w:r>
      <w:r w:rsidRPr="006E50FF">
        <w:rPr>
          <w:spacing w:val="-4"/>
          <w:kern w:val="2"/>
        </w:rPr>
        <w:t xml:space="preserve"> </w:t>
      </w:r>
      <w:r w:rsidRPr="006E50FF">
        <w:rPr>
          <w:kern w:val="2"/>
        </w:rPr>
        <w:t>the</w:t>
      </w:r>
      <w:r w:rsidRPr="006E50FF">
        <w:rPr>
          <w:spacing w:val="-2"/>
          <w:kern w:val="2"/>
        </w:rPr>
        <w:t xml:space="preserve"> </w:t>
      </w:r>
      <w:r w:rsidRPr="006E50FF">
        <w:rPr>
          <w:kern w:val="2"/>
        </w:rPr>
        <w:t>commencement</w:t>
      </w:r>
      <w:r w:rsidRPr="006E50FF">
        <w:rPr>
          <w:spacing w:val="-3"/>
          <w:kern w:val="2"/>
        </w:rPr>
        <w:t xml:space="preserve"> </w:t>
      </w:r>
      <w:r w:rsidRPr="006E50FF">
        <w:rPr>
          <w:kern w:val="2"/>
        </w:rPr>
        <w:t>of</w:t>
      </w:r>
      <w:r w:rsidRPr="006E50FF">
        <w:rPr>
          <w:spacing w:val="-4"/>
          <w:kern w:val="2"/>
        </w:rPr>
        <w:t xml:space="preserve"> </w:t>
      </w:r>
      <w:r w:rsidRPr="006E50FF">
        <w:rPr>
          <w:kern w:val="2"/>
        </w:rPr>
        <w:t>service</w:t>
      </w:r>
      <w:r w:rsidRPr="006E50FF">
        <w:rPr>
          <w:spacing w:val="-2"/>
          <w:kern w:val="2"/>
        </w:rPr>
        <w:t xml:space="preserve"> </w:t>
      </w:r>
      <w:r w:rsidRPr="006E50FF">
        <w:rPr>
          <w:kern w:val="2"/>
        </w:rPr>
        <w:t>as an</w:t>
      </w:r>
      <w:r w:rsidRPr="006E50FF">
        <w:rPr>
          <w:spacing w:val="-11"/>
          <w:kern w:val="2"/>
        </w:rPr>
        <w:t xml:space="preserve"> </w:t>
      </w:r>
      <w:r w:rsidRPr="006E50FF">
        <w:rPr>
          <w:kern w:val="2"/>
        </w:rPr>
        <w:t>ACP;</w:t>
      </w:r>
    </w:p>
    <w:p w14:paraId="2D6E57B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may serve in such capacity for at least 30, but no more than 120, days to provide for continuity of care while the APRN secures another CP; and</w:t>
      </w:r>
    </w:p>
    <w:p w14:paraId="7D2736A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may</w:t>
      </w:r>
      <w:r w:rsidRPr="006E50FF">
        <w:rPr>
          <w:spacing w:val="-11"/>
          <w:kern w:val="2"/>
        </w:rPr>
        <w:t xml:space="preserve"> </w:t>
      </w:r>
      <w:r w:rsidRPr="006E50FF">
        <w:rPr>
          <w:kern w:val="2"/>
        </w:rPr>
        <w:t>be</w:t>
      </w:r>
      <w:r w:rsidRPr="006E50FF">
        <w:rPr>
          <w:spacing w:val="-7"/>
          <w:kern w:val="2"/>
        </w:rPr>
        <w:t xml:space="preserve"> </w:t>
      </w:r>
      <w:r w:rsidRPr="006E50FF">
        <w:rPr>
          <w:kern w:val="2"/>
        </w:rPr>
        <w:t>excused</w:t>
      </w:r>
      <w:r w:rsidRPr="006E50FF">
        <w:rPr>
          <w:spacing w:val="-6"/>
          <w:kern w:val="2"/>
        </w:rPr>
        <w:t xml:space="preserve"> </w:t>
      </w:r>
      <w:r w:rsidRPr="006E50FF">
        <w:rPr>
          <w:kern w:val="2"/>
        </w:rPr>
        <w:t>from</w:t>
      </w:r>
      <w:r w:rsidRPr="006E50FF">
        <w:rPr>
          <w:spacing w:val="-11"/>
          <w:kern w:val="2"/>
        </w:rPr>
        <w:t xml:space="preserve"> </w:t>
      </w:r>
      <w:r w:rsidRPr="006E50FF">
        <w:rPr>
          <w:kern w:val="2"/>
        </w:rPr>
        <w:t>the</w:t>
      </w:r>
      <w:r w:rsidRPr="006E50FF">
        <w:rPr>
          <w:spacing w:val="-7"/>
          <w:kern w:val="2"/>
        </w:rPr>
        <w:t xml:space="preserve"> </w:t>
      </w:r>
      <w:r w:rsidRPr="006E50FF">
        <w:rPr>
          <w:kern w:val="2"/>
        </w:rPr>
        <w:t>requirements</w:t>
      </w:r>
      <w:r w:rsidRPr="006E50FF">
        <w:rPr>
          <w:spacing w:val="-4"/>
          <w:kern w:val="2"/>
        </w:rPr>
        <w:t xml:space="preserve"> </w:t>
      </w:r>
      <w:r w:rsidRPr="006E50FF">
        <w:rPr>
          <w:kern w:val="2"/>
        </w:rPr>
        <w:t>§7911.A.2 (e.g., practice in an area comparable in scope, specialty, or expertise</w:t>
      </w:r>
      <w:r w:rsidRPr="006E50FF">
        <w:rPr>
          <w:spacing w:val="-13"/>
          <w:kern w:val="2"/>
        </w:rPr>
        <w:t xml:space="preserve"> </w:t>
      </w:r>
      <w:r w:rsidRPr="006E50FF">
        <w:rPr>
          <w:kern w:val="2"/>
        </w:rPr>
        <w:t>of</w:t>
      </w:r>
      <w:r w:rsidRPr="006E50FF">
        <w:rPr>
          <w:spacing w:val="-12"/>
          <w:kern w:val="2"/>
        </w:rPr>
        <w:t xml:space="preserve"> </w:t>
      </w:r>
      <w:r w:rsidRPr="006E50FF">
        <w:rPr>
          <w:kern w:val="2"/>
        </w:rPr>
        <w:t>the</w:t>
      </w:r>
      <w:r w:rsidRPr="006E50FF">
        <w:rPr>
          <w:spacing w:val="-13"/>
          <w:kern w:val="2"/>
        </w:rPr>
        <w:t xml:space="preserve"> </w:t>
      </w:r>
      <w:r w:rsidRPr="006E50FF">
        <w:rPr>
          <w:kern w:val="2"/>
        </w:rPr>
        <w:t>APRN,</w:t>
      </w:r>
      <w:r w:rsidRPr="006E50FF">
        <w:rPr>
          <w:spacing w:val="-12"/>
          <w:kern w:val="2"/>
        </w:rPr>
        <w:t xml:space="preserve"> </w:t>
      </w:r>
      <w:r w:rsidRPr="006E50FF">
        <w:rPr>
          <w:kern w:val="2"/>
        </w:rPr>
        <w:t>unless</w:t>
      </w:r>
      <w:r w:rsidRPr="006E50FF">
        <w:rPr>
          <w:spacing w:val="-13"/>
          <w:kern w:val="2"/>
        </w:rPr>
        <w:t xml:space="preserve"> </w:t>
      </w:r>
      <w:r w:rsidRPr="006E50FF">
        <w:rPr>
          <w:kern w:val="2"/>
        </w:rPr>
        <w:t>following</w:t>
      </w:r>
      <w:r w:rsidRPr="006E50FF">
        <w:rPr>
          <w:spacing w:val="-12"/>
          <w:kern w:val="2"/>
        </w:rPr>
        <w:t xml:space="preserve"> </w:t>
      </w:r>
      <w:r w:rsidRPr="006E50FF">
        <w:rPr>
          <w:kern w:val="2"/>
        </w:rPr>
        <w:t>notification</w:t>
      </w:r>
      <w:r w:rsidRPr="006E50FF">
        <w:rPr>
          <w:spacing w:val="-13"/>
          <w:kern w:val="2"/>
        </w:rPr>
        <w:t xml:space="preserve"> </w:t>
      </w:r>
      <w:r w:rsidRPr="006E50FF">
        <w:rPr>
          <w:kern w:val="2"/>
        </w:rPr>
        <w:t xml:space="preserve">pursuant </w:t>
      </w:r>
      <w:r w:rsidRPr="006E50FF">
        <w:rPr>
          <w:spacing w:val="-2"/>
          <w:kern w:val="2"/>
        </w:rPr>
        <w:t>to</w:t>
      </w:r>
      <w:r w:rsidRPr="006E50FF">
        <w:rPr>
          <w:spacing w:val="-10"/>
          <w:kern w:val="2"/>
        </w:rPr>
        <w:t xml:space="preserve"> </w:t>
      </w:r>
      <w:r w:rsidRPr="006E50FF">
        <w:rPr>
          <w:spacing w:val="-2"/>
          <w:kern w:val="2"/>
        </w:rPr>
        <w:t>§7915.B.2.a</w:t>
      </w:r>
      <w:r w:rsidRPr="006E50FF">
        <w:rPr>
          <w:spacing w:val="-4"/>
          <w:kern w:val="2"/>
        </w:rPr>
        <w:t xml:space="preserve"> </w:t>
      </w:r>
      <w:r w:rsidRPr="006E50FF">
        <w:rPr>
          <w:spacing w:val="-2"/>
          <w:kern w:val="2"/>
        </w:rPr>
        <w:t>of</w:t>
      </w:r>
      <w:r w:rsidRPr="006E50FF">
        <w:rPr>
          <w:spacing w:val="-8"/>
          <w:kern w:val="2"/>
        </w:rPr>
        <w:t xml:space="preserve"> </w:t>
      </w:r>
      <w:r w:rsidRPr="006E50FF">
        <w:rPr>
          <w:spacing w:val="-2"/>
          <w:kern w:val="2"/>
        </w:rPr>
        <w:t>this</w:t>
      </w:r>
      <w:r w:rsidRPr="006E50FF">
        <w:rPr>
          <w:spacing w:val="-4"/>
          <w:kern w:val="2"/>
        </w:rPr>
        <w:t xml:space="preserve"> </w:t>
      </w:r>
      <w:r w:rsidRPr="006E50FF">
        <w:rPr>
          <w:spacing w:val="-2"/>
          <w:kern w:val="2"/>
        </w:rPr>
        <w:t>Section,</w:t>
      </w:r>
      <w:r w:rsidRPr="006E50FF">
        <w:rPr>
          <w:spacing w:val="-3"/>
          <w:kern w:val="2"/>
        </w:rPr>
        <w:t xml:space="preserve"> </w:t>
      </w:r>
      <w:r w:rsidRPr="006E50FF">
        <w:rPr>
          <w:spacing w:val="-2"/>
          <w:kern w:val="2"/>
        </w:rPr>
        <w:t>the</w:t>
      </w:r>
      <w:r w:rsidRPr="006E50FF">
        <w:rPr>
          <w:spacing w:val="-11"/>
          <w:kern w:val="2"/>
        </w:rPr>
        <w:t xml:space="preserve"> </w:t>
      </w:r>
      <w:r w:rsidRPr="006E50FF">
        <w:rPr>
          <w:spacing w:val="-2"/>
          <w:kern w:val="2"/>
        </w:rPr>
        <w:t>APRN</w:t>
      </w:r>
      <w:r w:rsidRPr="006E50FF">
        <w:rPr>
          <w:spacing w:val="-6"/>
          <w:kern w:val="2"/>
        </w:rPr>
        <w:t xml:space="preserve"> </w:t>
      </w:r>
      <w:r w:rsidRPr="006E50FF">
        <w:rPr>
          <w:spacing w:val="-2"/>
          <w:kern w:val="2"/>
        </w:rPr>
        <w:t>advises</w:t>
      </w:r>
      <w:r w:rsidRPr="006E50FF">
        <w:rPr>
          <w:spacing w:val="-6"/>
          <w:kern w:val="2"/>
        </w:rPr>
        <w:t xml:space="preserve"> </w:t>
      </w:r>
      <w:r w:rsidRPr="006E50FF">
        <w:rPr>
          <w:spacing w:val="-2"/>
          <w:kern w:val="2"/>
        </w:rPr>
        <w:t>the</w:t>
      </w:r>
      <w:r w:rsidRPr="006E50FF">
        <w:rPr>
          <w:spacing w:val="-11"/>
          <w:kern w:val="2"/>
        </w:rPr>
        <w:t xml:space="preserve"> </w:t>
      </w:r>
      <w:r w:rsidRPr="006E50FF">
        <w:rPr>
          <w:spacing w:val="-2"/>
          <w:kern w:val="2"/>
        </w:rPr>
        <w:t>ACP</w:t>
      </w:r>
      <w:r w:rsidRPr="006E50FF">
        <w:rPr>
          <w:spacing w:val="-10"/>
          <w:kern w:val="2"/>
        </w:rPr>
        <w:t xml:space="preserve"> </w:t>
      </w:r>
      <w:r w:rsidRPr="006E50FF">
        <w:rPr>
          <w:spacing w:val="-2"/>
          <w:kern w:val="2"/>
        </w:rPr>
        <w:t xml:space="preserve">that </w:t>
      </w:r>
      <w:r w:rsidRPr="006E50FF">
        <w:rPr>
          <w:kern w:val="2"/>
        </w:rPr>
        <w:t>the collaborative practice has not been approved by LSBN).</w:t>
      </w:r>
    </w:p>
    <w:p w14:paraId="6467BF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In structuring any compensation arrangement or other financial relationship with an APRN, a collaborating physician shall be mindful that a CPA</w:t>
      </w:r>
      <w:r w:rsidRPr="006E50FF">
        <w:rPr>
          <w:spacing w:val="-11"/>
          <w:kern w:val="2"/>
        </w:rPr>
        <w:t xml:space="preserve"> </w:t>
      </w:r>
      <w:r w:rsidRPr="006E50FF">
        <w:rPr>
          <w:kern w:val="2"/>
        </w:rPr>
        <w:t>is not an option for an APRN;</w:t>
      </w:r>
      <w:r w:rsidRPr="006E50FF">
        <w:rPr>
          <w:spacing w:val="-5"/>
          <w:kern w:val="2"/>
        </w:rPr>
        <w:t xml:space="preserve"> </w:t>
      </w:r>
      <w:r w:rsidRPr="006E50FF">
        <w:rPr>
          <w:kern w:val="2"/>
        </w:rPr>
        <w:t>rather,</w:t>
      </w:r>
      <w:r w:rsidRPr="006E50FF">
        <w:rPr>
          <w:spacing w:val="-5"/>
          <w:kern w:val="2"/>
        </w:rPr>
        <w:t xml:space="preserve"> </w:t>
      </w:r>
      <w:r w:rsidRPr="006E50FF">
        <w:rPr>
          <w:kern w:val="2"/>
        </w:rPr>
        <w:t>it</w:t>
      </w:r>
      <w:r w:rsidRPr="006E50FF">
        <w:rPr>
          <w:spacing w:val="-6"/>
          <w:kern w:val="2"/>
        </w:rPr>
        <w:t xml:space="preserve"> </w:t>
      </w:r>
      <w:r w:rsidRPr="006E50FF">
        <w:rPr>
          <w:kern w:val="2"/>
        </w:rPr>
        <w:t>is</w:t>
      </w:r>
      <w:r w:rsidRPr="006E50FF">
        <w:rPr>
          <w:spacing w:val="-6"/>
          <w:kern w:val="2"/>
        </w:rPr>
        <w:t xml:space="preserve"> </w:t>
      </w:r>
      <w:r w:rsidRPr="006E50FF">
        <w:rPr>
          <w:kern w:val="2"/>
        </w:rPr>
        <w:t>a</w:t>
      </w:r>
      <w:r w:rsidRPr="006E50FF">
        <w:rPr>
          <w:spacing w:val="-5"/>
          <w:kern w:val="2"/>
        </w:rPr>
        <w:t xml:space="preserve"> </w:t>
      </w:r>
      <w:r w:rsidRPr="006E50FF">
        <w:rPr>
          <w:kern w:val="2"/>
        </w:rPr>
        <w:t>requirement</w:t>
      </w:r>
      <w:r w:rsidRPr="006E50FF">
        <w:rPr>
          <w:spacing w:val="-6"/>
          <w:kern w:val="2"/>
        </w:rPr>
        <w:t xml:space="preserve"> </w:t>
      </w:r>
      <w:r w:rsidRPr="006E50FF">
        <w:rPr>
          <w:kern w:val="2"/>
        </w:rPr>
        <w:t>of</w:t>
      </w:r>
      <w:r w:rsidRPr="006E50FF">
        <w:rPr>
          <w:spacing w:val="-7"/>
          <w:kern w:val="2"/>
        </w:rPr>
        <w:t xml:space="preserve"> </w:t>
      </w:r>
      <w:r w:rsidRPr="006E50FF">
        <w:rPr>
          <w:kern w:val="2"/>
        </w:rPr>
        <w:t>state</w:t>
      </w:r>
      <w:r w:rsidRPr="006E50FF">
        <w:rPr>
          <w:spacing w:val="-5"/>
          <w:kern w:val="2"/>
        </w:rPr>
        <w:t xml:space="preserve"> </w:t>
      </w:r>
      <w:r w:rsidRPr="006E50FF">
        <w:rPr>
          <w:kern w:val="2"/>
        </w:rPr>
        <w:t>law.</w:t>
      </w:r>
      <w:r w:rsidRPr="006E50FF">
        <w:rPr>
          <w:spacing w:val="-11"/>
          <w:kern w:val="2"/>
        </w:rPr>
        <w:t xml:space="preserve"> </w:t>
      </w:r>
      <w:r w:rsidRPr="006E50FF">
        <w:rPr>
          <w:kern w:val="2"/>
        </w:rPr>
        <w:t>Any</w:t>
      </w:r>
      <w:r w:rsidRPr="006E50FF">
        <w:rPr>
          <w:spacing w:val="-9"/>
          <w:kern w:val="2"/>
        </w:rPr>
        <w:t xml:space="preserve"> </w:t>
      </w:r>
      <w:r w:rsidRPr="006E50FF">
        <w:rPr>
          <w:kern w:val="2"/>
        </w:rPr>
        <w:t>attempt</w:t>
      </w:r>
      <w:r w:rsidRPr="006E50FF">
        <w:rPr>
          <w:spacing w:val="-6"/>
          <w:kern w:val="2"/>
        </w:rPr>
        <w:t xml:space="preserve"> </w:t>
      </w:r>
      <w:r w:rsidRPr="006E50FF">
        <w:rPr>
          <w:kern w:val="2"/>
        </w:rPr>
        <w:t>to exploit such requirement by way of compensation arrangements</w:t>
      </w:r>
      <w:r w:rsidRPr="006E50FF">
        <w:rPr>
          <w:spacing w:val="-13"/>
          <w:kern w:val="2"/>
        </w:rPr>
        <w:t xml:space="preserve"> </w:t>
      </w:r>
      <w:r w:rsidRPr="006E50FF">
        <w:rPr>
          <w:kern w:val="2"/>
        </w:rPr>
        <w:t>for</w:t>
      </w:r>
      <w:r w:rsidRPr="006E50FF">
        <w:rPr>
          <w:spacing w:val="-12"/>
          <w:kern w:val="2"/>
        </w:rPr>
        <w:t xml:space="preserve"> </w:t>
      </w:r>
      <w:r w:rsidRPr="006E50FF">
        <w:rPr>
          <w:kern w:val="2"/>
        </w:rPr>
        <w:t>performing</w:t>
      </w:r>
      <w:r w:rsidRPr="006E50FF">
        <w:rPr>
          <w:spacing w:val="-13"/>
          <w:kern w:val="2"/>
        </w:rPr>
        <w:t xml:space="preserve"> </w:t>
      </w:r>
      <w:r w:rsidRPr="006E50FF">
        <w:rPr>
          <w:kern w:val="2"/>
        </w:rPr>
        <w:t>no</w:t>
      </w:r>
      <w:r w:rsidRPr="006E50FF">
        <w:rPr>
          <w:spacing w:val="-12"/>
          <w:kern w:val="2"/>
        </w:rPr>
        <w:t xml:space="preserve"> </w:t>
      </w:r>
      <w:r w:rsidRPr="006E50FF">
        <w:rPr>
          <w:kern w:val="2"/>
        </w:rPr>
        <w:t>professional</w:t>
      </w:r>
      <w:r w:rsidRPr="006E50FF">
        <w:rPr>
          <w:spacing w:val="-13"/>
          <w:kern w:val="2"/>
        </w:rPr>
        <w:t xml:space="preserve"> </w:t>
      </w:r>
      <w:r w:rsidRPr="006E50FF">
        <w:rPr>
          <w:kern w:val="2"/>
        </w:rPr>
        <w:t>services,</w:t>
      </w:r>
      <w:r w:rsidRPr="006E50FF">
        <w:rPr>
          <w:spacing w:val="-12"/>
          <w:kern w:val="2"/>
        </w:rPr>
        <w:t xml:space="preserve"> </w:t>
      </w:r>
      <w:r w:rsidRPr="006E50FF">
        <w:rPr>
          <w:kern w:val="2"/>
        </w:rPr>
        <w:t>merely serving as a CP under a CPA, or for an amount that is not consistent</w:t>
      </w:r>
      <w:r w:rsidRPr="006E50FF">
        <w:rPr>
          <w:spacing w:val="-13"/>
          <w:kern w:val="2"/>
        </w:rPr>
        <w:t xml:space="preserve"> </w:t>
      </w:r>
      <w:r w:rsidRPr="006E50FF">
        <w:rPr>
          <w:kern w:val="2"/>
        </w:rPr>
        <w:t>with</w:t>
      </w:r>
      <w:r w:rsidRPr="006E50FF">
        <w:rPr>
          <w:spacing w:val="-12"/>
          <w:kern w:val="2"/>
        </w:rPr>
        <w:t xml:space="preserve"> </w:t>
      </w:r>
      <w:r w:rsidRPr="006E50FF">
        <w:rPr>
          <w:kern w:val="2"/>
        </w:rPr>
        <w:t>the</w:t>
      </w:r>
      <w:r w:rsidRPr="006E50FF">
        <w:rPr>
          <w:spacing w:val="-10"/>
          <w:kern w:val="2"/>
        </w:rPr>
        <w:t xml:space="preserve"> </w:t>
      </w:r>
      <w:r w:rsidRPr="006E50FF">
        <w:rPr>
          <w:kern w:val="2"/>
        </w:rPr>
        <w:t>FMV</w:t>
      </w:r>
      <w:r w:rsidRPr="006E50FF">
        <w:rPr>
          <w:spacing w:val="-13"/>
          <w:kern w:val="2"/>
        </w:rPr>
        <w:t xml:space="preserve"> </w:t>
      </w:r>
      <w:r w:rsidRPr="006E50FF">
        <w:rPr>
          <w:kern w:val="2"/>
        </w:rPr>
        <w:t>of</w:t>
      </w:r>
      <w:r w:rsidRPr="006E50FF">
        <w:rPr>
          <w:spacing w:val="-12"/>
          <w:kern w:val="2"/>
        </w:rPr>
        <w:t xml:space="preserve"> </w:t>
      </w:r>
      <w:r w:rsidRPr="006E50FF">
        <w:rPr>
          <w:kern w:val="2"/>
        </w:rPr>
        <w:t>the</w:t>
      </w:r>
      <w:r w:rsidRPr="006E50FF">
        <w:rPr>
          <w:spacing w:val="-12"/>
          <w:kern w:val="2"/>
        </w:rPr>
        <w:t xml:space="preserve"> </w:t>
      </w:r>
      <w:r w:rsidRPr="006E50FF">
        <w:rPr>
          <w:kern w:val="2"/>
        </w:rPr>
        <w:t>services</w:t>
      </w:r>
      <w:r w:rsidRPr="006E50FF">
        <w:rPr>
          <w:spacing w:val="-12"/>
          <w:kern w:val="2"/>
        </w:rPr>
        <w:t xml:space="preserve"> </w:t>
      </w:r>
      <w:r w:rsidRPr="006E50FF">
        <w:rPr>
          <w:kern w:val="2"/>
        </w:rPr>
        <w:t>provided</w:t>
      </w:r>
      <w:r w:rsidRPr="006E50FF">
        <w:rPr>
          <w:spacing w:val="-11"/>
          <w:kern w:val="2"/>
        </w:rPr>
        <w:t xml:space="preserve"> </w:t>
      </w:r>
      <w:r w:rsidRPr="006E50FF">
        <w:rPr>
          <w:kern w:val="2"/>
        </w:rPr>
        <w:t>to</w:t>
      </w:r>
      <w:r w:rsidRPr="006E50FF">
        <w:rPr>
          <w:spacing w:val="-11"/>
          <w:kern w:val="2"/>
        </w:rPr>
        <w:t xml:space="preserve"> </w:t>
      </w:r>
      <w:r w:rsidRPr="006E50FF">
        <w:rPr>
          <w:kern w:val="2"/>
        </w:rPr>
        <w:t>an</w:t>
      </w:r>
      <w:r w:rsidRPr="006E50FF">
        <w:rPr>
          <w:spacing w:val="-13"/>
          <w:kern w:val="2"/>
        </w:rPr>
        <w:t xml:space="preserve"> </w:t>
      </w:r>
      <w:r w:rsidRPr="006E50FF">
        <w:rPr>
          <w:kern w:val="2"/>
        </w:rPr>
        <w:t>APRN under a CPA</w:t>
      </w:r>
      <w:r w:rsidRPr="006E50FF">
        <w:rPr>
          <w:spacing w:val="-1"/>
          <w:kern w:val="2"/>
        </w:rPr>
        <w:t xml:space="preserve"> </w:t>
      </w:r>
      <w:r w:rsidRPr="006E50FF">
        <w:rPr>
          <w:kern w:val="2"/>
        </w:rPr>
        <w:t>shall be viewed as unprofessional conduct</w:t>
      </w:r>
    </w:p>
    <w:p w14:paraId="7B19BD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an APRN is collaborating with more than one CP or group, a separate set of clinical practice guidelines is required for each collaboration. Each instance of separate employment requires a unique CPA.</w:t>
      </w:r>
    </w:p>
    <w:p w14:paraId="258104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For an APRN employed by a large educational or institutional entity, the entity may designate a department head or other physician who meets the eligibility requirements in this Part to serve as the primary collaborating physician for the APRN, and all physicians within the designated department or group who also meet the eligibility requirements may serve as alternate CPs under the same CPG.</w:t>
      </w:r>
    </w:p>
    <w:p w14:paraId="618ECE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pacing w:val="-2"/>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40"/>
          <w:kern w:val="2"/>
          <w:sz w:val="18"/>
        </w:rPr>
        <w:tab/>
      </w:r>
      <w:r w:rsidRPr="006E50FF">
        <w:rPr>
          <w:kern w:val="2"/>
          <w:sz w:val="18"/>
        </w:rPr>
        <w:t xml:space="preserve">Promulgated in accordance with R.S. </w:t>
      </w:r>
      <w:r w:rsidRPr="006E50FF">
        <w:rPr>
          <w:spacing w:val="-2"/>
          <w:kern w:val="2"/>
          <w:sz w:val="18"/>
        </w:rPr>
        <w:t>37:1270(B)(6).</w:t>
      </w:r>
    </w:p>
    <w:p w14:paraId="3E8A28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kern w:val="2"/>
          <w:sz w:val="18"/>
        </w:rPr>
        <w:tab/>
        <w:t>Promulgated by the Department of</w:t>
      </w:r>
      <w:r w:rsidRPr="006E50FF">
        <w:rPr>
          <w:spacing w:val="40"/>
          <w:kern w:val="2"/>
          <w:sz w:val="18"/>
        </w:rPr>
        <w:t xml:space="preserve"> </w:t>
      </w:r>
      <w:r w:rsidRPr="006E50FF">
        <w:rPr>
          <w:kern w:val="2"/>
          <w:sz w:val="18"/>
        </w:rPr>
        <w:t>Health, Board of Medical Examiners, LR 44:274 (February 2018), amended LR 52</w:t>
      </w:r>
    </w:p>
    <w:p w14:paraId="554B9D2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§7917.</w:t>
      </w:r>
      <w:r w:rsidRPr="006E50FF">
        <w:rPr>
          <w:b/>
          <w:spacing w:val="32"/>
          <w:kern w:val="2"/>
        </w:rPr>
        <w:tab/>
      </w:r>
      <w:r w:rsidRPr="006E50FF">
        <w:rPr>
          <w:b/>
          <w:kern w:val="2"/>
        </w:rPr>
        <w:t>Limitations</w:t>
      </w:r>
    </w:p>
    <w:p w14:paraId="50D9D8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w:t>
      </w:r>
      <w:r w:rsidRPr="006E50FF">
        <w:rPr>
          <w:spacing w:val="-14"/>
          <w:kern w:val="2"/>
        </w:rPr>
        <w:t xml:space="preserve"> </w:t>
      </w:r>
      <w:r w:rsidRPr="006E50FF">
        <w:rPr>
          <w:kern w:val="2"/>
        </w:rPr>
        <w:t>physician</w:t>
      </w:r>
      <w:r w:rsidRPr="006E50FF">
        <w:rPr>
          <w:spacing w:val="-11"/>
          <w:kern w:val="2"/>
        </w:rPr>
        <w:t xml:space="preserve"> </w:t>
      </w:r>
      <w:r w:rsidRPr="006E50FF">
        <w:rPr>
          <w:kern w:val="2"/>
        </w:rPr>
        <w:t>shall</w:t>
      </w:r>
      <w:r w:rsidRPr="006E50FF">
        <w:rPr>
          <w:spacing w:val="-3"/>
          <w:kern w:val="2"/>
        </w:rPr>
        <w:t xml:space="preserve"> </w:t>
      </w:r>
      <w:r w:rsidRPr="006E50FF">
        <w:rPr>
          <w:kern w:val="2"/>
        </w:rPr>
        <w:t>not</w:t>
      </w:r>
      <w:r w:rsidRPr="006E50FF">
        <w:rPr>
          <w:spacing w:val="-5"/>
          <w:kern w:val="2"/>
        </w:rPr>
        <w:t xml:space="preserve"> </w:t>
      </w:r>
      <w:r w:rsidRPr="006E50FF">
        <w:rPr>
          <w:kern w:val="2"/>
        </w:rPr>
        <w:t>collaborate</w:t>
      </w:r>
      <w:r w:rsidRPr="006E50FF">
        <w:rPr>
          <w:spacing w:val="-2"/>
          <w:kern w:val="2"/>
        </w:rPr>
        <w:t xml:space="preserve"> </w:t>
      </w:r>
      <w:r w:rsidRPr="006E50FF">
        <w:rPr>
          <w:kern w:val="2"/>
        </w:rPr>
        <w:t>with</w:t>
      </w:r>
      <w:r w:rsidRPr="006E50FF">
        <w:rPr>
          <w:spacing w:val="-6"/>
          <w:kern w:val="2"/>
        </w:rPr>
        <w:t xml:space="preserve"> </w:t>
      </w:r>
      <w:r w:rsidRPr="006E50FF">
        <w:rPr>
          <w:kern w:val="2"/>
        </w:rPr>
        <w:t>an</w:t>
      </w:r>
      <w:r w:rsidRPr="006E50FF">
        <w:rPr>
          <w:spacing w:val="-12"/>
          <w:kern w:val="2"/>
        </w:rPr>
        <w:t xml:space="preserve"> </w:t>
      </w:r>
      <w:r w:rsidRPr="006E50FF">
        <w:rPr>
          <w:spacing w:val="-4"/>
          <w:kern w:val="2"/>
        </w:rPr>
        <w:t>APRN:</w:t>
      </w:r>
    </w:p>
    <w:p w14:paraId="505B80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except in compliance with all applicable state and federal laws and regulations;</w:t>
      </w:r>
    </w:p>
    <w:p w14:paraId="61550C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when the APRN and collaborating physician, or in the</w:t>
      </w:r>
      <w:r w:rsidRPr="006E50FF">
        <w:rPr>
          <w:spacing w:val="-4"/>
          <w:kern w:val="2"/>
        </w:rPr>
        <w:t xml:space="preserve"> </w:t>
      </w:r>
      <w:r w:rsidRPr="006E50FF">
        <w:rPr>
          <w:kern w:val="2"/>
        </w:rPr>
        <w:t>physician’s</w:t>
      </w:r>
      <w:r w:rsidRPr="006E50FF">
        <w:rPr>
          <w:spacing w:val="-6"/>
          <w:kern w:val="2"/>
        </w:rPr>
        <w:t xml:space="preserve"> </w:t>
      </w:r>
      <w:r w:rsidRPr="006E50FF">
        <w:rPr>
          <w:kern w:val="2"/>
        </w:rPr>
        <w:t>absence</w:t>
      </w:r>
      <w:r w:rsidRPr="006E50FF">
        <w:rPr>
          <w:spacing w:val="-4"/>
          <w:kern w:val="2"/>
        </w:rPr>
        <w:t xml:space="preserve"> </w:t>
      </w:r>
      <w:r w:rsidRPr="006E50FF">
        <w:rPr>
          <w:kern w:val="2"/>
        </w:rPr>
        <w:t>an</w:t>
      </w:r>
      <w:r w:rsidRPr="006E50FF">
        <w:rPr>
          <w:spacing w:val="-6"/>
          <w:kern w:val="2"/>
        </w:rPr>
        <w:t xml:space="preserve"> </w:t>
      </w:r>
      <w:r w:rsidRPr="006E50FF">
        <w:rPr>
          <w:kern w:val="2"/>
        </w:rPr>
        <w:t>alternate</w:t>
      </w:r>
      <w:r w:rsidRPr="006E50FF">
        <w:rPr>
          <w:spacing w:val="-4"/>
          <w:kern w:val="2"/>
        </w:rPr>
        <w:t xml:space="preserve"> </w:t>
      </w:r>
      <w:r w:rsidRPr="006E50FF">
        <w:rPr>
          <w:kern w:val="2"/>
        </w:rPr>
        <w:t>collaborating</w:t>
      </w:r>
      <w:r w:rsidRPr="006E50FF">
        <w:rPr>
          <w:spacing w:val="40"/>
          <w:kern w:val="2"/>
        </w:rPr>
        <w:t xml:space="preserve"> </w:t>
      </w:r>
      <w:r w:rsidRPr="006E50FF">
        <w:rPr>
          <w:kern w:val="2"/>
        </w:rPr>
        <w:t xml:space="preserve">physician, do not have the capability to be in contact with each other face-to-face, by telephone, other means of direct </w:t>
      </w:r>
      <w:r w:rsidRPr="006E50FF">
        <w:rPr>
          <w:spacing w:val="-2"/>
          <w:kern w:val="2"/>
        </w:rPr>
        <w:t>telecommunication, or are so geographically distanced from each other as to create an impediment to the effective management of complications;</w:t>
      </w:r>
    </w:p>
    <w:p w14:paraId="16CF07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who treats and/or utilizes controlled substances in the treatment of:</w:t>
      </w:r>
    </w:p>
    <w:p w14:paraId="1F6A9B50" w14:textId="77777777" w:rsidR="006E50FF" w:rsidRPr="006E50FF" w:rsidRDefault="006E50FF" w:rsidP="006E50FF">
      <w:pPr>
        <w:tabs>
          <w:tab w:val="left" w:pos="907"/>
        </w:tabs>
        <w:ind w:firstLine="547"/>
        <w:jc w:val="both"/>
        <w:outlineLvl w:val="5"/>
        <w:rPr>
          <w:kern w:val="2"/>
        </w:rPr>
      </w:pPr>
      <w:r w:rsidRPr="006E50FF">
        <w:rPr>
          <w:kern w:val="2"/>
        </w:rPr>
        <w:br w:type="page"/>
      </w:r>
    </w:p>
    <w:p w14:paraId="57D5181D"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non-cancer-related chronic or intractable pain, as set forth in §§6915-6923 of the board's rules;</w:t>
      </w:r>
    </w:p>
    <w:p w14:paraId="250AF863" w14:textId="77777777" w:rsidR="006E50FF" w:rsidRPr="006E50FF" w:rsidRDefault="006E50FF" w:rsidP="006E50FF">
      <w:pPr>
        <w:tabs>
          <w:tab w:val="left" w:pos="907"/>
        </w:tabs>
        <w:ind w:firstLine="547"/>
        <w:jc w:val="both"/>
        <w:outlineLvl w:val="5"/>
        <w:rPr>
          <w:kern w:val="2"/>
        </w:rPr>
      </w:pPr>
      <w:r w:rsidRPr="006E50FF">
        <w:rPr>
          <w:spacing w:val="-2"/>
          <w:kern w:val="2"/>
        </w:rPr>
        <w:t>b.</w:t>
      </w:r>
      <w:r w:rsidRPr="006E50FF">
        <w:rPr>
          <w:spacing w:val="-2"/>
          <w:kern w:val="2"/>
        </w:rPr>
        <w:tab/>
      </w:r>
      <w:r w:rsidRPr="006E50FF">
        <w:rPr>
          <w:kern w:val="2"/>
        </w:rPr>
        <w:t>one's self, spouse, child or any other family member; or</w:t>
      </w:r>
    </w:p>
    <w:p w14:paraId="30E7BE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who distributes medication, other than free or gratuitous non-controlled substances.</w:t>
      </w:r>
    </w:p>
    <w:p w14:paraId="457ECB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40"/>
          <w:kern w:val="2"/>
          <w:sz w:val="18"/>
        </w:rPr>
        <w:tab/>
      </w:r>
      <w:r w:rsidRPr="006E50FF">
        <w:rPr>
          <w:kern w:val="2"/>
          <w:sz w:val="18"/>
        </w:rPr>
        <w:t xml:space="preserve">Promulgated in accordance with R.S. </w:t>
      </w:r>
      <w:r w:rsidRPr="006E50FF">
        <w:rPr>
          <w:spacing w:val="-2"/>
          <w:kern w:val="2"/>
          <w:sz w:val="18"/>
        </w:rPr>
        <w:t>37:1270(B)(6).</w:t>
      </w:r>
    </w:p>
    <w:p w14:paraId="2C5D65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kern w:val="2"/>
          <w:sz w:val="18"/>
        </w:rPr>
        <w:tab/>
        <w:t>Promulgated by the Department of</w:t>
      </w:r>
      <w:r w:rsidRPr="006E50FF">
        <w:rPr>
          <w:spacing w:val="40"/>
          <w:kern w:val="2"/>
          <w:sz w:val="18"/>
        </w:rPr>
        <w:t xml:space="preserve"> </w:t>
      </w:r>
      <w:r w:rsidRPr="006E50FF">
        <w:rPr>
          <w:kern w:val="2"/>
          <w:sz w:val="18"/>
        </w:rPr>
        <w:t>Health, Board of Medical Examiners, LR 44:274 (February 2018), amended LR 52</w:t>
      </w:r>
    </w:p>
    <w:p w14:paraId="1607991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§7919.</w:t>
      </w:r>
      <w:r w:rsidRPr="006E50FF">
        <w:rPr>
          <w:b/>
          <w:spacing w:val="40"/>
          <w:kern w:val="2"/>
        </w:rPr>
        <w:tab/>
      </w:r>
      <w:r w:rsidRPr="006E50FF">
        <w:rPr>
          <w:b/>
          <w:kern w:val="2"/>
        </w:rPr>
        <w:t>Continuous</w:t>
      </w:r>
      <w:r w:rsidRPr="006E50FF">
        <w:rPr>
          <w:b/>
          <w:spacing w:val="-5"/>
          <w:kern w:val="2"/>
        </w:rPr>
        <w:t xml:space="preserve"> </w:t>
      </w:r>
      <w:r w:rsidRPr="006E50FF">
        <w:rPr>
          <w:b/>
          <w:kern w:val="2"/>
        </w:rPr>
        <w:t>Quality</w:t>
      </w:r>
      <w:r w:rsidRPr="006E50FF">
        <w:rPr>
          <w:b/>
          <w:spacing w:val="-5"/>
          <w:kern w:val="2"/>
        </w:rPr>
        <w:t xml:space="preserve"> </w:t>
      </w:r>
      <w:r w:rsidRPr="006E50FF">
        <w:rPr>
          <w:b/>
          <w:kern w:val="2"/>
        </w:rPr>
        <w:t>Improvement;</w:t>
      </w:r>
      <w:r w:rsidRPr="006E50FF">
        <w:rPr>
          <w:b/>
          <w:spacing w:val="-5"/>
          <w:kern w:val="2"/>
        </w:rPr>
        <w:t xml:space="preserve"> </w:t>
      </w:r>
      <w:r w:rsidRPr="006E50FF">
        <w:rPr>
          <w:b/>
          <w:kern w:val="2"/>
        </w:rPr>
        <w:t>Access to Documents</w:t>
      </w:r>
    </w:p>
    <w:p w14:paraId="3C884F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spacing w:val="-2"/>
          <w:kern w:val="2"/>
        </w:rPr>
        <w:t>A.</w:t>
      </w:r>
      <w:r w:rsidRPr="006E50FF">
        <w:rPr>
          <w:spacing w:val="-2"/>
          <w:kern w:val="2"/>
        </w:rPr>
        <w:tab/>
        <w:t>A</w:t>
      </w:r>
      <w:r w:rsidRPr="006E50FF">
        <w:rPr>
          <w:spacing w:val="-11"/>
          <w:kern w:val="2"/>
        </w:rPr>
        <w:t xml:space="preserve"> </w:t>
      </w:r>
      <w:r w:rsidRPr="006E50FF">
        <w:rPr>
          <w:spacing w:val="-2"/>
          <w:kern w:val="2"/>
        </w:rPr>
        <w:t>collaborating</w:t>
      </w:r>
      <w:r w:rsidRPr="006E50FF">
        <w:rPr>
          <w:spacing w:val="-10"/>
          <w:kern w:val="2"/>
        </w:rPr>
        <w:t xml:space="preserve"> </w:t>
      </w:r>
      <w:r w:rsidRPr="006E50FF">
        <w:rPr>
          <w:spacing w:val="-2"/>
          <w:kern w:val="2"/>
        </w:rPr>
        <w:t>physician</w:t>
      </w:r>
      <w:r w:rsidRPr="006E50FF">
        <w:rPr>
          <w:spacing w:val="-5"/>
          <w:kern w:val="2"/>
        </w:rPr>
        <w:t xml:space="preserve"> </w:t>
      </w:r>
      <w:r w:rsidRPr="006E50FF">
        <w:rPr>
          <w:spacing w:val="-2"/>
          <w:kern w:val="2"/>
        </w:rPr>
        <w:t>shall ensure</w:t>
      </w:r>
      <w:r w:rsidRPr="006E50FF">
        <w:rPr>
          <w:spacing w:val="-4"/>
          <w:kern w:val="2"/>
        </w:rPr>
        <w:t xml:space="preserve"> </w:t>
      </w:r>
      <w:r w:rsidRPr="006E50FF">
        <w:rPr>
          <w:spacing w:val="-2"/>
          <w:kern w:val="2"/>
        </w:rPr>
        <w:t>that</w:t>
      </w:r>
      <w:r w:rsidRPr="006E50FF">
        <w:rPr>
          <w:spacing w:val="-4"/>
          <w:kern w:val="2"/>
        </w:rPr>
        <w:t xml:space="preserve"> </w:t>
      </w:r>
      <w:r w:rsidRPr="006E50FF">
        <w:rPr>
          <w:spacing w:val="-2"/>
          <w:kern w:val="2"/>
        </w:rPr>
        <w:t>copies of</w:t>
      </w:r>
      <w:r w:rsidRPr="006E50FF">
        <w:rPr>
          <w:spacing w:val="-3"/>
          <w:kern w:val="2"/>
        </w:rPr>
        <w:t xml:space="preserve"> </w:t>
      </w:r>
      <w:r w:rsidRPr="006E50FF">
        <w:rPr>
          <w:spacing w:val="-2"/>
          <w:kern w:val="2"/>
        </w:rPr>
        <w:t xml:space="preserve">the </w:t>
      </w:r>
      <w:r w:rsidRPr="006E50FF">
        <w:rPr>
          <w:kern w:val="2"/>
        </w:rPr>
        <w:t>collaborative</w:t>
      </w:r>
      <w:r w:rsidRPr="006E50FF">
        <w:rPr>
          <w:spacing w:val="-10"/>
          <w:kern w:val="2"/>
        </w:rPr>
        <w:t xml:space="preserve"> </w:t>
      </w:r>
      <w:r w:rsidRPr="006E50FF">
        <w:rPr>
          <w:kern w:val="2"/>
        </w:rPr>
        <w:t>practice</w:t>
      </w:r>
      <w:r w:rsidRPr="006E50FF">
        <w:rPr>
          <w:spacing w:val="-10"/>
          <w:kern w:val="2"/>
        </w:rPr>
        <w:t xml:space="preserve"> </w:t>
      </w:r>
      <w:r w:rsidRPr="006E50FF">
        <w:rPr>
          <w:kern w:val="2"/>
        </w:rPr>
        <w:t>agreement,</w:t>
      </w:r>
      <w:r w:rsidRPr="006E50FF">
        <w:rPr>
          <w:spacing w:val="-10"/>
          <w:kern w:val="2"/>
        </w:rPr>
        <w:t xml:space="preserve"> </w:t>
      </w:r>
      <w:r w:rsidRPr="006E50FF">
        <w:rPr>
          <w:kern w:val="2"/>
        </w:rPr>
        <w:t>clinical</w:t>
      </w:r>
      <w:r w:rsidRPr="006E50FF">
        <w:rPr>
          <w:spacing w:val="-10"/>
          <w:kern w:val="2"/>
        </w:rPr>
        <w:t xml:space="preserve"> </w:t>
      </w:r>
      <w:r w:rsidRPr="006E50FF">
        <w:rPr>
          <w:kern w:val="2"/>
        </w:rPr>
        <w:t>practice</w:t>
      </w:r>
      <w:r w:rsidRPr="006E50FF">
        <w:rPr>
          <w:spacing w:val="-9"/>
          <w:kern w:val="2"/>
        </w:rPr>
        <w:t xml:space="preserve"> </w:t>
      </w:r>
      <w:r w:rsidRPr="006E50FF">
        <w:rPr>
          <w:kern w:val="2"/>
        </w:rPr>
        <w:t>guidelines, organization policy and required designation documentation for</w:t>
      </w:r>
      <w:r w:rsidRPr="006E50FF">
        <w:rPr>
          <w:spacing w:val="22"/>
          <w:kern w:val="2"/>
        </w:rPr>
        <w:t xml:space="preserve"> </w:t>
      </w:r>
      <w:r w:rsidRPr="006E50FF">
        <w:rPr>
          <w:kern w:val="2"/>
        </w:rPr>
        <w:t>an</w:t>
      </w:r>
      <w:r w:rsidRPr="006E50FF">
        <w:rPr>
          <w:spacing w:val="20"/>
          <w:kern w:val="2"/>
        </w:rPr>
        <w:t xml:space="preserve"> </w:t>
      </w:r>
      <w:r w:rsidRPr="006E50FF">
        <w:rPr>
          <w:kern w:val="2"/>
        </w:rPr>
        <w:t>alternate</w:t>
      </w:r>
      <w:r w:rsidRPr="006E50FF">
        <w:rPr>
          <w:spacing w:val="22"/>
          <w:kern w:val="2"/>
        </w:rPr>
        <w:t xml:space="preserve"> </w:t>
      </w:r>
      <w:r w:rsidRPr="006E50FF">
        <w:rPr>
          <w:kern w:val="2"/>
        </w:rPr>
        <w:t>collaborating</w:t>
      </w:r>
      <w:r w:rsidRPr="006E50FF">
        <w:rPr>
          <w:spacing w:val="22"/>
          <w:kern w:val="2"/>
        </w:rPr>
        <w:t xml:space="preserve"> </w:t>
      </w:r>
      <w:r w:rsidRPr="006E50FF">
        <w:rPr>
          <w:kern w:val="2"/>
        </w:rPr>
        <w:t>physician</w:t>
      </w:r>
      <w:r w:rsidRPr="006E50FF">
        <w:rPr>
          <w:spacing w:val="20"/>
          <w:kern w:val="2"/>
        </w:rPr>
        <w:t xml:space="preserve"> </w:t>
      </w:r>
      <w:r w:rsidRPr="006E50FF">
        <w:rPr>
          <w:kern w:val="2"/>
        </w:rPr>
        <w:t>are</w:t>
      </w:r>
      <w:r w:rsidRPr="006E50FF">
        <w:rPr>
          <w:spacing w:val="22"/>
          <w:kern w:val="2"/>
        </w:rPr>
        <w:t xml:space="preserve"> </w:t>
      </w:r>
      <w:r w:rsidRPr="006E50FF">
        <w:rPr>
          <w:kern w:val="2"/>
        </w:rPr>
        <w:t>available</w:t>
      </w:r>
      <w:r w:rsidRPr="006E50FF">
        <w:rPr>
          <w:spacing w:val="21"/>
          <w:kern w:val="2"/>
        </w:rPr>
        <w:t xml:space="preserve"> </w:t>
      </w:r>
      <w:r w:rsidRPr="006E50FF">
        <w:rPr>
          <w:kern w:val="2"/>
        </w:rPr>
        <w:t>at</w:t>
      </w:r>
      <w:r w:rsidRPr="006E50FF">
        <w:rPr>
          <w:spacing w:val="21"/>
          <w:kern w:val="2"/>
        </w:rPr>
        <w:t xml:space="preserve"> </w:t>
      </w:r>
      <w:r w:rsidRPr="006E50FF">
        <w:rPr>
          <w:spacing w:val="-5"/>
          <w:kern w:val="2"/>
        </w:rPr>
        <w:t xml:space="preserve">the </w:t>
      </w:r>
      <w:r w:rsidRPr="006E50FF">
        <w:rPr>
          <w:kern w:val="2"/>
        </w:rPr>
        <w:t>practice</w:t>
      </w:r>
      <w:r w:rsidRPr="006E50FF">
        <w:rPr>
          <w:spacing w:val="22"/>
          <w:kern w:val="2"/>
        </w:rPr>
        <w:t xml:space="preserve"> </w:t>
      </w:r>
      <w:r w:rsidRPr="006E50FF">
        <w:rPr>
          <w:kern w:val="2"/>
        </w:rPr>
        <w:t>site</w:t>
      </w:r>
      <w:r w:rsidRPr="006E50FF">
        <w:rPr>
          <w:spacing w:val="24"/>
          <w:kern w:val="2"/>
        </w:rPr>
        <w:t xml:space="preserve"> </w:t>
      </w:r>
      <w:r w:rsidRPr="006E50FF">
        <w:rPr>
          <w:kern w:val="2"/>
        </w:rPr>
        <w:t>for</w:t>
      </w:r>
      <w:r w:rsidRPr="006E50FF">
        <w:rPr>
          <w:spacing w:val="22"/>
          <w:kern w:val="2"/>
        </w:rPr>
        <w:t xml:space="preserve"> </w:t>
      </w:r>
      <w:r w:rsidRPr="006E50FF">
        <w:rPr>
          <w:kern w:val="2"/>
        </w:rPr>
        <w:t>examination,</w:t>
      </w:r>
      <w:r w:rsidRPr="006E50FF">
        <w:rPr>
          <w:spacing w:val="24"/>
          <w:kern w:val="2"/>
        </w:rPr>
        <w:t xml:space="preserve"> </w:t>
      </w:r>
      <w:r w:rsidRPr="006E50FF">
        <w:rPr>
          <w:kern w:val="2"/>
        </w:rPr>
        <w:t>inspection</w:t>
      </w:r>
      <w:r w:rsidRPr="006E50FF">
        <w:rPr>
          <w:spacing w:val="21"/>
          <w:kern w:val="2"/>
        </w:rPr>
        <w:t xml:space="preserve"> </w:t>
      </w:r>
      <w:r w:rsidRPr="006E50FF">
        <w:rPr>
          <w:kern w:val="2"/>
        </w:rPr>
        <w:t>and</w:t>
      </w:r>
      <w:r w:rsidRPr="006E50FF">
        <w:rPr>
          <w:spacing w:val="23"/>
          <w:kern w:val="2"/>
        </w:rPr>
        <w:t xml:space="preserve"> </w:t>
      </w:r>
      <w:r w:rsidRPr="006E50FF">
        <w:rPr>
          <w:kern w:val="2"/>
        </w:rPr>
        <w:t>copying</w:t>
      </w:r>
      <w:r w:rsidRPr="006E50FF">
        <w:rPr>
          <w:spacing w:val="23"/>
          <w:kern w:val="2"/>
        </w:rPr>
        <w:t xml:space="preserve"> </w:t>
      </w:r>
      <w:r w:rsidRPr="006E50FF">
        <w:rPr>
          <w:kern w:val="2"/>
        </w:rPr>
        <w:t>upon request by the board or its designated employees or agents.</w:t>
      </w:r>
    </w:p>
    <w:p w14:paraId="545A48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spacing w:val="-2"/>
          <w:kern w:val="2"/>
        </w:rPr>
        <w:tab/>
      </w:r>
      <w:r w:rsidRPr="006E50FF">
        <w:rPr>
          <w:kern w:val="2"/>
        </w:rPr>
        <w:t>A collaborating physician or alternate collaborating physician shall comply with and respond to requests by the board</w:t>
      </w:r>
      <w:r w:rsidRPr="006E50FF">
        <w:rPr>
          <w:spacing w:val="-13"/>
          <w:kern w:val="2"/>
        </w:rPr>
        <w:t xml:space="preserve"> </w:t>
      </w:r>
      <w:r w:rsidRPr="006E50FF">
        <w:rPr>
          <w:kern w:val="2"/>
        </w:rPr>
        <w:t>for</w:t>
      </w:r>
      <w:r w:rsidRPr="006E50FF">
        <w:rPr>
          <w:spacing w:val="-12"/>
          <w:kern w:val="2"/>
        </w:rPr>
        <w:t xml:space="preserve"> </w:t>
      </w:r>
      <w:r w:rsidRPr="006E50FF">
        <w:rPr>
          <w:kern w:val="2"/>
        </w:rPr>
        <w:t>personal</w:t>
      </w:r>
      <w:r w:rsidRPr="006E50FF">
        <w:rPr>
          <w:spacing w:val="-13"/>
          <w:kern w:val="2"/>
        </w:rPr>
        <w:t xml:space="preserve"> </w:t>
      </w:r>
      <w:r w:rsidRPr="006E50FF">
        <w:rPr>
          <w:kern w:val="2"/>
        </w:rPr>
        <w:t>appearances</w:t>
      </w:r>
      <w:r w:rsidRPr="006E50FF">
        <w:rPr>
          <w:spacing w:val="-12"/>
          <w:kern w:val="2"/>
        </w:rPr>
        <w:t xml:space="preserve"> </w:t>
      </w:r>
      <w:r w:rsidRPr="006E50FF">
        <w:rPr>
          <w:kern w:val="2"/>
        </w:rPr>
        <w:t>and</w:t>
      </w:r>
      <w:r w:rsidRPr="006E50FF">
        <w:rPr>
          <w:spacing w:val="-13"/>
          <w:kern w:val="2"/>
        </w:rPr>
        <w:t xml:space="preserve"> </w:t>
      </w:r>
      <w:r w:rsidRPr="006E50FF">
        <w:rPr>
          <w:kern w:val="2"/>
        </w:rPr>
        <w:t>information</w:t>
      </w:r>
      <w:r w:rsidRPr="006E50FF">
        <w:rPr>
          <w:spacing w:val="-12"/>
          <w:kern w:val="2"/>
        </w:rPr>
        <w:t xml:space="preserve"> </w:t>
      </w:r>
      <w:r w:rsidRPr="006E50FF">
        <w:rPr>
          <w:kern w:val="2"/>
        </w:rPr>
        <w:t>relative</w:t>
      </w:r>
      <w:r w:rsidRPr="006E50FF">
        <w:rPr>
          <w:spacing w:val="-13"/>
          <w:kern w:val="2"/>
        </w:rPr>
        <w:t xml:space="preserve"> </w:t>
      </w:r>
      <w:r w:rsidRPr="006E50FF">
        <w:rPr>
          <w:kern w:val="2"/>
        </w:rPr>
        <w:t>to</w:t>
      </w:r>
      <w:r w:rsidRPr="006E50FF">
        <w:rPr>
          <w:spacing w:val="-12"/>
          <w:kern w:val="2"/>
        </w:rPr>
        <w:t xml:space="preserve"> </w:t>
      </w:r>
      <w:r w:rsidRPr="006E50FF">
        <w:rPr>
          <w:kern w:val="2"/>
        </w:rPr>
        <w:t>his or her collaborative practice;</w:t>
      </w:r>
    </w:p>
    <w:p w14:paraId="269C57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Employees or agents</w:t>
      </w:r>
      <w:r w:rsidRPr="006E50FF">
        <w:rPr>
          <w:spacing w:val="-2"/>
          <w:kern w:val="2"/>
        </w:rPr>
        <w:t xml:space="preserve"> </w:t>
      </w:r>
      <w:r w:rsidRPr="006E50FF">
        <w:rPr>
          <w:kern w:val="2"/>
        </w:rPr>
        <w:t>of</w:t>
      </w:r>
      <w:r w:rsidRPr="006E50FF">
        <w:rPr>
          <w:spacing w:val="-2"/>
          <w:kern w:val="2"/>
        </w:rPr>
        <w:t xml:space="preserve"> </w:t>
      </w:r>
      <w:r w:rsidRPr="006E50FF">
        <w:rPr>
          <w:kern w:val="2"/>
        </w:rPr>
        <w:t>the board may</w:t>
      </w:r>
      <w:r w:rsidRPr="006E50FF">
        <w:rPr>
          <w:spacing w:val="-2"/>
          <w:kern w:val="2"/>
        </w:rPr>
        <w:t xml:space="preserve"> </w:t>
      </w:r>
      <w:r w:rsidRPr="006E50FF">
        <w:rPr>
          <w:kern w:val="2"/>
        </w:rPr>
        <w:t>perform</w:t>
      </w:r>
      <w:r w:rsidRPr="006E50FF">
        <w:rPr>
          <w:spacing w:val="-2"/>
          <w:kern w:val="2"/>
        </w:rPr>
        <w:t xml:space="preserve"> </w:t>
      </w:r>
      <w:r w:rsidRPr="006E50FF">
        <w:rPr>
          <w:kern w:val="2"/>
        </w:rPr>
        <w:t>an</w:t>
      </w:r>
      <w:r w:rsidRPr="006E50FF">
        <w:rPr>
          <w:spacing w:val="-2"/>
          <w:kern w:val="2"/>
        </w:rPr>
        <w:t xml:space="preserve"> </w:t>
      </w:r>
      <w:r w:rsidRPr="006E50FF">
        <w:rPr>
          <w:kern w:val="2"/>
        </w:rPr>
        <w:t>on-site review of a collaborating physician or alternate collaborating physician’s practice at any reasonable time, without</w:t>
      </w:r>
      <w:r w:rsidRPr="006E50FF">
        <w:rPr>
          <w:spacing w:val="-13"/>
          <w:kern w:val="2"/>
        </w:rPr>
        <w:t xml:space="preserve"> </w:t>
      </w:r>
      <w:r w:rsidRPr="006E50FF">
        <w:rPr>
          <w:kern w:val="2"/>
        </w:rPr>
        <w:t>the</w:t>
      </w:r>
      <w:r w:rsidRPr="006E50FF">
        <w:rPr>
          <w:spacing w:val="-12"/>
          <w:kern w:val="2"/>
        </w:rPr>
        <w:t xml:space="preserve"> </w:t>
      </w:r>
      <w:r w:rsidRPr="006E50FF">
        <w:rPr>
          <w:kern w:val="2"/>
        </w:rPr>
        <w:t>necessity</w:t>
      </w:r>
      <w:r w:rsidRPr="006E50FF">
        <w:rPr>
          <w:spacing w:val="-13"/>
          <w:kern w:val="2"/>
        </w:rPr>
        <w:t xml:space="preserve"> </w:t>
      </w:r>
      <w:r w:rsidRPr="006E50FF">
        <w:rPr>
          <w:kern w:val="2"/>
        </w:rPr>
        <w:t>of</w:t>
      </w:r>
      <w:r w:rsidRPr="006E50FF">
        <w:rPr>
          <w:spacing w:val="-12"/>
          <w:kern w:val="2"/>
        </w:rPr>
        <w:t xml:space="preserve"> </w:t>
      </w:r>
      <w:r w:rsidRPr="006E50FF">
        <w:rPr>
          <w:kern w:val="2"/>
        </w:rPr>
        <w:t>prior</w:t>
      </w:r>
      <w:r w:rsidRPr="006E50FF">
        <w:rPr>
          <w:spacing w:val="-13"/>
          <w:kern w:val="2"/>
        </w:rPr>
        <w:t xml:space="preserve"> </w:t>
      </w:r>
      <w:r w:rsidRPr="006E50FF">
        <w:rPr>
          <w:kern w:val="2"/>
        </w:rPr>
        <w:t>notice,</w:t>
      </w:r>
      <w:r w:rsidRPr="006E50FF">
        <w:rPr>
          <w:spacing w:val="-12"/>
          <w:kern w:val="2"/>
        </w:rPr>
        <w:t xml:space="preserve"> </w:t>
      </w:r>
      <w:r w:rsidRPr="006E50FF">
        <w:rPr>
          <w:kern w:val="2"/>
        </w:rPr>
        <w:t>to</w:t>
      </w:r>
      <w:r w:rsidRPr="006E50FF">
        <w:rPr>
          <w:spacing w:val="-13"/>
          <w:kern w:val="2"/>
        </w:rPr>
        <w:t xml:space="preserve"> </w:t>
      </w:r>
      <w:r w:rsidRPr="006E50FF">
        <w:rPr>
          <w:kern w:val="2"/>
        </w:rPr>
        <w:t>determine</w:t>
      </w:r>
      <w:r w:rsidRPr="006E50FF">
        <w:rPr>
          <w:spacing w:val="-12"/>
          <w:kern w:val="2"/>
        </w:rPr>
        <w:t xml:space="preserve"> </w:t>
      </w:r>
      <w:r w:rsidRPr="006E50FF">
        <w:rPr>
          <w:kern w:val="2"/>
        </w:rPr>
        <w:t>compliance with the requirements of these rules.</w:t>
      </w:r>
    </w:p>
    <w:p w14:paraId="56E506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copy of the collaborative agreement shall be made readily available upon request from a patient or member of the public at the practice sites of both the physician and the nurse practitioner</w:t>
      </w:r>
    </w:p>
    <w:p w14:paraId="2B4A22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561890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44:274 (February 2018), amended LR 52:</w:t>
      </w:r>
    </w:p>
    <w:p w14:paraId="0766F98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9"/>
          <w:kern w:val="2"/>
        </w:rPr>
        <w:t xml:space="preserve"> </w:t>
      </w:r>
      <w:r w:rsidRPr="006E50FF">
        <w:rPr>
          <w:b/>
          <w:kern w:val="2"/>
        </w:rPr>
        <w:t>D.</w:t>
      </w:r>
      <w:r w:rsidRPr="006E50FF">
        <w:rPr>
          <w:b/>
          <w:spacing w:val="36"/>
          <w:kern w:val="2"/>
        </w:rPr>
        <w:tab/>
      </w:r>
      <w:r w:rsidRPr="006E50FF">
        <w:rPr>
          <w:b/>
          <w:spacing w:val="-2"/>
          <w:kern w:val="2"/>
        </w:rPr>
        <w:t>Sanctions</w:t>
      </w:r>
    </w:p>
    <w:p w14:paraId="1480982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§7921.</w:t>
      </w:r>
      <w:r w:rsidRPr="006E50FF">
        <w:rPr>
          <w:b/>
          <w:spacing w:val="31"/>
          <w:kern w:val="2"/>
        </w:rPr>
        <w:tab/>
      </w:r>
      <w:r w:rsidRPr="006E50FF">
        <w:rPr>
          <w:b/>
          <w:kern w:val="2"/>
        </w:rPr>
        <w:t>Effect</w:t>
      </w:r>
      <w:r w:rsidRPr="006E50FF">
        <w:rPr>
          <w:b/>
          <w:spacing w:val="-2"/>
          <w:kern w:val="2"/>
        </w:rPr>
        <w:t xml:space="preserve"> </w:t>
      </w:r>
      <w:r w:rsidRPr="006E50FF">
        <w:rPr>
          <w:b/>
          <w:kern w:val="2"/>
        </w:rPr>
        <w:t>of</w:t>
      </w:r>
      <w:r w:rsidRPr="006E50FF">
        <w:rPr>
          <w:b/>
          <w:spacing w:val="-6"/>
          <w:kern w:val="2"/>
        </w:rPr>
        <w:t xml:space="preserve"> </w:t>
      </w:r>
      <w:r w:rsidRPr="006E50FF">
        <w:rPr>
          <w:b/>
          <w:spacing w:val="-2"/>
          <w:kern w:val="2"/>
        </w:rPr>
        <w:t>Violation</w:t>
      </w:r>
    </w:p>
    <w:p w14:paraId="2459C2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w:t>
      </w:r>
      <w:r w:rsidRPr="006E50FF">
        <w:rPr>
          <w:spacing w:val="-4"/>
          <w:kern w:val="2"/>
        </w:rPr>
        <w:t xml:space="preserve"> </w:t>
      </w:r>
      <w:r w:rsidRPr="006E50FF">
        <w:rPr>
          <w:kern w:val="2"/>
        </w:rPr>
        <w:t>violation</w:t>
      </w:r>
      <w:r w:rsidRPr="006E50FF">
        <w:rPr>
          <w:spacing w:val="-4"/>
          <w:kern w:val="2"/>
        </w:rPr>
        <w:t xml:space="preserve"> </w:t>
      </w:r>
      <w:r w:rsidRPr="006E50FF">
        <w:rPr>
          <w:kern w:val="2"/>
        </w:rPr>
        <w:t>or</w:t>
      </w:r>
      <w:r w:rsidRPr="006E50FF">
        <w:rPr>
          <w:spacing w:val="-2"/>
          <w:kern w:val="2"/>
        </w:rPr>
        <w:t xml:space="preserve"> </w:t>
      </w:r>
      <w:r w:rsidRPr="006E50FF">
        <w:rPr>
          <w:kern w:val="2"/>
        </w:rPr>
        <w:t>failure</w:t>
      </w:r>
      <w:r w:rsidRPr="006E50FF">
        <w:rPr>
          <w:spacing w:val="-2"/>
          <w:kern w:val="2"/>
        </w:rPr>
        <w:t xml:space="preserve"> </w:t>
      </w:r>
      <w:r w:rsidRPr="006E50FF">
        <w:rPr>
          <w:kern w:val="2"/>
        </w:rPr>
        <w:t>to</w:t>
      </w:r>
      <w:r w:rsidRPr="006E50FF">
        <w:rPr>
          <w:spacing w:val="-2"/>
          <w:kern w:val="2"/>
        </w:rPr>
        <w:t xml:space="preserve"> </w:t>
      </w:r>
      <w:r w:rsidRPr="006E50FF">
        <w:rPr>
          <w:kern w:val="2"/>
        </w:rPr>
        <w:t>comply</w:t>
      </w:r>
      <w:r w:rsidRPr="006E50FF">
        <w:rPr>
          <w:spacing w:val="-2"/>
          <w:kern w:val="2"/>
        </w:rPr>
        <w:t xml:space="preserve"> </w:t>
      </w:r>
      <w:r w:rsidRPr="006E50FF">
        <w:rPr>
          <w:kern w:val="2"/>
        </w:rPr>
        <w:t>with</w:t>
      </w:r>
      <w:r w:rsidRPr="006E50FF">
        <w:rPr>
          <w:spacing w:val="-4"/>
          <w:kern w:val="2"/>
        </w:rPr>
        <w:t xml:space="preserve"> </w:t>
      </w:r>
      <w:r w:rsidRPr="006E50FF">
        <w:rPr>
          <w:kern w:val="2"/>
        </w:rPr>
        <w:t>the</w:t>
      </w:r>
      <w:r w:rsidRPr="006E50FF">
        <w:rPr>
          <w:spacing w:val="-2"/>
          <w:kern w:val="2"/>
        </w:rPr>
        <w:t xml:space="preserve"> </w:t>
      </w:r>
      <w:r w:rsidRPr="006E50FF">
        <w:rPr>
          <w:kern w:val="2"/>
        </w:rPr>
        <w:t>provisions of this Chapter shall be deemed unprofessional conduct and conduct</w:t>
      </w:r>
      <w:r w:rsidRPr="006E50FF">
        <w:rPr>
          <w:spacing w:val="7"/>
          <w:kern w:val="2"/>
        </w:rPr>
        <w:t xml:space="preserve"> </w:t>
      </w:r>
      <w:r w:rsidRPr="006E50FF">
        <w:rPr>
          <w:kern w:val="2"/>
        </w:rPr>
        <w:t>in</w:t>
      </w:r>
      <w:r w:rsidRPr="006E50FF">
        <w:rPr>
          <w:spacing w:val="6"/>
          <w:kern w:val="2"/>
        </w:rPr>
        <w:t xml:space="preserve"> </w:t>
      </w:r>
      <w:r w:rsidRPr="006E50FF">
        <w:rPr>
          <w:kern w:val="2"/>
        </w:rPr>
        <w:t>contravention</w:t>
      </w:r>
      <w:r w:rsidRPr="006E50FF">
        <w:rPr>
          <w:spacing w:val="5"/>
          <w:kern w:val="2"/>
        </w:rPr>
        <w:t xml:space="preserve"> </w:t>
      </w:r>
      <w:r w:rsidRPr="006E50FF">
        <w:rPr>
          <w:kern w:val="2"/>
        </w:rPr>
        <w:t>of</w:t>
      </w:r>
      <w:r w:rsidRPr="006E50FF">
        <w:rPr>
          <w:spacing w:val="6"/>
          <w:kern w:val="2"/>
        </w:rPr>
        <w:t xml:space="preserve"> </w:t>
      </w:r>
      <w:r w:rsidRPr="006E50FF">
        <w:rPr>
          <w:kern w:val="2"/>
        </w:rPr>
        <w:t>the</w:t>
      </w:r>
      <w:r w:rsidRPr="006E50FF">
        <w:rPr>
          <w:spacing w:val="7"/>
          <w:kern w:val="2"/>
        </w:rPr>
        <w:t xml:space="preserve"> </w:t>
      </w:r>
      <w:r w:rsidRPr="006E50FF">
        <w:rPr>
          <w:kern w:val="2"/>
        </w:rPr>
        <w:t>board's</w:t>
      </w:r>
      <w:r w:rsidRPr="006E50FF">
        <w:rPr>
          <w:spacing w:val="7"/>
          <w:kern w:val="2"/>
        </w:rPr>
        <w:t xml:space="preserve"> </w:t>
      </w:r>
      <w:r w:rsidRPr="006E50FF">
        <w:rPr>
          <w:kern w:val="2"/>
        </w:rPr>
        <w:t>rules,</w:t>
      </w:r>
      <w:r w:rsidRPr="006E50FF">
        <w:rPr>
          <w:spacing w:val="7"/>
          <w:kern w:val="2"/>
        </w:rPr>
        <w:t xml:space="preserve"> </w:t>
      </w:r>
      <w:r w:rsidRPr="006E50FF">
        <w:rPr>
          <w:kern w:val="2"/>
        </w:rPr>
        <w:t>in</w:t>
      </w:r>
      <w:r w:rsidRPr="006E50FF">
        <w:rPr>
          <w:spacing w:val="6"/>
          <w:kern w:val="2"/>
        </w:rPr>
        <w:t xml:space="preserve"> </w:t>
      </w:r>
      <w:r w:rsidRPr="006E50FF">
        <w:rPr>
          <w:kern w:val="2"/>
        </w:rPr>
        <w:t>violation</w:t>
      </w:r>
      <w:r w:rsidRPr="006E50FF">
        <w:rPr>
          <w:spacing w:val="6"/>
          <w:kern w:val="2"/>
        </w:rPr>
        <w:t xml:space="preserve"> </w:t>
      </w:r>
      <w:r w:rsidRPr="006E50FF">
        <w:rPr>
          <w:spacing w:val="-5"/>
          <w:kern w:val="2"/>
        </w:rPr>
        <w:t>of</w:t>
      </w:r>
      <w:r w:rsidRPr="006E50FF">
        <w:rPr>
          <w:kern w:val="2"/>
        </w:rPr>
        <w:t xml:space="preserve"> R.S. 37:1285(A)(13) and (30), respectively, as well as violation of any other applicable provision of R.S. </w:t>
      </w:r>
      <w:r w:rsidRPr="006E50FF">
        <w:rPr>
          <w:spacing w:val="-2"/>
          <w:kern w:val="2"/>
        </w:rPr>
        <w:t>37:1285(A)</w:t>
      </w:r>
      <w:r w:rsidRPr="006E50FF">
        <w:rPr>
          <w:rFonts w:ascii="Courier New"/>
          <w:spacing w:val="-2"/>
          <w:kern w:val="2"/>
        </w:rPr>
        <w:t>.</w:t>
      </w:r>
    </w:p>
    <w:p w14:paraId="227FA4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 xml:space="preserve"> </w:t>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15E788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 xml:space="preserve"> </w:t>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44:275 (February 2018), amended LR 52:</w:t>
      </w:r>
    </w:p>
    <w:p w14:paraId="6E68522C" w14:textId="77777777" w:rsidR="006E50FF" w:rsidRPr="006E50FF" w:rsidRDefault="006E50FF" w:rsidP="006E50FF">
      <w:pPr>
        <w:keepNext/>
        <w:jc w:val="center"/>
        <w:rPr>
          <w:b/>
          <w:kern w:val="28"/>
        </w:rPr>
      </w:pPr>
      <w:r w:rsidRPr="006E50FF">
        <w:rPr>
          <w:b/>
          <w:kern w:val="28"/>
        </w:rPr>
        <w:t>Family Impact Statement</w:t>
      </w:r>
    </w:p>
    <w:p w14:paraId="332546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the proposed amendments on the family has been considered. It is not anticipated that the proposed amendments will have any impact on family formation, stability or autonomy, as described in R.S. 49:972.</w:t>
      </w:r>
    </w:p>
    <w:p w14:paraId="38188C85" w14:textId="77777777" w:rsidR="006E50FF" w:rsidRPr="006E50FF" w:rsidRDefault="006E50FF" w:rsidP="006E50FF">
      <w:pPr>
        <w:keepNext/>
        <w:jc w:val="center"/>
        <w:rPr>
          <w:b/>
          <w:kern w:val="28"/>
        </w:rPr>
      </w:pPr>
      <w:r w:rsidRPr="006E50FF">
        <w:rPr>
          <w:b/>
          <w:kern w:val="28"/>
        </w:rPr>
        <w:t>Poverty Impact Statement</w:t>
      </w:r>
    </w:p>
    <w:p w14:paraId="20D390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854 of the 2012 Regular Session of the Louisiana Legislature, the impact of the proposed amendments on those that may be living at or below one hundred percent of the federal poverty line has been considered. It is not anticipated that the proposed amendments will have any impact on child, individual or family poverty in </w:t>
      </w:r>
      <w:r w:rsidRPr="006E50FF">
        <w:rPr>
          <w:kern w:val="2"/>
        </w:rPr>
        <w:t>relation to individual or community asset development, as described in R.S. 49:973.</w:t>
      </w:r>
    </w:p>
    <w:p w14:paraId="6F596637" w14:textId="77777777" w:rsidR="006E50FF" w:rsidRPr="006E50FF" w:rsidRDefault="006E50FF" w:rsidP="006E50FF">
      <w:pPr>
        <w:keepNext/>
        <w:jc w:val="center"/>
        <w:rPr>
          <w:b/>
          <w:kern w:val="28"/>
        </w:rPr>
      </w:pPr>
      <w:r w:rsidRPr="006E50FF">
        <w:rPr>
          <w:b/>
          <w:kern w:val="28"/>
        </w:rPr>
        <w:t>Small Business Analysis</w:t>
      </w:r>
    </w:p>
    <w:p w14:paraId="53B32F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It is not anticipated that the proposed amendments will have any adverse impact on small businesses as defined in the Regulatory Flexibility Act, R.S. 49:978.1 et seq.</w:t>
      </w:r>
    </w:p>
    <w:p w14:paraId="1C204B35" w14:textId="77777777" w:rsidR="006E50FF" w:rsidRPr="006E50FF" w:rsidRDefault="006E50FF" w:rsidP="006E50FF">
      <w:pPr>
        <w:keepNext/>
        <w:jc w:val="center"/>
        <w:rPr>
          <w:b/>
          <w:kern w:val="28"/>
        </w:rPr>
      </w:pPr>
      <w:r w:rsidRPr="006E50FF">
        <w:rPr>
          <w:b/>
          <w:kern w:val="28"/>
        </w:rPr>
        <w:t>Provider Impact Statement</w:t>
      </w:r>
    </w:p>
    <w:p w14:paraId="1DF1E9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HCR 170 of the 2014 Regular Session of the Louisiana Legislature, the impact of the proposed amendments on organizations that provide services for individuals with developmental disabilities has been considered. It is not anticipated that the proposed amendments will have any impact on the staffing, costs or overall ability of such organizations to provide the same level of services, as described in HCR 170.</w:t>
      </w:r>
    </w:p>
    <w:p w14:paraId="6486656C" w14:textId="77777777" w:rsidR="006E50FF" w:rsidRPr="006E50FF" w:rsidRDefault="006E50FF" w:rsidP="006E50FF">
      <w:pPr>
        <w:keepNext/>
        <w:jc w:val="center"/>
        <w:rPr>
          <w:b/>
          <w:kern w:val="28"/>
        </w:rPr>
      </w:pPr>
      <w:r w:rsidRPr="006E50FF">
        <w:rPr>
          <w:b/>
          <w:kern w:val="28"/>
        </w:rPr>
        <w:t>Public Comments</w:t>
      </w:r>
    </w:p>
    <w:p w14:paraId="12EDC7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data, views, arguments, information or comments on the proposed amendments to Jacintha Duthu, LSBME, 630 Camp Street, New Orleans, LA 70130. She is responsible for responding to inquiries. Written comments will be accepted until 4 p.m. on October 21, 2026.</w:t>
      </w:r>
    </w:p>
    <w:p w14:paraId="471C04A6" w14:textId="77777777" w:rsidR="006E50FF" w:rsidRPr="006E50FF" w:rsidRDefault="006E50FF" w:rsidP="006E50FF">
      <w:pPr>
        <w:keepNext/>
        <w:jc w:val="center"/>
        <w:rPr>
          <w:b/>
          <w:kern w:val="28"/>
        </w:rPr>
      </w:pPr>
      <w:r w:rsidRPr="006E50FF">
        <w:rPr>
          <w:b/>
          <w:kern w:val="28"/>
        </w:rPr>
        <w:t>Public Hearing</w:t>
      </w:r>
    </w:p>
    <w:p w14:paraId="18EB32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request pursuant to R.S. 49:953(A)(2) for a public hearing must be made in writing and received by the Board within 20 days of the date of this notice. If a public hearing is requested to provide data, views, arguments, information or comments orally in accordance with the Louisiana Administrative Procedure Act, the hearing will be held on October 21, 2026 at 9 a.m., at the office of the LSBME, 630 Camp Street, New Orleans, LA 70130. Any person wishing to attend should call in advance to confirm.</w:t>
      </w:r>
    </w:p>
    <w:p w14:paraId="11FFAB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862807A" w14:textId="77777777" w:rsidR="006E50FF" w:rsidRPr="006E50FF" w:rsidRDefault="006E50FF" w:rsidP="006E50FF">
      <w:pPr>
        <w:keepNext/>
        <w:ind w:left="2160"/>
        <w:jc w:val="both"/>
      </w:pPr>
      <w:r w:rsidRPr="006E50FF">
        <w:t>Vincent A. Culotta, Jr., M.D.,</w:t>
      </w:r>
    </w:p>
    <w:p w14:paraId="15E7864A" w14:textId="77777777" w:rsidR="006E50FF" w:rsidRPr="006E50FF" w:rsidRDefault="006E50FF" w:rsidP="006E50FF">
      <w:pPr>
        <w:keepNext/>
        <w:ind w:left="2160"/>
        <w:jc w:val="both"/>
      </w:pPr>
      <w:r w:rsidRPr="006E50FF">
        <w:t>Executive Director</w:t>
      </w:r>
    </w:p>
    <w:p w14:paraId="6E1780AC" w14:textId="77777777" w:rsidR="006E50FF" w:rsidRPr="006E50FF" w:rsidRDefault="006E50FF" w:rsidP="006E50FF">
      <w:pPr>
        <w:keepNext/>
        <w:jc w:val="center"/>
        <w:rPr>
          <w:b/>
        </w:rPr>
      </w:pPr>
    </w:p>
    <w:p w14:paraId="16B044BE" w14:textId="77777777" w:rsidR="006E50FF" w:rsidRPr="006E50FF" w:rsidRDefault="006E50FF" w:rsidP="006E50FF">
      <w:pPr>
        <w:keepNext/>
        <w:jc w:val="center"/>
        <w:rPr>
          <w:b/>
        </w:rPr>
      </w:pPr>
      <w:r w:rsidRPr="006E50FF">
        <w:rPr>
          <w:b/>
        </w:rPr>
        <w:t>FISCAL AND ECONOMIC IMPACT STATEMENT FOR ADMINISTRATIVE RULES</w:t>
      </w:r>
    </w:p>
    <w:p w14:paraId="0349E30D" w14:textId="77777777" w:rsidR="006E50FF" w:rsidRPr="006E50FF" w:rsidRDefault="006E50FF" w:rsidP="006E50FF">
      <w:pPr>
        <w:keepNext/>
        <w:jc w:val="center"/>
        <w:rPr>
          <w:b/>
          <w:noProof/>
        </w:rPr>
      </w:pPr>
      <w:r w:rsidRPr="006E50FF">
        <w:rPr>
          <w:b/>
          <w:noProof/>
        </w:rPr>
        <w:t>RULE TITLE:  Physician Collaboration with Advanced Practice Registered Nurses</w:t>
      </w:r>
    </w:p>
    <w:p w14:paraId="44981BC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A6E61A9"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7A55C00" w14:textId="77777777" w:rsidR="006E50FF" w:rsidRPr="006E50FF" w:rsidRDefault="006E50FF" w:rsidP="006E50FF">
      <w:pPr>
        <w:ind w:left="288" w:firstLine="288"/>
        <w:jc w:val="both"/>
        <w:rPr>
          <w:noProof/>
          <w:sz w:val="18"/>
        </w:rPr>
      </w:pPr>
      <w:r w:rsidRPr="006E50FF">
        <w:rPr>
          <w:noProof/>
          <w:sz w:val="18"/>
        </w:rPr>
        <w:t xml:space="preserve">Other than the cost of rulemaking, there are no estimated implementation costs or savings for state or local governmental units resulting from the promulgation of the proposed rule change. The cost for the Louisiana State Board of Medical Examiners (LSBME) is approximately $640 in FY 27 for the notice and rule publication in the </w:t>
      </w:r>
      <w:r w:rsidRPr="006E50FF">
        <w:rPr>
          <w:i/>
          <w:iCs/>
          <w:noProof/>
          <w:sz w:val="18"/>
        </w:rPr>
        <w:t>Louisiana Register</w:t>
      </w:r>
      <w:r w:rsidRPr="006E50FF">
        <w:rPr>
          <w:noProof/>
          <w:sz w:val="18"/>
        </w:rPr>
        <w:t>.</w:t>
      </w:r>
    </w:p>
    <w:p w14:paraId="3DC72A0B" w14:textId="77777777" w:rsidR="006E50FF" w:rsidRPr="006E50FF" w:rsidRDefault="006E50FF" w:rsidP="006E50FF">
      <w:pPr>
        <w:ind w:left="288" w:firstLine="288"/>
        <w:jc w:val="both"/>
        <w:rPr>
          <w:sz w:val="18"/>
        </w:rPr>
      </w:pPr>
      <w:r w:rsidRPr="006E50FF">
        <w:rPr>
          <w:sz w:val="18"/>
        </w:rPr>
        <w:t>This proposed rule amends LSBME’s rules governing Physician Collaboration with Advanced Practice Registered Nurses to update reporting requirements, clarifies when a collaborative practice agreement is necessary and what should be included, and corrects typographical errors.</w:t>
      </w:r>
    </w:p>
    <w:p w14:paraId="1CA4AAC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437A83E" w14:textId="77777777" w:rsidR="006E50FF" w:rsidRPr="006E50FF" w:rsidRDefault="006E50FF" w:rsidP="006E50FF">
      <w:pPr>
        <w:ind w:left="288" w:firstLine="288"/>
        <w:jc w:val="both"/>
        <w:rPr>
          <w:sz w:val="18"/>
        </w:rPr>
      </w:pPr>
      <w:r w:rsidRPr="006E50FF">
        <w:rPr>
          <w:sz w:val="18"/>
        </w:rPr>
        <w:t>The proposed rule change is not anticipated to impact the revenue collections of state or local governmental units.</w:t>
      </w:r>
    </w:p>
    <w:p w14:paraId="163E5593"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065B666" w14:textId="77777777" w:rsidR="006E50FF" w:rsidRPr="006E50FF" w:rsidRDefault="006E50FF" w:rsidP="006E50FF">
      <w:pPr>
        <w:ind w:left="288" w:firstLine="288"/>
        <w:jc w:val="both"/>
        <w:rPr>
          <w:sz w:val="18"/>
        </w:rPr>
      </w:pPr>
      <w:r w:rsidRPr="006E50FF">
        <w:rPr>
          <w:sz w:val="18"/>
        </w:rPr>
        <w:t>The proposed rule is not anticipated to result in any costs or economic benefits to small businesses, individual persons, or non-governmental groups.</w:t>
      </w:r>
    </w:p>
    <w:p w14:paraId="09136AA2" w14:textId="77777777" w:rsidR="006E50FF" w:rsidRPr="006E50FF" w:rsidRDefault="006E50FF" w:rsidP="006E50FF">
      <w:pPr>
        <w:ind w:left="288" w:hanging="288"/>
        <w:jc w:val="both"/>
        <w:rPr>
          <w:spacing w:val="-10"/>
          <w:sz w:val="18"/>
        </w:rPr>
      </w:pPr>
      <w:r w:rsidRPr="006E50FF">
        <w:rPr>
          <w:spacing w:val="-10"/>
          <w:sz w:val="18"/>
        </w:rPr>
        <w:lastRenderedPageBreak/>
        <w:t>IV.</w:t>
      </w:r>
      <w:r w:rsidRPr="006E50FF">
        <w:rPr>
          <w:spacing w:val="-10"/>
          <w:sz w:val="18"/>
        </w:rPr>
        <w:tab/>
        <w:t>ESTIMATED EFFECT ON COMPETITION AND EMPLOYMENT (Summary)</w:t>
      </w:r>
    </w:p>
    <w:p w14:paraId="48EE7AD4" w14:textId="77777777" w:rsidR="006E50FF" w:rsidRPr="006E50FF" w:rsidRDefault="006E50FF" w:rsidP="006E50FF">
      <w:pPr>
        <w:ind w:left="288" w:firstLine="288"/>
        <w:jc w:val="both"/>
        <w:rPr>
          <w:sz w:val="18"/>
        </w:rPr>
      </w:pPr>
      <w:r w:rsidRPr="006E50FF">
        <w:rPr>
          <w:sz w:val="18"/>
        </w:rPr>
        <w:t>The proposed rule change is not anticipated to have any material impact on competition and employment.</w:t>
      </w:r>
    </w:p>
    <w:p w14:paraId="7FEAF6C5" w14:textId="77777777" w:rsidR="006E50FF" w:rsidRPr="006E50FF" w:rsidRDefault="006E50FF" w:rsidP="006E50FF">
      <w:pPr>
        <w:ind w:left="288" w:firstLine="288"/>
        <w:jc w:val="both"/>
        <w:rPr>
          <w:sz w:val="18"/>
        </w:rPr>
      </w:pPr>
    </w:p>
    <w:p w14:paraId="7409E903" w14:textId="77777777" w:rsidR="006E50FF" w:rsidRPr="006E50FF" w:rsidRDefault="006E50FF" w:rsidP="006E50FF">
      <w:pPr>
        <w:tabs>
          <w:tab w:val="left" w:pos="2880"/>
          <w:tab w:val="decimal" w:pos="2988"/>
        </w:tabs>
        <w:outlineLvl w:val="8"/>
        <w:rPr>
          <w:kern w:val="2"/>
          <w:sz w:val="18"/>
        </w:rPr>
      </w:pPr>
      <w:r w:rsidRPr="006E50FF">
        <w:rPr>
          <w:kern w:val="2"/>
          <w:sz w:val="18"/>
        </w:rPr>
        <w:t>Dr. Vincent Culotta, Jr.</w:t>
      </w:r>
      <w:r w:rsidRPr="006E50FF">
        <w:rPr>
          <w:kern w:val="2"/>
          <w:sz w:val="18"/>
        </w:rPr>
        <w:tab/>
        <w:t>Alan M. Boxberger</w:t>
      </w:r>
    </w:p>
    <w:p w14:paraId="3B3D0543"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2EFFA7D8" w14:textId="77777777" w:rsidR="006E50FF" w:rsidRPr="006E50FF" w:rsidRDefault="006E50FF" w:rsidP="006E50FF">
      <w:pPr>
        <w:tabs>
          <w:tab w:val="left" w:pos="2880"/>
          <w:tab w:val="decimal" w:pos="2988"/>
        </w:tabs>
        <w:outlineLvl w:val="8"/>
        <w:rPr>
          <w:kern w:val="2"/>
          <w:sz w:val="18"/>
        </w:rPr>
      </w:pPr>
      <w:r w:rsidRPr="006E50FF">
        <w:rPr>
          <w:noProof/>
          <w:sz w:val="16"/>
        </w:rPr>
        <w:t>2609#070</w:t>
      </w:r>
      <w:r w:rsidRPr="006E50FF">
        <w:rPr>
          <w:kern w:val="2"/>
        </w:rPr>
        <w:tab/>
      </w:r>
      <w:r w:rsidRPr="006E50FF">
        <w:rPr>
          <w:kern w:val="2"/>
          <w:sz w:val="18"/>
        </w:rPr>
        <w:t>Legislative Fiscal Office</w:t>
      </w:r>
    </w:p>
    <w:p w14:paraId="20D6CE68" w14:textId="77777777" w:rsidR="006E50FF" w:rsidRPr="006E50FF" w:rsidRDefault="006E50FF" w:rsidP="006E50FF"/>
    <w:p w14:paraId="6BB92373"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891F168" w14:textId="77777777" w:rsidR="006E50FF" w:rsidRPr="006E50FF" w:rsidRDefault="006E50FF" w:rsidP="006E50FF">
      <w:pPr>
        <w:keepNext/>
        <w:jc w:val="center"/>
        <w:rPr>
          <w:b/>
          <w:noProof/>
        </w:rPr>
      </w:pPr>
      <w:r w:rsidRPr="006E50FF">
        <w:rPr>
          <w:b/>
          <w:noProof/>
        </w:rPr>
        <w:t>Department of Health</w:t>
      </w:r>
    </w:p>
    <w:p w14:paraId="51E6FBB8" w14:textId="77777777" w:rsidR="006E50FF" w:rsidRPr="006E50FF" w:rsidRDefault="006E50FF" w:rsidP="006E50FF">
      <w:pPr>
        <w:keepNext/>
        <w:jc w:val="center"/>
        <w:rPr>
          <w:b/>
          <w:noProof/>
        </w:rPr>
      </w:pPr>
      <w:r w:rsidRPr="006E50FF">
        <w:rPr>
          <w:b/>
          <w:noProof/>
        </w:rPr>
        <w:t>Board of Pharmacy</w:t>
      </w:r>
    </w:p>
    <w:p w14:paraId="2553B2FD" w14:textId="77777777" w:rsidR="006E50FF" w:rsidRPr="006E50FF" w:rsidRDefault="006E50FF" w:rsidP="006E50FF">
      <w:pPr>
        <w:keepNext/>
        <w:spacing w:before="240" w:after="240"/>
        <w:jc w:val="center"/>
        <w:rPr>
          <w:noProof/>
        </w:rPr>
      </w:pPr>
      <w:r w:rsidRPr="006E50FF">
        <w:rPr>
          <w:noProof/>
        </w:rPr>
        <w:t xml:space="preserve">Emergency Medical Services Agencies </w:t>
      </w:r>
      <w:r w:rsidRPr="006E50FF">
        <w:rPr>
          <w:noProof/>
        </w:rPr>
        <w:br/>
        <w:t>(LAC 46:LIII.2705)</w:t>
      </w:r>
    </w:p>
    <w:p w14:paraId="170652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the Administrative Procedure Act (R.S. 49:950 et seq.) and the Pharmacy Practice Act (R.S. 37:1161 et seq.), the Board of Pharmacy hereby gives notice of its intent to amend §2705 of its rules relative to Controlled Dangerous Substances (CDS) Licenses. To align with federal regulation allowing for a new DEA registration category for Emergency Medical Services (EMS) agencies that handle CDS, which became effective on March 9, 2026, </w:t>
      </w:r>
      <w:bookmarkStart w:id="592" w:name="_Hlk237270054"/>
      <w:r w:rsidRPr="006E50FF">
        <w:rPr>
          <w:kern w:val="2"/>
        </w:rPr>
        <w:t xml:space="preserve">the proposed </w:t>
      </w:r>
      <w:bookmarkStart w:id="593" w:name="_Hlk225779698"/>
      <w:r w:rsidRPr="006E50FF">
        <w:rPr>
          <w:kern w:val="2"/>
        </w:rPr>
        <w:t>Rule amendment allows the board to issue a CDS license in the name of the EMS agency.</w:t>
      </w:r>
      <w:bookmarkEnd w:id="593"/>
      <w:r w:rsidRPr="006E50FF">
        <w:rPr>
          <w:kern w:val="2"/>
        </w:rPr>
        <w:t xml:space="preserve"> The proposed Rule amendment also allows an EMS agency to operate under a single CDS license in lieu of obtaining separate CDS licenses for individual locations operated by the agency.</w:t>
      </w:r>
    </w:p>
    <w:bookmarkEnd w:id="592"/>
    <w:p w14:paraId="6885A045" w14:textId="77777777" w:rsidR="006E50FF" w:rsidRPr="006E50FF" w:rsidRDefault="006E50FF" w:rsidP="006E50FF">
      <w:pPr>
        <w:keepNext/>
        <w:jc w:val="center"/>
        <w:rPr>
          <w:b/>
          <w:kern w:val="28"/>
        </w:rPr>
      </w:pPr>
      <w:r w:rsidRPr="006E50FF">
        <w:rPr>
          <w:b/>
          <w:kern w:val="28"/>
        </w:rPr>
        <w:t>Title 46</w:t>
      </w:r>
    </w:p>
    <w:p w14:paraId="69626D14" w14:textId="77777777" w:rsidR="006E50FF" w:rsidRPr="006E50FF" w:rsidRDefault="006E50FF" w:rsidP="006E50FF">
      <w:pPr>
        <w:keepNext/>
        <w:jc w:val="center"/>
        <w:rPr>
          <w:b/>
          <w:kern w:val="28"/>
        </w:rPr>
      </w:pPr>
      <w:r w:rsidRPr="006E50FF">
        <w:rPr>
          <w:b/>
          <w:kern w:val="28"/>
        </w:rPr>
        <w:t>PROFESSIONAL AND OCCUPATIONAL STANDARDS</w:t>
      </w:r>
    </w:p>
    <w:p w14:paraId="7FFF7553" w14:textId="77777777" w:rsidR="006E50FF" w:rsidRPr="006E50FF" w:rsidRDefault="006E50FF" w:rsidP="006E50FF">
      <w:pPr>
        <w:keepNext/>
        <w:jc w:val="center"/>
        <w:rPr>
          <w:b/>
          <w:noProof/>
        </w:rPr>
      </w:pPr>
      <w:r w:rsidRPr="006E50FF">
        <w:rPr>
          <w:b/>
          <w:noProof/>
        </w:rPr>
        <w:t>Part LIII.  Pharmacists</w:t>
      </w:r>
    </w:p>
    <w:p w14:paraId="0644E1E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rFonts w:eastAsia="Aptos" w:cs="Arial"/>
          <w:b/>
          <w:kern w:val="32"/>
          <w:szCs w:val="32"/>
        </w:rPr>
        <w:t xml:space="preserve">Chapter </w:t>
      </w:r>
      <w:r w:rsidRPr="006E50FF">
        <w:rPr>
          <w:b/>
          <w:kern w:val="2"/>
        </w:rPr>
        <w:t>27.</w:t>
      </w:r>
      <w:r w:rsidRPr="006E50FF">
        <w:rPr>
          <w:b/>
          <w:kern w:val="2"/>
        </w:rPr>
        <w:tab/>
      </w:r>
      <w:bookmarkStart w:id="594" w:name="TOCT_Chap65"/>
      <w:r w:rsidRPr="006E50FF">
        <w:rPr>
          <w:b/>
          <w:kern w:val="2"/>
        </w:rPr>
        <w:t>Controlled Dangerous Substances</w:t>
      </w:r>
      <w:bookmarkEnd w:id="594"/>
    </w:p>
    <w:p w14:paraId="1B9BDC7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95" w:name="TOC_SubC66"/>
      <w:bookmarkStart w:id="596" w:name="_Toc198792670"/>
      <w:r w:rsidRPr="006E50FF">
        <w:rPr>
          <w:b/>
          <w:kern w:val="2"/>
        </w:rPr>
        <w:t>Subchapter B.</w:t>
      </w:r>
      <w:bookmarkEnd w:id="595"/>
      <w:r w:rsidRPr="006E50FF">
        <w:rPr>
          <w:b/>
          <w:kern w:val="2"/>
        </w:rPr>
        <w:tab/>
      </w:r>
      <w:bookmarkEnd w:id="596"/>
      <w:r w:rsidRPr="006E50FF">
        <w:rPr>
          <w:b/>
          <w:kern w:val="2"/>
        </w:rPr>
        <w:t>Licenses</w:t>
      </w:r>
    </w:p>
    <w:p w14:paraId="4564E6B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97" w:name="_Toc198792671"/>
      <w:r w:rsidRPr="006E50FF">
        <w:rPr>
          <w:b/>
          <w:kern w:val="2"/>
        </w:rPr>
        <w:t>§2705.</w:t>
      </w:r>
      <w:r w:rsidRPr="006E50FF">
        <w:rPr>
          <w:b/>
          <w:kern w:val="2"/>
        </w:rPr>
        <w:tab/>
      </w:r>
      <w:bookmarkEnd w:id="597"/>
      <w:r w:rsidRPr="006E50FF">
        <w:rPr>
          <w:b/>
          <w:kern w:val="2"/>
        </w:rPr>
        <w:t>Licenses and Exemptions</w:t>
      </w:r>
    </w:p>
    <w:p w14:paraId="4AF3EA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J.</w:t>
      </w:r>
      <w:r w:rsidRPr="006E50FF">
        <w:rPr>
          <w:kern w:val="2"/>
        </w:rPr>
        <w:tab/>
        <w:t>…</w:t>
      </w:r>
    </w:p>
    <w:p w14:paraId="0A77F9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Emergency Medical Services (EMS) Agencies.</w:t>
      </w:r>
    </w:p>
    <w:p w14:paraId="379F3A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issuance of a Controlled Dangerous Substance (CDS) license to an EMS agency, and the renewal thereof, shall require possession of a current and verifiable license, provisional license, or other authorization issued by the Bureau of Emergency Medical Services of the Office of Public Health within the Louisiana Department of Health, or its successor agency, authorizing the agency to provide emergency medical services within the state.</w:t>
      </w:r>
    </w:p>
    <w:p w14:paraId="72A32D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Definitions for purposes of this Subsection:</w:t>
      </w:r>
    </w:p>
    <w:p w14:paraId="790AA8DD" w14:textId="77777777" w:rsidR="006E50FF" w:rsidRPr="006E50FF" w:rsidRDefault="006E50FF" w:rsidP="006E50FF">
      <w:pPr>
        <w:tabs>
          <w:tab w:val="left" w:pos="907"/>
        </w:tabs>
        <w:ind w:firstLine="547"/>
        <w:jc w:val="both"/>
        <w:outlineLvl w:val="5"/>
        <w:rPr>
          <w:kern w:val="2"/>
        </w:rPr>
      </w:pPr>
      <w:r w:rsidRPr="006E50FF">
        <w:rPr>
          <w:i/>
          <w:iCs/>
          <w:kern w:val="2"/>
        </w:rPr>
        <w:t>Designated Location</w:t>
      </w:r>
      <w:r w:rsidRPr="006E50FF">
        <w:rPr>
          <w:kern w:val="2"/>
        </w:rPr>
        <w:t>—any fixed location, station, substation, post, facility, or other operational site within Louisiana, other than the principal place of business, from which an EMS agency may deliver controlled substances of the agency from a principal place of business.</w:t>
      </w:r>
    </w:p>
    <w:p w14:paraId="28FD194D" w14:textId="77777777" w:rsidR="006E50FF" w:rsidRPr="006E50FF" w:rsidRDefault="006E50FF" w:rsidP="006E50FF">
      <w:pPr>
        <w:tabs>
          <w:tab w:val="left" w:pos="907"/>
        </w:tabs>
        <w:ind w:firstLine="547"/>
        <w:jc w:val="both"/>
        <w:outlineLvl w:val="5"/>
        <w:rPr>
          <w:kern w:val="2"/>
        </w:rPr>
      </w:pPr>
      <w:r w:rsidRPr="006E50FF">
        <w:rPr>
          <w:i/>
          <w:iCs/>
          <w:kern w:val="2"/>
        </w:rPr>
        <w:t>EMS Agency</w:t>
      </w:r>
      <w:r w:rsidRPr="006E50FF">
        <w:rPr>
          <w:kern w:val="2"/>
        </w:rPr>
        <w:t>—an organization licensed or otherwise authorized by the Bureau of Emergency Medical Services to provide prehospital emergency medical care, ambulance transportation, air ambulance transportation, or other emergency medical services recognized under Louisiana law.</w:t>
      </w:r>
    </w:p>
    <w:p w14:paraId="10C071EC" w14:textId="77777777" w:rsidR="006E50FF" w:rsidRPr="006E50FF" w:rsidRDefault="006E50FF" w:rsidP="006E50FF">
      <w:pPr>
        <w:tabs>
          <w:tab w:val="left" w:pos="907"/>
        </w:tabs>
        <w:ind w:firstLine="547"/>
        <w:jc w:val="both"/>
        <w:outlineLvl w:val="5"/>
        <w:rPr>
          <w:kern w:val="2"/>
        </w:rPr>
      </w:pPr>
      <w:r w:rsidRPr="006E50FF">
        <w:rPr>
          <w:i/>
          <w:iCs/>
          <w:kern w:val="2"/>
        </w:rPr>
        <w:t>Principal Place of Business</w:t>
      </w:r>
      <w:r w:rsidRPr="006E50FF">
        <w:rPr>
          <w:kern w:val="2"/>
        </w:rPr>
        <w:t>—a location that appears on the CDS license issued to an EMS agency by the Board which shall be where the agency receives controlled substances from distributors.</w:t>
      </w:r>
    </w:p>
    <w:p w14:paraId="41DF21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Notwithstanding any provision of this Chapter to the contrary, an EMS agency may maintain a single CDS license for a principal place of business in lieu of obtaining separate CDS licenses for individual designated locations operated by the agency.</w:t>
      </w:r>
    </w:p>
    <w:p w14:paraId="2806EA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 EMS agency operating under a single CDS license shall provide the board with a current list of all designated locations in Louisiana at which the agency may store, maintain, exchange, or otherwise use controlled substances.</w:t>
      </w:r>
    </w:p>
    <w:p w14:paraId="2C5545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 EMS agency shall notify the board in writing within thirty days of the establishment, closure, relocation, or material operational change of any designated location identified pursuant to Paragraph 4 of this Subsection.</w:t>
      </w:r>
    </w:p>
    <w:p w14:paraId="5E453A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CDS license issued pursuant to this Subsection shall authorize the EMS agency, through its authorized personnel, vehicles, aircraft, stations, and designated locations, to store, transport, distribute, exchange, and otherwise possess controlled substances in accordance with applicable federal law, state law, and board regulations.</w:t>
      </w:r>
    </w:p>
    <w:p w14:paraId="20E482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This Chapter shall be interpreted and applied in a manner consistent with applicable federal laws and regulations governing EMS agency registrations under the Controlled Substances Act.</w:t>
      </w:r>
    </w:p>
    <w:p w14:paraId="7962C6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Nothing in this Section shall relieve an EMS agency from compliance with any applicable requirement of the Louisiana Department of Health, the Bureau of Emergency Medical Services, the United States Drug Enforcement Administration, or any other applicable federal or state law or regulation governing the acquisition, storage, security, recordkeeping, administration, transportation, disposal, or accountability of controlled substances.</w:t>
      </w:r>
    </w:p>
    <w:p w14:paraId="5D6021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40:972.</w:t>
      </w:r>
    </w:p>
    <w:p w14:paraId="4BF3A9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Pharmacy, LR 34:2129 (October 2008), amended LR 39:312 (February 2013), amended by the Department of Health, Board of Pharmacy, LR 46:570 (April 2020), LR 47:1640 (November 2021), LR 48:494 (March 2022), amended LR 51:1589 (October 2025), amended LR 52:</w:t>
      </w:r>
    </w:p>
    <w:p w14:paraId="5DC75680" w14:textId="77777777" w:rsidR="006E50FF" w:rsidRPr="006E50FF" w:rsidRDefault="006E50FF" w:rsidP="006E50FF">
      <w:pPr>
        <w:keepNext/>
        <w:jc w:val="center"/>
        <w:rPr>
          <w:b/>
          <w:kern w:val="28"/>
        </w:rPr>
      </w:pPr>
      <w:r w:rsidRPr="006E50FF">
        <w:rPr>
          <w:b/>
          <w:kern w:val="28"/>
        </w:rPr>
        <w:t>Family Impact Statement</w:t>
      </w:r>
    </w:p>
    <w:p w14:paraId="434E4B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953 of Title 49 of the Louisiana Revised Statutes, there is hereby submitted a family impact statement on the Rule proposed for adoption, repeal, or amendment. The following statements will be published in the </w:t>
      </w:r>
      <w:r w:rsidRPr="006E50FF">
        <w:rPr>
          <w:i/>
          <w:kern w:val="2"/>
        </w:rPr>
        <w:t>Louisiana Register</w:t>
      </w:r>
      <w:r w:rsidRPr="006E50FF">
        <w:rPr>
          <w:kern w:val="2"/>
        </w:rPr>
        <w:t xml:space="preserve"> with the proposed agency Rule.</w:t>
      </w:r>
    </w:p>
    <w:p w14:paraId="2DB680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Stability of the Family. The proposed Rule change will have no effect on the stability of the family.</w:t>
      </w:r>
    </w:p>
    <w:p w14:paraId="4D61F6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 The proposed Rule change will have no effect on the authority and rights of parents regarding the education and supervision of their children.</w:t>
      </w:r>
    </w:p>
    <w:p w14:paraId="423B81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 The proposed Rule change will have no effect on the functioning of the family.</w:t>
      </w:r>
    </w:p>
    <w:p w14:paraId="7FE3A0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 The proposed Rule change will have no effect on family earnings and family budget.</w:t>
      </w:r>
    </w:p>
    <w:p w14:paraId="5A9342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5E7E21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5.</w:t>
      </w:r>
      <w:r w:rsidRPr="006E50FF">
        <w:rPr>
          <w:kern w:val="2"/>
        </w:rPr>
        <w:tab/>
        <w:t>The Effect on the Behavior and Personal Responsibility of Children. The proposed Rule change will have no effect on the behavior and personal responsibility of children.</w:t>
      </w:r>
    </w:p>
    <w:p w14:paraId="27DA14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 The proposed Rule change will have no effect on the ability of the family or a local government to perform the activity as contained in the proposed Rule.</w:t>
      </w:r>
    </w:p>
    <w:p w14:paraId="74443EFC" w14:textId="77777777" w:rsidR="006E50FF" w:rsidRPr="006E50FF" w:rsidRDefault="006E50FF" w:rsidP="006E50FF">
      <w:pPr>
        <w:keepNext/>
        <w:jc w:val="center"/>
        <w:rPr>
          <w:b/>
          <w:kern w:val="28"/>
        </w:rPr>
      </w:pPr>
      <w:r w:rsidRPr="006E50FF">
        <w:rPr>
          <w:b/>
          <w:kern w:val="28"/>
        </w:rPr>
        <w:t>Poverty Impact Statement</w:t>
      </w:r>
    </w:p>
    <w:p w14:paraId="79313E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repeal, or amendment.</w:t>
      </w:r>
    </w:p>
    <w:p w14:paraId="71350F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 The proposed Rule change will have no effect on household income, assets, or financial security.</w:t>
      </w:r>
    </w:p>
    <w:p w14:paraId="1BB1BF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 The proposed Rule change will have no effect on early childhood development or preschool through postsecondary education development.</w:t>
      </w:r>
    </w:p>
    <w:p w14:paraId="0D013D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 The proposed Rule change will have no effect on employment and workforce development.</w:t>
      </w:r>
    </w:p>
    <w:p w14:paraId="03A805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 The proposed Rule change will have no effect on taxes or tax credits.</w:t>
      </w:r>
    </w:p>
    <w:p w14:paraId="5FE77E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 The proposed Rule change will have no effect on child and dependent care, housing, health care, nutrition, transportation, or utilities assistance.</w:t>
      </w:r>
    </w:p>
    <w:p w14:paraId="4EFF0C3E" w14:textId="77777777" w:rsidR="006E50FF" w:rsidRPr="006E50FF" w:rsidRDefault="006E50FF" w:rsidP="006E50FF">
      <w:pPr>
        <w:keepNext/>
        <w:jc w:val="center"/>
        <w:rPr>
          <w:b/>
          <w:kern w:val="28"/>
        </w:rPr>
      </w:pPr>
      <w:r w:rsidRPr="006E50FF">
        <w:rPr>
          <w:b/>
          <w:kern w:val="28"/>
        </w:rPr>
        <w:t>Small Business Analysis</w:t>
      </w:r>
    </w:p>
    <w:p w14:paraId="298595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965 of Title 49 of the Louisiana Revised Statutes, there is hereby submitted a regulatory flexibility analysis on the Rule proposed for adoption, repeal, or amendment. This will certify the agency has considered, without limitation, each of the following methods of reducing the impact of the proposed Rule on small businesses:</w:t>
      </w:r>
    </w:p>
    <w:p w14:paraId="04B39D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Establishment of Less Stringent Compliance or Reporting Requirements for Small Businesses. The proposed Rule change will have no effect on reporting requirements for small business.</w:t>
      </w:r>
    </w:p>
    <w:p w14:paraId="79B828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Establishment of Less Stringent Schedules or Deadlines for Compliance or Reporting Requirements for Small Businesses. The proposed Rule change will have no effect on schedules or deadlines for compliance or reporting requirements for small business.</w:t>
      </w:r>
    </w:p>
    <w:p w14:paraId="28FEDD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Consolidation or Simplification of Compliance or Reporting Requirements for Small Businesses. The proposed Rule change will have no effect on consolidation or simplification of compliance or reporting requirements for small business.</w:t>
      </w:r>
    </w:p>
    <w:p w14:paraId="547FB7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Establishment of Performance Standards for Small Businesses to Replace Design or Operational Standards Required in the Proposed Rule. The proposed Rule change will have no effect on establishment of performance standards for small businesses to replace design or operational standards for small businesses.</w:t>
      </w:r>
    </w:p>
    <w:p w14:paraId="42AE39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Exemption of Small Businesses from All or Any Part of the Requirements Contained in the Proposed Rule. </w:t>
      </w:r>
      <w:r w:rsidRPr="006E50FF">
        <w:rPr>
          <w:kern w:val="2"/>
        </w:rPr>
        <w:t>There are no exemptions for small businesses in the proposed Rule change.</w:t>
      </w:r>
    </w:p>
    <w:p w14:paraId="30D84BF6" w14:textId="77777777" w:rsidR="006E50FF" w:rsidRPr="006E50FF" w:rsidRDefault="006E50FF" w:rsidP="006E50FF">
      <w:pPr>
        <w:keepNext/>
        <w:jc w:val="center"/>
        <w:rPr>
          <w:b/>
          <w:kern w:val="28"/>
        </w:rPr>
      </w:pPr>
      <w:r w:rsidRPr="006E50FF">
        <w:rPr>
          <w:b/>
          <w:kern w:val="28"/>
        </w:rPr>
        <w:t>Provider Impact Statement</w:t>
      </w:r>
    </w:p>
    <w:p w14:paraId="74E6D6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House Concurrent Resolution No. 170 of the Regular Session of the 2014 Legislature, there is hereby submitted a provider impact statement on the Rule proposed for adoption, repeal, or amendment. This will certify the agency has considered, without limitation, the following effects on the providers of services to individuals with developmental disabilities:</w:t>
      </w:r>
    </w:p>
    <w:p w14:paraId="56CBB7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 The proposed Rule change will have no effect on the staffing level requirements required to provide the same level of service.</w:t>
      </w:r>
    </w:p>
    <w:p w14:paraId="603CAD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 to Provide the Same Level of Service. The proposed Rule change may decrease the cost to the provider to provide the same level of service for those EMS agencies with multiple locations. A single CDS license will be required for the principal place of business instead of each individual location operated by the agency.</w:t>
      </w:r>
    </w:p>
    <w:p w14:paraId="12D40D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 The proposed Rule change will have no impact on the ability of the provider to provide the same level of service.</w:t>
      </w:r>
    </w:p>
    <w:p w14:paraId="6C188D3F" w14:textId="77777777" w:rsidR="006E50FF" w:rsidRPr="006E50FF" w:rsidRDefault="006E50FF" w:rsidP="006E50FF">
      <w:pPr>
        <w:keepNext/>
        <w:jc w:val="center"/>
        <w:rPr>
          <w:b/>
          <w:kern w:val="28"/>
        </w:rPr>
      </w:pPr>
      <w:r w:rsidRPr="006E50FF">
        <w:rPr>
          <w:b/>
          <w:kern w:val="28"/>
        </w:rPr>
        <w:t>Public Comments</w:t>
      </w:r>
    </w:p>
    <w:p w14:paraId="04EF9E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highlight w:val="yellow"/>
        </w:rPr>
      </w:pPr>
      <w:r w:rsidRPr="006E50FF">
        <w:rPr>
          <w:kern w:val="2"/>
        </w:rPr>
        <w:t>Interested persons may submit written comments, via United States Postal Service or other carrier, or in the alternative by personal delivery to M. Joseph Fontenot Jr., Executive Director, at the office of the Louisiana Board of Pharmacy, 3388 Brentwood Drive, Baton Rouge, LA 70809-1700. He is responsible for responding to inquiries regarding the proposed Rule change. The deadline for the receipt of all written comments is 12 p.m. on Monday, November 2, 2026.</w:t>
      </w:r>
    </w:p>
    <w:p w14:paraId="779F7A12" w14:textId="77777777" w:rsidR="006E50FF" w:rsidRPr="006E50FF" w:rsidRDefault="006E50FF" w:rsidP="006E50FF">
      <w:pPr>
        <w:keepNext/>
        <w:jc w:val="center"/>
        <w:rPr>
          <w:b/>
          <w:kern w:val="28"/>
        </w:rPr>
      </w:pPr>
      <w:r w:rsidRPr="006E50FF">
        <w:rPr>
          <w:b/>
          <w:kern w:val="28"/>
        </w:rPr>
        <w:t>Public Hearing</w:t>
      </w:r>
    </w:p>
    <w:p w14:paraId="3C1AF6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public hearing to solicit comments and testimony on the proposed Rule change is scheduled for Monday, November 2, 2026 at 9 a.m. at the Board office. During the hearing, all interested persons will be afforded an opportunity to submit comments and testimony, either verbally or in writing. The deadline for the receipt of all comments and testimony is 12 p.m. that same day. To request reasonable accommodations for persons with disabilities, please call the board office at 225.925.6496.</w:t>
      </w:r>
    </w:p>
    <w:p w14:paraId="717DF6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870C607" w14:textId="77777777" w:rsidR="006E50FF" w:rsidRPr="006E50FF" w:rsidRDefault="006E50FF" w:rsidP="006E50FF">
      <w:pPr>
        <w:keepNext/>
        <w:ind w:left="2160"/>
        <w:jc w:val="both"/>
      </w:pPr>
      <w:r w:rsidRPr="006E50FF">
        <w:t>M. Joseph Fontenot Jr.</w:t>
      </w:r>
    </w:p>
    <w:p w14:paraId="6969A1BA" w14:textId="77777777" w:rsidR="006E50FF" w:rsidRPr="006E50FF" w:rsidRDefault="006E50FF" w:rsidP="006E50FF">
      <w:pPr>
        <w:keepNext/>
        <w:ind w:left="2160"/>
        <w:jc w:val="both"/>
      </w:pPr>
      <w:r w:rsidRPr="006E50FF">
        <w:t>Executive Director</w:t>
      </w:r>
    </w:p>
    <w:p w14:paraId="146E5CB3" w14:textId="77777777" w:rsidR="006E50FF" w:rsidRPr="006E50FF" w:rsidRDefault="006E50FF" w:rsidP="006E50FF">
      <w:pPr>
        <w:keepNext/>
        <w:jc w:val="center"/>
        <w:rPr>
          <w:b/>
        </w:rPr>
      </w:pPr>
    </w:p>
    <w:p w14:paraId="68E709BB" w14:textId="77777777" w:rsidR="006E50FF" w:rsidRPr="006E50FF" w:rsidRDefault="006E50FF" w:rsidP="006E50FF">
      <w:pPr>
        <w:keepNext/>
        <w:jc w:val="center"/>
        <w:rPr>
          <w:b/>
        </w:rPr>
      </w:pPr>
      <w:r w:rsidRPr="006E50FF">
        <w:rPr>
          <w:b/>
        </w:rPr>
        <w:t>FISCAL AND ECONOMIC IMPACT STATEMENT FOR ADMINISTRATIVE RULES</w:t>
      </w:r>
    </w:p>
    <w:p w14:paraId="026D2873" w14:textId="77777777" w:rsidR="006E50FF" w:rsidRPr="006E50FF" w:rsidRDefault="006E50FF" w:rsidP="006E50FF">
      <w:pPr>
        <w:keepNext/>
        <w:jc w:val="center"/>
        <w:rPr>
          <w:b/>
          <w:noProof/>
        </w:rPr>
      </w:pPr>
      <w:r w:rsidRPr="006E50FF">
        <w:rPr>
          <w:b/>
          <w:noProof/>
        </w:rPr>
        <w:t>RULE TITLE:  Emergency Medical Services Agencies</w:t>
      </w:r>
    </w:p>
    <w:p w14:paraId="30B56B4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AE0DEF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5FD71467" w14:textId="77777777" w:rsidR="006E50FF" w:rsidRPr="006E50FF" w:rsidRDefault="006E50FF" w:rsidP="006E50FF">
      <w:pPr>
        <w:ind w:left="288" w:firstLine="288"/>
        <w:jc w:val="both"/>
        <w:rPr>
          <w:noProof/>
          <w:sz w:val="18"/>
        </w:rPr>
      </w:pPr>
      <w:r w:rsidRPr="006E50FF">
        <w:rPr>
          <w:noProof/>
          <w:sz w:val="18"/>
        </w:rPr>
        <w:t xml:space="preserve">Other than the cost of rulemaking, there are no estimated implementation costs or savings for state or local governmental units resulting from the promulgation of the proposed Rule change. The cost to the Louisiana Board of Pharmacy is approximately $1,000 in FY 27 for the notice and Rule publication in the </w:t>
      </w:r>
      <w:r w:rsidRPr="006E50FF">
        <w:rPr>
          <w:i/>
          <w:iCs/>
          <w:noProof/>
          <w:sz w:val="18"/>
        </w:rPr>
        <w:t>Louisiana Register</w:t>
      </w:r>
      <w:r w:rsidRPr="006E50FF">
        <w:rPr>
          <w:noProof/>
          <w:sz w:val="18"/>
        </w:rPr>
        <w:t>.</w:t>
      </w:r>
    </w:p>
    <w:p w14:paraId="5936AFB9" w14:textId="77777777" w:rsidR="006E50FF" w:rsidRPr="006E50FF" w:rsidRDefault="006E50FF" w:rsidP="006E50FF">
      <w:pPr>
        <w:ind w:left="288" w:firstLine="288"/>
        <w:jc w:val="both"/>
        <w:rPr>
          <w:sz w:val="18"/>
        </w:rPr>
      </w:pPr>
      <w:r w:rsidRPr="006E50FF">
        <w:rPr>
          <w:sz w:val="18"/>
        </w:rPr>
        <w:br w:type="page"/>
      </w:r>
    </w:p>
    <w:p w14:paraId="22003329" w14:textId="77777777" w:rsidR="006E50FF" w:rsidRPr="006E50FF" w:rsidRDefault="006E50FF" w:rsidP="006E50FF">
      <w:pPr>
        <w:ind w:left="288" w:firstLine="288"/>
        <w:jc w:val="both"/>
        <w:rPr>
          <w:sz w:val="18"/>
        </w:rPr>
      </w:pPr>
      <w:r w:rsidRPr="006E50FF">
        <w:rPr>
          <w:sz w:val="18"/>
        </w:rPr>
        <w:lastRenderedPageBreak/>
        <w:t>The proposed Rule amendment allows the Board to issue a Controlled Dangerous Substance (CDS) license in the name of the Emergency Medical Services (EMS) agency and allows an EMS agency to operate under a single CDS license in lieu of obtaining separate CDS licenses for individual locations operated by the agency.</w:t>
      </w:r>
    </w:p>
    <w:p w14:paraId="7CB7756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51FAB2A" w14:textId="77777777" w:rsidR="006E50FF" w:rsidRPr="006E50FF" w:rsidRDefault="006E50FF" w:rsidP="006E50FF">
      <w:pPr>
        <w:ind w:left="288" w:firstLine="288"/>
        <w:jc w:val="both"/>
        <w:rPr>
          <w:sz w:val="18"/>
        </w:rPr>
      </w:pPr>
      <w:r w:rsidRPr="006E50FF">
        <w:rPr>
          <w:sz w:val="18"/>
        </w:rPr>
        <w:t>The proposed Rule change is anticipated to result in a reduction in revenue collections for the Board of Pharmacy due to the allowance for an EMS agency to operate multiple locations under a single CDS license. The amount of the reduction is indeterminable.</w:t>
      </w:r>
    </w:p>
    <w:p w14:paraId="4AF62D51"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1356C11" w14:textId="77777777" w:rsidR="006E50FF" w:rsidRPr="006E50FF" w:rsidRDefault="006E50FF" w:rsidP="006E50FF">
      <w:pPr>
        <w:ind w:left="288" w:firstLine="288"/>
        <w:jc w:val="both"/>
        <w:rPr>
          <w:sz w:val="18"/>
        </w:rPr>
      </w:pPr>
      <w:r w:rsidRPr="006E50FF">
        <w:rPr>
          <w:sz w:val="18"/>
        </w:rPr>
        <w:t>The proposed Rule change will benefit EMS agencies by allowing the CDS license to be issued in the name of the agency instead of its medical director. In the event of a change in the medical director, a new CDS license would not have to be obtained. Further, an EMS agency will only be required to obtain one CDS license for the principal place of business, instead of for individual locations operated by the agency, resulting in cost savings to the agency of $25 per location yearly.</w:t>
      </w:r>
    </w:p>
    <w:p w14:paraId="597FBAB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142BDA73" w14:textId="77777777" w:rsidR="006E50FF" w:rsidRPr="006E50FF" w:rsidRDefault="006E50FF" w:rsidP="006E50FF">
      <w:pPr>
        <w:ind w:left="288" w:firstLine="288"/>
        <w:jc w:val="both"/>
        <w:rPr>
          <w:sz w:val="18"/>
        </w:rPr>
      </w:pPr>
      <w:r w:rsidRPr="006E50FF">
        <w:rPr>
          <w:sz w:val="18"/>
        </w:rPr>
        <w:t>The proposed Rule change is not anticipated to impact competition and employment.</w:t>
      </w:r>
    </w:p>
    <w:p w14:paraId="716835EE" w14:textId="77777777" w:rsidR="006E50FF" w:rsidRPr="006E50FF" w:rsidRDefault="006E50FF" w:rsidP="006E50FF">
      <w:pPr>
        <w:ind w:left="288" w:firstLine="288"/>
        <w:jc w:val="both"/>
        <w:rPr>
          <w:sz w:val="18"/>
        </w:rPr>
      </w:pPr>
    </w:p>
    <w:p w14:paraId="45E9E897" w14:textId="77777777" w:rsidR="006E50FF" w:rsidRPr="006E50FF" w:rsidRDefault="006E50FF" w:rsidP="006E50FF">
      <w:pPr>
        <w:tabs>
          <w:tab w:val="left" w:pos="2880"/>
          <w:tab w:val="decimal" w:pos="2988"/>
        </w:tabs>
        <w:outlineLvl w:val="8"/>
        <w:rPr>
          <w:kern w:val="2"/>
          <w:sz w:val="18"/>
        </w:rPr>
      </w:pPr>
      <w:r w:rsidRPr="006E50FF">
        <w:rPr>
          <w:kern w:val="2"/>
          <w:sz w:val="18"/>
        </w:rPr>
        <w:t>M. Joseph Fontenot, Jr.</w:t>
      </w:r>
      <w:r w:rsidRPr="006E50FF">
        <w:rPr>
          <w:kern w:val="2"/>
          <w:sz w:val="18"/>
        </w:rPr>
        <w:tab/>
        <w:t>Alan M. Boxberger</w:t>
      </w:r>
    </w:p>
    <w:p w14:paraId="398CCFE2"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6A0FE193" w14:textId="77777777" w:rsidR="006E50FF" w:rsidRPr="006E50FF" w:rsidRDefault="006E50FF" w:rsidP="006E50FF">
      <w:pPr>
        <w:tabs>
          <w:tab w:val="left" w:pos="2880"/>
          <w:tab w:val="decimal" w:pos="2988"/>
        </w:tabs>
        <w:outlineLvl w:val="8"/>
        <w:rPr>
          <w:kern w:val="2"/>
          <w:sz w:val="18"/>
        </w:rPr>
      </w:pPr>
      <w:r w:rsidRPr="006E50FF">
        <w:rPr>
          <w:noProof/>
          <w:sz w:val="16"/>
        </w:rPr>
        <w:t>2609#037</w:t>
      </w:r>
      <w:r w:rsidRPr="006E50FF">
        <w:rPr>
          <w:kern w:val="2"/>
        </w:rPr>
        <w:tab/>
      </w:r>
      <w:r w:rsidRPr="006E50FF">
        <w:rPr>
          <w:kern w:val="2"/>
          <w:sz w:val="18"/>
        </w:rPr>
        <w:t>Legislative Fiscal Office</w:t>
      </w:r>
    </w:p>
    <w:p w14:paraId="7E4DA163" w14:textId="77777777" w:rsidR="006E50FF" w:rsidRPr="006E50FF" w:rsidRDefault="006E50FF" w:rsidP="006E50FF"/>
    <w:p w14:paraId="03353CC5"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2C68F0F6" w14:textId="77777777" w:rsidR="006E50FF" w:rsidRPr="006E50FF" w:rsidRDefault="006E50FF" w:rsidP="006E50FF">
      <w:pPr>
        <w:keepNext/>
        <w:jc w:val="center"/>
        <w:rPr>
          <w:b/>
          <w:noProof/>
        </w:rPr>
      </w:pPr>
      <w:r w:rsidRPr="006E50FF">
        <w:rPr>
          <w:b/>
          <w:noProof/>
        </w:rPr>
        <w:t>Department of Health</w:t>
      </w:r>
    </w:p>
    <w:p w14:paraId="50F0EB54" w14:textId="77777777" w:rsidR="006E50FF" w:rsidRPr="006E50FF" w:rsidRDefault="006E50FF" w:rsidP="006E50FF">
      <w:pPr>
        <w:keepNext/>
        <w:jc w:val="center"/>
        <w:rPr>
          <w:b/>
          <w:noProof/>
        </w:rPr>
      </w:pPr>
      <w:r w:rsidRPr="006E50FF">
        <w:rPr>
          <w:b/>
          <w:noProof/>
        </w:rPr>
        <w:t>Bureau of Health Services Financing</w:t>
      </w:r>
    </w:p>
    <w:p w14:paraId="4580DDD1" w14:textId="77777777" w:rsidR="006E50FF" w:rsidRPr="006E50FF" w:rsidRDefault="006E50FF" w:rsidP="006E50FF">
      <w:pPr>
        <w:keepNext/>
        <w:spacing w:before="240" w:after="240"/>
        <w:jc w:val="center"/>
        <w:rPr>
          <w:noProof/>
        </w:rPr>
      </w:pPr>
      <w:r w:rsidRPr="006E50FF">
        <w:rPr>
          <w:noProof/>
        </w:rPr>
        <w:t>Adult Denture Program</w:t>
      </w:r>
      <w:r w:rsidRPr="006E50FF">
        <w:rPr>
          <w:noProof/>
        </w:rPr>
        <w:br/>
        <w:t>(LAC 50:XXV.101, 301, 303, 501, 503, 504, and 701)</w:t>
      </w:r>
    </w:p>
    <w:p w14:paraId="7BCA6E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proposes to amend LAC 50:XXV. Chapters 1 and 5 in the Medical Assistance Program as authorized by R.S. 36:254 and pursuant to Title XIX of the Social Security Act. This proposed Rule is promulgated in accordance with the provisions of the Administrative Procedure Act, R.S. 49:950 et seq.</w:t>
      </w:r>
    </w:p>
    <w:p w14:paraId="20085F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598" w:name="_Hlk236849448"/>
      <w:r w:rsidRPr="006E50FF">
        <w:rPr>
          <w:kern w:val="2"/>
        </w:rPr>
        <w:t xml:space="preserve">The Department of Health, Bureau of Health Services Financing proposes </w:t>
      </w:r>
      <w:bookmarkStart w:id="599" w:name="_Hlk236848617"/>
      <w:r w:rsidRPr="006E50FF">
        <w:rPr>
          <w:kern w:val="2"/>
        </w:rPr>
        <w:t xml:space="preserve">to amend the provisions governing the Adult Denture Program. Act 629 of the 2026 Regular Session of the Louisiana Legislature requires Medicaid to cover dental procedures when they are medically necessary for a Medicaid beneficiary to receive another Medicaid-covered service. This proposed Rule adds those provisions to the </w:t>
      </w:r>
      <w:r w:rsidRPr="006E50FF">
        <w:rPr>
          <w:i/>
          <w:iCs/>
          <w:kern w:val="2"/>
        </w:rPr>
        <w:t>Louisiana Administrative Code</w:t>
      </w:r>
      <w:r w:rsidRPr="006E50FF">
        <w:rPr>
          <w:kern w:val="2"/>
        </w:rPr>
        <w:t>.</w:t>
      </w:r>
      <w:bookmarkEnd w:id="599"/>
    </w:p>
    <w:bookmarkEnd w:id="598"/>
    <w:p w14:paraId="7C39D7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521352F3" w14:textId="77777777" w:rsidR="006E50FF" w:rsidRPr="006E50FF" w:rsidRDefault="006E50FF" w:rsidP="006E50FF">
      <w:pPr>
        <w:keepNext/>
        <w:jc w:val="center"/>
        <w:rPr>
          <w:b/>
          <w:kern w:val="28"/>
        </w:rPr>
      </w:pPr>
      <w:r w:rsidRPr="006E50FF">
        <w:rPr>
          <w:b/>
          <w:kern w:val="28"/>
        </w:rPr>
        <w:t>Title 50</w:t>
      </w:r>
    </w:p>
    <w:p w14:paraId="4A620520" w14:textId="77777777" w:rsidR="006E50FF" w:rsidRPr="006E50FF" w:rsidRDefault="006E50FF" w:rsidP="006E50FF">
      <w:pPr>
        <w:keepNext/>
        <w:jc w:val="center"/>
        <w:rPr>
          <w:b/>
          <w:kern w:val="28"/>
        </w:rPr>
      </w:pPr>
      <w:r w:rsidRPr="006E50FF">
        <w:rPr>
          <w:b/>
          <w:kern w:val="28"/>
        </w:rPr>
        <w:t>PUBLIC HEALTH—MEDICAL ASSISTANCE</w:t>
      </w:r>
    </w:p>
    <w:p w14:paraId="2D6B7617" w14:textId="77777777" w:rsidR="006E50FF" w:rsidRPr="006E50FF" w:rsidRDefault="006E50FF" w:rsidP="006E50FF">
      <w:pPr>
        <w:keepNext/>
        <w:jc w:val="center"/>
        <w:rPr>
          <w:b/>
          <w:noProof/>
        </w:rPr>
      </w:pPr>
      <w:r w:rsidRPr="006E50FF">
        <w:rPr>
          <w:b/>
          <w:noProof/>
        </w:rPr>
        <w:t>Part XXV.  Adult Denture and Medically Integrated Dental Care</w:t>
      </w:r>
    </w:p>
    <w:p w14:paraId="0E9E258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General Provisions</w:t>
      </w:r>
    </w:p>
    <w:p w14:paraId="641359D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w:t>
      </w:r>
      <w:r w:rsidRPr="006E50FF">
        <w:rPr>
          <w:b/>
          <w:kern w:val="2"/>
        </w:rPr>
        <w:tab/>
        <w:t>Prior Authorization</w:t>
      </w:r>
    </w:p>
    <w:p w14:paraId="556AF2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services specified in Chapter 5 of this Part are covered through the Adult Denture and Medically Integrated Dental Care Program (the Adult Dental Program).</w:t>
      </w:r>
    </w:p>
    <w:p w14:paraId="02F5B2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Prior authorization is required for:</w:t>
      </w:r>
    </w:p>
    <w:p w14:paraId="26BAB6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adult denture services marked by an asterisk (*) in Section 501 of this Part; and</w:t>
      </w:r>
    </w:p>
    <w:p w14:paraId="63FD89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adult dental care that a treating provider determines is medically necessary for treating other Medicaid-covered health conditions, procedures or services.</w:t>
      </w:r>
    </w:p>
    <w:p w14:paraId="108154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All prior authorization requests shall be sent to the beneficiary’s Dental Program Benefits Manager.</w:t>
      </w:r>
    </w:p>
    <w:p w14:paraId="4C95A8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2470D2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31:80 (January 2005), repromulgated LR 31:1589 (July 2005), amended by the Department of Health, Bureau of Health Services Financing, LR 52:</w:t>
      </w:r>
    </w:p>
    <w:p w14:paraId="175547D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Provider Participation and Beneficiary Qualifications</w:t>
      </w:r>
    </w:p>
    <w:p w14:paraId="3DB2C7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§301.</w:t>
      </w:r>
      <w:r w:rsidRPr="006E50FF">
        <w:rPr>
          <w:b/>
          <w:kern w:val="2"/>
        </w:rPr>
        <w:tab/>
        <w:t>Participation Requirement</w:t>
      </w:r>
    </w:p>
    <w:p w14:paraId="0E928D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Provider participation is limited to dentists licensed and authorized to practice dentistry in the state of Louisiana and enrolled in the Medicaid Program as a dental provider.</w:t>
      </w:r>
    </w:p>
    <w:p w14:paraId="273F20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3BE146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31:80 (January 2005), repromulgated LR 31:1589 (July 2005), amended by the Department of Health, Bureau of Health Services Financing, LR 52:</w:t>
      </w:r>
    </w:p>
    <w:p w14:paraId="4C55C11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Beneficiary Qualifications</w:t>
      </w:r>
    </w:p>
    <w:p w14:paraId="10DE79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Medicaid beneficiaries who are 21 years of age and older and whose Medicaid coverage includes the full range of Medicaid services are eligible for the Adult Dental Program.</w:t>
      </w:r>
    </w:p>
    <w:p w14:paraId="41E75E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beneficiaries are not eligible for the adult dental program:</w:t>
      </w:r>
    </w:p>
    <w:p w14:paraId="642F35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beneficiaries whose Medicaid eligibility is limited to only the following Medicare Savings Program:</w:t>
      </w:r>
    </w:p>
    <w:p w14:paraId="022FDA6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Specified Low-Income Medicare Beneficiary (SLMB);</w:t>
      </w:r>
    </w:p>
    <w:p w14:paraId="00DB897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Qualified individual (QI);</w:t>
      </w:r>
    </w:p>
    <w:p w14:paraId="0134D24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Qualified Medicare Beneficiary (QMB);</w:t>
      </w:r>
    </w:p>
    <w:p w14:paraId="6274B6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adult beneficiaries who are certified for Medicaid in the Medically Needy Program;</w:t>
      </w:r>
    </w:p>
    <w:p w14:paraId="32872D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pregnant women who are certified with presumptive eligibility;</w:t>
      </w:r>
    </w:p>
    <w:p w14:paraId="06F7B1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any beneficiary 21 years or older whose Medicaid coverage does not include the full range of Medicaid benefits.</w:t>
      </w:r>
    </w:p>
    <w:p w14:paraId="676F03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28DFDF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2F9B46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and Hospitals, Office of the Secretary, Bureau of Health Services Financing, LR 31:80 (January 2005), repromulgated LR 31:1589 (July 2005), amended by the Department of Health, Bureau of Health Services Financing, LR 52:</w:t>
      </w:r>
    </w:p>
    <w:p w14:paraId="72FF833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Covered Services</w:t>
      </w:r>
    </w:p>
    <w:p w14:paraId="4F58F7D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§501.</w:t>
      </w:r>
      <w:r w:rsidRPr="006E50FF">
        <w:rPr>
          <w:b/>
          <w:kern w:val="2"/>
        </w:rPr>
        <w:tab/>
        <w:t>Adult Dental Services</w:t>
      </w:r>
    </w:p>
    <w:p w14:paraId="2328FB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services are reimbursable under the Adult Dental Program:</w:t>
      </w:r>
    </w:p>
    <w:p w14:paraId="7652A0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comprehensive oral examination only in conjunction with denture construction*;</w:t>
      </w:r>
    </w:p>
    <w:p w14:paraId="5AE910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intraoral radiographs, complete series only in conjunction with denture construction*;</w:t>
      </w:r>
    </w:p>
    <w:p w14:paraId="3A286B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- 6.</w:t>
      </w:r>
      <w:r w:rsidRPr="006E50FF">
        <w:rPr>
          <w:kern w:val="2"/>
        </w:rPr>
        <w:tab/>
        <w:t>...</w:t>
      </w:r>
    </w:p>
    <w:p w14:paraId="3BAA83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maxillary partial denture, resin base (including clasps in conjunction with an opposing full denture*;</w:t>
      </w:r>
    </w:p>
    <w:p w14:paraId="17756E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mandibular partial denture, resin base (including clasps in conjunction with an opposing full denture*;</w:t>
      </w:r>
    </w:p>
    <w:p w14:paraId="0F17DCC6"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9. - 19.</w:t>
      </w:r>
      <w:r w:rsidRPr="006E50FF">
        <w:rPr>
          <w:kern w:val="2"/>
        </w:rPr>
        <w:tab/>
        <w:t>...</w:t>
      </w:r>
    </w:p>
    <w:p w14:paraId="217D5C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unspecified removable prosthodontic procedure, by report*; and</w:t>
      </w:r>
    </w:p>
    <w:p w14:paraId="615208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dental services that a treating provider determines is medically necessary to clear or prepare a beneficiary to receive a Medicaid-covered medical procedure or service*.</w:t>
      </w:r>
    </w:p>
    <w:p w14:paraId="232ED8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73862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31:81 (January 2005), repromulgated LR 31:1589 (July 2005), amended by the Department of Health, Bureau of Health Services Financing, LR 52:</w:t>
      </w:r>
    </w:p>
    <w:p w14:paraId="293586B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 xml:space="preserve">Denture Replacement and Denture Reline </w:t>
      </w:r>
    </w:p>
    <w:p w14:paraId="057EBA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Only one complete or partial denture per arch is allowed in an eight-year period. The eight-year time period begins from the date that the previous complete or partial denture for the same arch was delivered. A combination of two complete or partial denture relines per arch or one complete or partial denture and one reline per arch is allowed in an eight-year period, as prior authorized by the bureau or its designee.</w:t>
      </w:r>
    </w:p>
    <w:p w14:paraId="69D708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t>
      </w:r>
    </w:p>
    <w:p w14:paraId="797277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Cast partial dentures continue to be a noncovered service in the Adult Dental Program.</w:t>
      </w:r>
    </w:p>
    <w:p w14:paraId="375B9A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04C02E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31:81 (January 2005), repromulgated LR 31:1589 (July 2005), amended by the Department of Health and Hospitals, Bureau of Health Services Financing, LR 36:2039 (September 2010), amended by the Department of Health, Bureau of Health Services Financing, LR 52:</w:t>
      </w:r>
    </w:p>
    <w:p w14:paraId="0F1915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§504.</w:t>
      </w:r>
      <w:r w:rsidRPr="006E50FF">
        <w:rPr>
          <w:b/>
          <w:kern w:val="2"/>
        </w:rPr>
        <w:tab/>
        <w:t>Medically Integrated Dental Services</w:t>
      </w:r>
    </w:p>
    <w:p w14:paraId="5064C7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Effective for dates of services on or after January 1, 2027, coverage for procedures deemed medically necessary to support the treatment of a Medicaid-covered medical procedure are available when prior authorized.</w:t>
      </w:r>
    </w:p>
    <w:p w14:paraId="454A89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Covered dental services under this provision are limited to services medically necessary to clear or prepare a beneficiary to receive a Medicaid-covered medical procedure.</w:t>
      </w:r>
    </w:p>
    <w:p w14:paraId="57891D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To be prior authorized, documentation must include exchange of information and care coordination between the treating medical professional (physician or other non-physician practitioner) and the furnishing dentist. Absent such </w:t>
      </w:r>
      <w:r w:rsidRPr="006E50FF">
        <w:rPr>
          <w:kern w:val="2"/>
        </w:rPr>
        <w:t>coordination and documentation demonstrating a clinical relationship between the dental and covered medical services, the dental treatment shall not meet criteria for medically integrated dental services.</w:t>
      </w:r>
    </w:p>
    <w:p w14:paraId="423A03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46B5C9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HISTORY NOTE:</w:t>
      </w:r>
      <w:r w:rsidRPr="006E50FF">
        <w:rPr>
          <w:kern w:val="2"/>
          <w:sz w:val="18"/>
        </w:rPr>
        <w:tab/>
        <w:t>Promulgated by the Department of Health, Bureau of Health Services Financing, LR 52:</w:t>
      </w:r>
    </w:p>
    <w:p w14:paraId="470F9A3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Reimbursement</w:t>
      </w:r>
    </w:p>
    <w:p w14:paraId="3C9B9D5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§701.</w:t>
      </w:r>
      <w:r w:rsidRPr="006E50FF">
        <w:rPr>
          <w:b/>
          <w:kern w:val="2"/>
        </w:rPr>
        <w:tab/>
        <w:t>Fees</w:t>
      </w:r>
    </w:p>
    <w:p w14:paraId="38EF4A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Fees for these services shall be reimbursed as established in the Adult Dental Program fee schedule.</w:t>
      </w:r>
    </w:p>
    <w:p w14:paraId="4EFF5B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D.1.</w:t>
      </w:r>
      <w:r w:rsidRPr="006E50FF">
        <w:rPr>
          <w:kern w:val="2"/>
        </w:rPr>
        <w:tab/>
        <w:t>...</w:t>
      </w:r>
    </w:p>
    <w:p w14:paraId="3555D7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Effective for dates of service on or after July 1, 2023, the reimbursement rates for adult denture and medically integrated dental services shall be reimbursed based on the Louisiana Medicaid fee schedule. </w:t>
      </w:r>
    </w:p>
    <w:p w14:paraId="3929A2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0D58D3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23C5BE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31:81 (January 2005), repromulgated LR 31:1589 (July 2005), amended by the Department of Health and Hospitals, Bureau of Health Services Financing, LR 39:316 (February 2013), LR 40:1006 (May 2014), amended by the Department of Health, Bureau of Health Services Financing, LR 49:1214 (July 2023), amended LR 52:</w:t>
      </w:r>
    </w:p>
    <w:p w14:paraId="741AB0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proposed Rule may be contingent upon the approval of the U.S. Department of Health and Human Services, Centers for Medicare and Medicaid Services (CMS), if it is determined that submission to CMS for review and approval is required.</w:t>
      </w:r>
    </w:p>
    <w:p w14:paraId="3F04563D" w14:textId="77777777" w:rsidR="006E50FF" w:rsidRPr="006E50FF" w:rsidRDefault="006E50FF" w:rsidP="006E50FF">
      <w:pPr>
        <w:keepNext/>
        <w:jc w:val="center"/>
        <w:rPr>
          <w:b/>
          <w:kern w:val="28"/>
        </w:rPr>
      </w:pPr>
      <w:r w:rsidRPr="006E50FF">
        <w:rPr>
          <w:b/>
          <w:kern w:val="28"/>
        </w:rPr>
        <w:t>Family Impact Statement</w:t>
      </w:r>
    </w:p>
    <w:p w14:paraId="246D3F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a positive impact on family functioning, stability and autonomy as described in R.S. 49:972, as it will increase access to dental services that families may have previously paid for on their own, which supports financial stability and improves health outcomes.</w:t>
      </w:r>
    </w:p>
    <w:p w14:paraId="0E3916F3" w14:textId="77777777" w:rsidR="006E50FF" w:rsidRPr="006E50FF" w:rsidRDefault="006E50FF" w:rsidP="006E50FF">
      <w:pPr>
        <w:keepNext/>
        <w:jc w:val="center"/>
        <w:rPr>
          <w:b/>
          <w:kern w:val="28"/>
        </w:rPr>
      </w:pPr>
      <w:r w:rsidRPr="006E50FF">
        <w:rPr>
          <w:b/>
          <w:kern w:val="28"/>
        </w:rPr>
        <w:t>Poverty Impact Statement</w:t>
      </w:r>
    </w:p>
    <w:p w14:paraId="3F322B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a positive impact on child, individual, or family poverty in relation to individual or community asset development as described in R.S. 49:973 as it will increases access to covered dental services for Medicaid beneficiaries, which reduces out</w:t>
      </w:r>
      <w:r w:rsidRPr="006E50FF">
        <w:rPr>
          <w:kern w:val="2"/>
        </w:rPr>
        <w:noBreakHyphen/>
        <w:t>of</w:t>
      </w:r>
      <w:r w:rsidRPr="006E50FF">
        <w:rPr>
          <w:kern w:val="2"/>
        </w:rPr>
        <w:noBreakHyphen/>
        <w:t>pocket costs and supports financial stability.</w:t>
      </w:r>
    </w:p>
    <w:p w14:paraId="02AFB226" w14:textId="77777777" w:rsidR="006E50FF" w:rsidRPr="006E50FF" w:rsidRDefault="006E50FF" w:rsidP="006E50FF">
      <w:pPr>
        <w:keepNext/>
        <w:jc w:val="center"/>
        <w:rPr>
          <w:b/>
          <w:kern w:val="28"/>
        </w:rPr>
      </w:pPr>
      <w:r w:rsidRPr="006E50FF">
        <w:rPr>
          <w:b/>
          <w:kern w:val="28"/>
        </w:rPr>
        <w:t>Small Business Statement</w:t>
      </w:r>
    </w:p>
    <w:p w14:paraId="295209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may have a positive impact on small businesses as it establishes reimbursement for services that were not covered previously.</w:t>
      </w:r>
    </w:p>
    <w:p w14:paraId="4B521824" w14:textId="77777777" w:rsidR="006E50FF" w:rsidRPr="006E50FF" w:rsidRDefault="006E50FF" w:rsidP="006E50FF">
      <w:pPr>
        <w:keepNext/>
        <w:jc w:val="center"/>
        <w:rPr>
          <w:b/>
          <w:kern w:val="28"/>
        </w:rPr>
      </w:pPr>
      <w:r w:rsidRPr="006E50FF">
        <w:rPr>
          <w:b/>
          <w:kern w:val="28"/>
        </w:rPr>
        <w:t>Provider Impact Statement</w:t>
      </w:r>
    </w:p>
    <w:p w14:paraId="277503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House Concurrent Resolution (HCR) 170 of the 2014 Regular Session of the Louisiana Legislature, the provider impact of this proposed Rule has been considered. It is anticipated that this proposed Rule will have </w:t>
      </w:r>
      <w:r w:rsidRPr="006E50FF">
        <w:rPr>
          <w:kern w:val="2"/>
        </w:rPr>
        <w:lastRenderedPageBreak/>
        <w:t>a positive impact on providers as it establishes reimbursement for services that were not covered previously. This will not impact staffing level requirements or qualifications, or the total direct and indirect cost to the provider to provide the same level of service as described in HCR 170.</w:t>
      </w:r>
    </w:p>
    <w:p w14:paraId="4F0BB1B4" w14:textId="77777777" w:rsidR="006E50FF" w:rsidRPr="006E50FF" w:rsidRDefault="006E50FF" w:rsidP="006E50FF">
      <w:pPr>
        <w:keepNext/>
        <w:jc w:val="center"/>
        <w:rPr>
          <w:b/>
          <w:kern w:val="28"/>
        </w:rPr>
      </w:pPr>
      <w:r w:rsidRPr="006E50FF">
        <w:rPr>
          <w:b/>
          <w:kern w:val="28"/>
        </w:rPr>
        <w:t>Public Comments</w:t>
      </w:r>
    </w:p>
    <w:p w14:paraId="0EAD2A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Tangela Womack, Bureau of Health Services Financing, P.O. Box 91030, Baton Rouge, LA 70821-9030. Ms. Womack is responsible for responding to inquiries regarding this proposed Rule. The deadline for submitting written comments is October 20, 2026.</w:t>
      </w:r>
    </w:p>
    <w:p w14:paraId="243E57A6" w14:textId="77777777" w:rsidR="006E50FF" w:rsidRPr="006E50FF" w:rsidRDefault="006E50FF" w:rsidP="006E50FF">
      <w:pPr>
        <w:keepNext/>
        <w:jc w:val="center"/>
        <w:rPr>
          <w:b/>
          <w:kern w:val="28"/>
        </w:rPr>
      </w:pPr>
      <w:r w:rsidRPr="006E50FF">
        <w:rPr>
          <w:b/>
          <w:kern w:val="28"/>
        </w:rPr>
        <w:t>Public Hearing</w:t>
      </w:r>
    </w:p>
    <w:p w14:paraId="06B541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12, 2026. If the criteria set forth in R.S. 49:961(B)(1) are satisfied, LDH will conduct a public hearing at 9:30 a.m. on October 29, 2026, in Room 118 of the Bienville Building, which is located at 628 North Fourth Street, Baton Rouge, LA. To confirm whether a public hearing will be held, interested persons should first call Allen Enger at (225) 342-1342 after October 12, 2026. If a public hearing is to be held, all interested persons are invited to attend and present data, views, comments, or arguments, orally or in writing.</w:t>
      </w:r>
    </w:p>
    <w:p w14:paraId="729C40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F54EEAD" w14:textId="77777777" w:rsidR="006E50FF" w:rsidRPr="006E50FF" w:rsidRDefault="006E50FF" w:rsidP="006E50FF">
      <w:pPr>
        <w:keepNext/>
        <w:ind w:left="2160"/>
        <w:jc w:val="both"/>
      </w:pPr>
      <w:r w:rsidRPr="006E50FF">
        <w:t>Bruce D. Greenstein</w:t>
      </w:r>
    </w:p>
    <w:p w14:paraId="28556826" w14:textId="77777777" w:rsidR="006E50FF" w:rsidRPr="006E50FF" w:rsidRDefault="006E50FF" w:rsidP="006E50FF">
      <w:pPr>
        <w:keepNext/>
        <w:ind w:left="2160"/>
        <w:jc w:val="both"/>
      </w:pPr>
      <w:r w:rsidRPr="006E50FF">
        <w:t>Secretary</w:t>
      </w:r>
    </w:p>
    <w:p w14:paraId="6F8932AC" w14:textId="77777777" w:rsidR="006E50FF" w:rsidRPr="006E50FF" w:rsidRDefault="006E50FF" w:rsidP="006E50FF">
      <w:pPr>
        <w:keepNext/>
        <w:jc w:val="center"/>
        <w:rPr>
          <w:b/>
        </w:rPr>
      </w:pPr>
    </w:p>
    <w:p w14:paraId="7D69EB83" w14:textId="77777777" w:rsidR="006E50FF" w:rsidRPr="006E50FF" w:rsidRDefault="006E50FF" w:rsidP="006E50FF">
      <w:pPr>
        <w:keepNext/>
        <w:jc w:val="center"/>
        <w:rPr>
          <w:b/>
        </w:rPr>
      </w:pPr>
      <w:r w:rsidRPr="006E50FF">
        <w:rPr>
          <w:b/>
        </w:rPr>
        <w:t>FISCAL AND ECONOMIC IMPACT STATEMENT FOR ADMINISTRATIVE RULES</w:t>
      </w:r>
    </w:p>
    <w:p w14:paraId="637D0AAE" w14:textId="77777777" w:rsidR="006E50FF" w:rsidRPr="006E50FF" w:rsidRDefault="006E50FF" w:rsidP="006E50FF">
      <w:pPr>
        <w:keepNext/>
        <w:jc w:val="center"/>
        <w:rPr>
          <w:b/>
          <w:noProof/>
        </w:rPr>
      </w:pPr>
      <w:r w:rsidRPr="006E50FF">
        <w:rPr>
          <w:b/>
          <w:noProof/>
        </w:rPr>
        <w:t>RULE TITLE:  Adult Denture Program</w:t>
      </w:r>
    </w:p>
    <w:p w14:paraId="4F0FAC6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75684B3"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D2D9C39"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result in increased state costs of approximately $536,092 for FY 26-27, (includes $604 for the administrative expense of promulgation of the proposed rule and final rule), $1,097,234 for FY 27-28, and $1,130,150 for FY 28-29.</w:t>
      </w:r>
    </w:p>
    <w:p w14:paraId="19CEFE57" w14:textId="77777777" w:rsidR="006E50FF" w:rsidRPr="006E50FF" w:rsidRDefault="006E50FF" w:rsidP="006E50FF">
      <w:pPr>
        <w:ind w:left="288" w:firstLine="288"/>
        <w:jc w:val="both"/>
        <w:rPr>
          <w:sz w:val="18"/>
        </w:rPr>
      </w:pPr>
      <w:r w:rsidRPr="006E50FF">
        <w:rPr>
          <w:sz w:val="18"/>
        </w:rPr>
        <w:t xml:space="preserve">This proposed rule amends the provisions governing the Adult Dentures Program. Act 629 of the 2026 RS requires Medicaid to cover dental procedures when they are medically necessary for a Medicaid beneficiary to receive another Medicaid-covered service. This proposed rule adds those provisions to the </w:t>
      </w:r>
      <w:r w:rsidRPr="006E50FF">
        <w:rPr>
          <w:i/>
          <w:iCs/>
          <w:sz w:val="18"/>
        </w:rPr>
        <w:t>Louisiana Administrative Code</w:t>
      </w:r>
      <w:r w:rsidRPr="006E50FF">
        <w:rPr>
          <w:sz w:val="18"/>
        </w:rPr>
        <w:t>.</w:t>
      </w:r>
    </w:p>
    <w:p w14:paraId="35001BF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03D635D" w14:textId="77777777" w:rsidR="006E50FF" w:rsidRPr="006E50FF" w:rsidRDefault="006E50FF" w:rsidP="006E50FF">
      <w:pPr>
        <w:ind w:left="288" w:firstLine="288"/>
        <w:jc w:val="both"/>
        <w:rPr>
          <w:sz w:val="18"/>
        </w:rPr>
      </w:pPr>
      <w:r w:rsidRPr="006E50FF">
        <w:rPr>
          <w:sz w:val="18"/>
        </w:rPr>
        <w:t>It is anticipated that the implementation of this proposed rule will increase federal revenue collections by approximately $1,141,658 for FY 26-27 (includes $603 for the administrative expense of promulgation of the proposed rule and final rule), $2,356,444 for FY 27-28, and $2,427,138 for FY 28-29.</w:t>
      </w:r>
    </w:p>
    <w:p w14:paraId="2E19CD1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EDCB655" w14:textId="77777777" w:rsidR="006E50FF" w:rsidRPr="006E50FF" w:rsidRDefault="006E50FF" w:rsidP="006E50FF">
      <w:pPr>
        <w:ind w:left="288" w:firstLine="288"/>
        <w:jc w:val="both"/>
        <w:rPr>
          <w:sz w:val="18"/>
        </w:rPr>
      </w:pPr>
      <w:r w:rsidRPr="006E50FF">
        <w:rPr>
          <w:sz w:val="18"/>
        </w:rPr>
        <w:t>It is anticipated that this proposed rule will increase reimbursements to providers and small businesses by approximately $1,677,750 for FY 26-27, $3,453,678 for FY 27-28, and $3,557,288 for FY 28-29. This proposed rule is expected to have a positive impact on affected persons as it provides Medicaid beneficiaries with more access to dental services.</w:t>
      </w:r>
    </w:p>
    <w:p w14:paraId="644B945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2870062" w14:textId="77777777" w:rsidR="006E50FF" w:rsidRPr="006E50FF" w:rsidRDefault="006E50FF" w:rsidP="006E50FF">
      <w:pPr>
        <w:ind w:left="288" w:firstLine="288"/>
        <w:jc w:val="both"/>
        <w:rPr>
          <w:sz w:val="18"/>
        </w:rPr>
      </w:pPr>
      <w:r w:rsidRPr="006E50FF">
        <w:rPr>
          <w:sz w:val="18"/>
        </w:rPr>
        <w:t>This proposed rule has no known effect on competition and employment.</w:t>
      </w:r>
    </w:p>
    <w:p w14:paraId="50269893" w14:textId="77777777" w:rsidR="006E50FF" w:rsidRPr="006E50FF" w:rsidRDefault="006E50FF" w:rsidP="006E50FF">
      <w:pPr>
        <w:ind w:left="288" w:firstLine="288"/>
        <w:jc w:val="both"/>
        <w:rPr>
          <w:sz w:val="18"/>
        </w:rPr>
      </w:pPr>
    </w:p>
    <w:p w14:paraId="73B82B99" w14:textId="77777777" w:rsidR="006E50FF" w:rsidRPr="006E50FF" w:rsidRDefault="006E50FF" w:rsidP="006E50FF">
      <w:pPr>
        <w:tabs>
          <w:tab w:val="left" w:pos="2880"/>
          <w:tab w:val="decimal" w:pos="2988"/>
        </w:tabs>
        <w:outlineLvl w:val="8"/>
        <w:rPr>
          <w:kern w:val="2"/>
          <w:sz w:val="18"/>
        </w:rPr>
      </w:pPr>
      <w:r w:rsidRPr="006E50FF">
        <w:rPr>
          <w:kern w:val="2"/>
          <w:sz w:val="18"/>
        </w:rPr>
        <w:t>Seth Gold</w:t>
      </w:r>
      <w:r w:rsidRPr="006E50FF">
        <w:rPr>
          <w:kern w:val="2"/>
          <w:sz w:val="18"/>
        </w:rPr>
        <w:tab/>
        <w:t>Alan M. Boxberger</w:t>
      </w:r>
    </w:p>
    <w:p w14:paraId="7B6D7182" w14:textId="77777777" w:rsidR="006E50FF" w:rsidRPr="006E50FF" w:rsidRDefault="006E50FF" w:rsidP="006E50FF">
      <w:pPr>
        <w:tabs>
          <w:tab w:val="left" w:pos="2880"/>
          <w:tab w:val="decimal" w:pos="2988"/>
        </w:tabs>
        <w:outlineLvl w:val="8"/>
        <w:rPr>
          <w:kern w:val="2"/>
          <w:sz w:val="18"/>
        </w:rPr>
      </w:pPr>
      <w:r w:rsidRPr="006E50FF">
        <w:rPr>
          <w:kern w:val="2"/>
          <w:sz w:val="18"/>
        </w:rPr>
        <w:t>Medicaid Executive Director</w:t>
      </w:r>
      <w:r w:rsidRPr="006E50FF">
        <w:rPr>
          <w:kern w:val="2"/>
          <w:sz w:val="18"/>
        </w:rPr>
        <w:tab/>
        <w:t>Legislative Fiscal Officer</w:t>
      </w:r>
    </w:p>
    <w:p w14:paraId="30A87BD8" w14:textId="77777777" w:rsidR="006E50FF" w:rsidRPr="006E50FF" w:rsidRDefault="006E50FF" w:rsidP="006E50FF">
      <w:pPr>
        <w:tabs>
          <w:tab w:val="left" w:pos="2880"/>
          <w:tab w:val="decimal" w:pos="2988"/>
        </w:tabs>
        <w:outlineLvl w:val="8"/>
        <w:rPr>
          <w:kern w:val="2"/>
          <w:sz w:val="18"/>
        </w:rPr>
      </w:pPr>
      <w:r w:rsidRPr="006E50FF">
        <w:rPr>
          <w:noProof/>
          <w:sz w:val="16"/>
        </w:rPr>
        <w:t>2609#050</w:t>
      </w:r>
      <w:r w:rsidRPr="006E50FF">
        <w:rPr>
          <w:kern w:val="2"/>
        </w:rPr>
        <w:tab/>
      </w:r>
      <w:r w:rsidRPr="006E50FF">
        <w:rPr>
          <w:kern w:val="2"/>
          <w:sz w:val="18"/>
        </w:rPr>
        <w:t>Legislative Fiscal Office</w:t>
      </w:r>
    </w:p>
    <w:p w14:paraId="4AA3CB6F" w14:textId="77777777" w:rsidR="006E50FF" w:rsidRPr="006E50FF" w:rsidRDefault="006E50FF" w:rsidP="006E50FF"/>
    <w:p w14:paraId="08C0437C"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52E99D93" w14:textId="77777777" w:rsidR="006E50FF" w:rsidRPr="006E50FF" w:rsidRDefault="006E50FF" w:rsidP="006E50FF">
      <w:pPr>
        <w:keepNext/>
        <w:jc w:val="center"/>
        <w:rPr>
          <w:b/>
          <w:noProof/>
        </w:rPr>
      </w:pPr>
      <w:r w:rsidRPr="006E50FF">
        <w:rPr>
          <w:b/>
          <w:noProof/>
        </w:rPr>
        <w:t>Department of Health</w:t>
      </w:r>
    </w:p>
    <w:p w14:paraId="674EECB6" w14:textId="77777777" w:rsidR="006E50FF" w:rsidRPr="006E50FF" w:rsidRDefault="006E50FF" w:rsidP="006E50FF">
      <w:pPr>
        <w:keepNext/>
        <w:jc w:val="center"/>
        <w:rPr>
          <w:b/>
          <w:noProof/>
        </w:rPr>
      </w:pPr>
      <w:r w:rsidRPr="006E50FF">
        <w:rPr>
          <w:b/>
          <w:noProof/>
        </w:rPr>
        <w:t>Bureau of Health Services Financing</w:t>
      </w:r>
    </w:p>
    <w:p w14:paraId="59DBF9ED" w14:textId="77777777" w:rsidR="006E50FF" w:rsidRPr="006E50FF" w:rsidRDefault="006E50FF" w:rsidP="006E50FF">
      <w:pPr>
        <w:keepNext/>
        <w:jc w:val="center"/>
        <w:rPr>
          <w:b/>
          <w:noProof/>
        </w:rPr>
      </w:pPr>
      <w:r w:rsidRPr="006E50FF">
        <w:rPr>
          <w:b/>
          <w:noProof/>
        </w:rPr>
        <w:t>and</w:t>
      </w:r>
    </w:p>
    <w:p w14:paraId="670FE3F1" w14:textId="77777777" w:rsidR="006E50FF" w:rsidRPr="006E50FF" w:rsidRDefault="006E50FF" w:rsidP="006E50FF">
      <w:pPr>
        <w:keepNext/>
        <w:jc w:val="center"/>
        <w:rPr>
          <w:b/>
          <w:noProof/>
        </w:rPr>
      </w:pPr>
      <w:r w:rsidRPr="006E50FF">
        <w:rPr>
          <w:b/>
          <w:noProof/>
        </w:rPr>
        <w:t>Office of Behavioral Health</w:t>
      </w:r>
    </w:p>
    <w:p w14:paraId="67A89580" w14:textId="77777777" w:rsidR="006E50FF" w:rsidRPr="006E50FF" w:rsidRDefault="006E50FF" w:rsidP="006E50FF">
      <w:pPr>
        <w:keepNext/>
        <w:spacing w:before="240" w:after="240"/>
        <w:jc w:val="center"/>
        <w:rPr>
          <w:noProof/>
        </w:rPr>
      </w:pPr>
      <w:r w:rsidRPr="006E50FF">
        <w:rPr>
          <w:noProof/>
        </w:rPr>
        <w:t>Behavioral Health Services</w:t>
      </w:r>
      <w:r w:rsidRPr="006E50FF">
        <w:rPr>
          <w:noProof/>
        </w:rPr>
        <w:br/>
        <w:t>(LAC 50:XXXIII.2301, 2303, 6301, and 6307)</w:t>
      </w:r>
    </w:p>
    <w:p w14:paraId="497C40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proposes to amend LAC 50:XXXIII.2301, 2303, 6301, and 6307 in the Medical Assistance Program as authorized by R.S. 36:254 and pursuant to Title XIX of the Social Security Act. This proposed Rule is promulgated in accordance with the provisions of the Administrative Procedure Act, R.S. 49:950 et seq.</w:t>
      </w:r>
    </w:p>
    <w:p w14:paraId="3EC2F8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600" w:name="_Hlk237425831"/>
      <w:r w:rsidRPr="006E50FF">
        <w:rPr>
          <w:kern w:val="2"/>
        </w:rPr>
        <w:t>The Department of Health, Bureau of Health Services Financing and Office of Behavioral Health propose to amend the provisions governing behavioral health services. The proposed Rule places limits on the amount of community psychiatric support and treatment (CPST) and psychosocial rehabilitation (PSR) services provided in a single day. The proposed Rule also complies with Act 476 of the 2026 Regular Session of the Louisiana Legislature, which requires Medicaid to provide telehealth options for PSR.</w:t>
      </w:r>
    </w:p>
    <w:bookmarkEnd w:id="600"/>
    <w:p w14:paraId="58BD0D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67B7D0F4" w14:textId="77777777" w:rsidR="006E50FF" w:rsidRPr="006E50FF" w:rsidRDefault="006E50FF" w:rsidP="006E50FF">
      <w:pPr>
        <w:keepNext/>
        <w:jc w:val="center"/>
        <w:rPr>
          <w:b/>
          <w:kern w:val="28"/>
        </w:rPr>
      </w:pPr>
      <w:r w:rsidRPr="006E50FF">
        <w:rPr>
          <w:b/>
          <w:kern w:val="28"/>
        </w:rPr>
        <w:t>Title 50</w:t>
      </w:r>
    </w:p>
    <w:p w14:paraId="11D804BF" w14:textId="77777777" w:rsidR="006E50FF" w:rsidRPr="006E50FF" w:rsidRDefault="006E50FF" w:rsidP="006E50FF">
      <w:pPr>
        <w:keepNext/>
        <w:jc w:val="center"/>
        <w:rPr>
          <w:b/>
          <w:kern w:val="28"/>
        </w:rPr>
      </w:pPr>
      <w:r w:rsidRPr="006E50FF">
        <w:rPr>
          <w:b/>
          <w:kern w:val="28"/>
        </w:rPr>
        <w:t>PUBLIC HEALTH—MEDICAL ASSISTANCE</w:t>
      </w:r>
    </w:p>
    <w:p w14:paraId="273AE0A4" w14:textId="77777777" w:rsidR="006E50FF" w:rsidRPr="006E50FF" w:rsidRDefault="006E50FF" w:rsidP="006E50FF">
      <w:pPr>
        <w:keepNext/>
        <w:jc w:val="center"/>
        <w:rPr>
          <w:b/>
          <w:noProof/>
        </w:rPr>
      </w:pPr>
      <w:r w:rsidRPr="006E50FF">
        <w:rPr>
          <w:b/>
          <w:noProof/>
        </w:rPr>
        <w:t>Part XXXIII.  Behavioral Health Services</w:t>
      </w:r>
    </w:p>
    <w:p w14:paraId="18C8B179" w14:textId="77777777" w:rsidR="006E50FF" w:rsidRPr="006E50FF" w:rsidRDefault="006E50FF" w:rsidP="006E50FF">
      <w:pPr>
        <w:keepNext/>
        <w:jc w:val="center"/>
        <w:rPr>
          <w:b/>
          <w:noProof/>
        </w:rPr>
      </w:pPr>
      <w:r w:rsidRPr="006E50FF">
        <w:rPr>
          <w:b/>
          <w:noProof/>
        </w:rPr>
        <w:t>Subpart 3.  Children's Mental Health Services</w:t>
      </w:r>
    </w:p>
    <w:p w14:paraId="664D23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Services</w:t>
      </w:r>
    </w:p>
    <w:p w14:paraId="38628BA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§2301.</w:t>
      </w:r>
      <w:r w:rsidRPr="006E50FF">
        <w:rPr>
          <w:b/>
          <w:kern w:val="2"/>
        </w:rPr>
        <w:tab/>
        <w:t>General Provisions</w:t>
      </w:r>
    </w:p>
    <w:p w14:paraId="3794FB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697043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Services may be provided at a site-based facility, in the community, or in the individual’s place of residence as outlined in the treatment plan. Services may be delivered via telehealth in accordance with R.S. 40:1223.1 et seq.</w:t>
      </w:r>
    </w:p>
    <w:p w14:paraId="12D738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65B10E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38:364 (February 2012), amended by the Department of Health and Hospitals, Bureau of Health Services Financing and the Office of Behavioral Health, LR 41:2358 (November 2015), amended by the Department of Health, Bureau of Health Services Financing and the Office of Behavioral Health, LR 44:1892 (October 2018), LR 50:983 (July 2024), LR 52:</w:t>
      </w:r>
    </w:p>
    <w:p w14:paraId="547617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§2303.</w:t>
      </w:r>
      <w:r w:rsidRPr="006E50FF">
        <w:rPr>
          <w:b/>
          <w:kern w:val="2"/>
        </w:rPr>
        <w:tab/>
        <w:t>Covered Services</w:t>
      </w:r>
    </w:p>
    <w:p w14:paraId="517E6A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B.5.</w:t>
      </w:r>
      <w:r w:rsidRPr="006E50FF">
        <w:rPr>
          <w:kern w:val="2"/>
        </w:rPr>
        <w:tab/>
        <w:t>...</w:t>
      </w:r>
    </w:p>
    <w:p w14:paraId="79BA3C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8B36D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CPST and PSR services shall be limited to a combined maximum of four hours per day, per recipient, unless the MCO or CSoC contractor approves an exception in writing prior to the delivery of any service exceeding the four-hour daily limit based on medical necessity. The four-hour daily limit excludes the following evidence-based practices:</w:t>
      </w:r>
    </w:p>
    <w:p w14:paraId="167A09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homebuilders;</w:t>
      </w:r>
    </w:p>
    <w:p w14:paraId="62CA52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functional family therapy;</w:t>
      </w:r>
    </w:p>
    <w:p w14:paraId="06BF85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functional family therapy – child welfare;</w:t>
      </w:r>
    </w:p>
    <w:p w14:paraId="7C7BFF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multi-systemic therapy; and</w:t>
      </w:r>
    </w:p>
    <w:p w14:paraId="3C0C8E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permanent supportive housing.</w:t>
      </w:r>
    </w:p>
    <w:p w14:paraId="48C876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PSR services may be delivered via telehealth when the MCO or CSoC contractor determines that telehealth is clinically appropriate for the specific PSR interventions identified in the individualized treatment plan.</w:t>
      </w:r>
    </w:p>
    <w:p w14:paraId="4D8464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provider's medical director or LMHP shall submit the following documentation:</w:t>
      </w:r>
    </w:p>
    <w:p w14:paraId="6B03400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of the specific interventions proposed for telehealth delivery;</w:t>
      </w:r>
    </w:p>
    <w:p w14:paraId="76BB284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number of units proposed for delivery via telehealth; and</w:t>
      </w:r>
    </w:p>
    <w:p w14:paraId="0505E5D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informed consent from the recipient, or when applicable, the recipient's legal guardian.</w:t>
      </w:r>
    </w:p>
    <w:p w14:paraId="4E4E66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30C50B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38:364 (February 2012), amended by the Department of Health and Hospitals, Bureau of Health Services Financing and the Office of Behavioral Health, LR 41:2359 (November 2015), amended by the Department of Health, Bureau of Health Services Financing and the Office of Behavioral Health, LR 44:1892 (October 2018), LR 50:983 (July 2024), amended by the Department of Health, Bureau of Health Services Financing, LR 52:496 (April 2026), amended by the Department of Health, Bureau of Health Services Financing and the Office of Behavioral Health, LR 52:</w:t>
      </w:r>
    </w:p>
    <w:p w14:paraId="1262B056" w14:textId="77777777" w:rsidR="006E50FF" w:rsidRPr="006E50FF" w:rsidRDefault="006E50FF" w:rsidP="006E50FF">
      <w:pPr>
        <w:keepNext/>
        <w:jc w:val="center"/>
        <w:rPr>
          <w:b/>
          <w:noProof/>
        </w:rPr>
      </w:pPr>
      <w:r w:rsidRPr="006E50FF">
        <w:rPr>
          <w:b/>
          <w:noProof/>
        </w:rPr>
        <w:t>Subpart 7.  Adult Mental Health Services</w:t>
      </w:r>
    </w:p>
    <w:p w14:paraId="6F13863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63.</w:t>
      </w:r>
      <w:r w:rsidRPr="006E50FF">
        <w:rPr>
          <w:b/>
          <w:kern w:val="2"/>
        </w:rPr>
        <w:tab/>
        <w:t>Services</w:t>
      </w:r>
    </w:p>
    <w:p w14:paraId="5B0FF36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§6301.</w:t>
      </w:r>
      <w:r w:rsidRPr="006E50FF">
        <w:rPr>
          <w:b/>
          <w:kern w:val="2"/>
        </w:rPr>
        <w:tab/>
        <w:t>General Provisions</w:t>
      </w:r>
    </w:p>
    <w:p w14:paraId="0DFA46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55634B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Services may be provided at a facility, in the community, or in the individual’s place of residence as outlined in the treatment plan. Services may be furnished in a nursing facility only in accordance with policies and procedures issued by the department. Services may be delivered via telehealth in accordance with R.S. 40:1223.1 et seq.</w:t>
      </w:r>
    </w:p>
    <w:p w14:paraId="5D59D9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AEF49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38:359 (February 2012), amended by the Department of Health and Hospitals, Bureau of Health Services Financing and the Office of Behavioral Health, LR 41:378 (February 2015), LR 42:60 (January 2016), amended by the Department of Health, Bureau of Health Services Financing and the Office of Behavioral Health, LR 44:1014 (June 2018), repromulgated LR 46:952 (July 2020), amended LR 50:983 (July 2024), LR 52:</w:t>
      </w:r>
    </w:p>
    <w:p w14:paraId="28D8468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§6307.</w:t>
      </w:r>
      <w:r w:rsidRPr="006E50FF">
        <w:rPr>
          <w:b/>
          <w:kern w:val="2"/>
        </w:rPr>
        <w:tab/>
        <w:t>Covered Services</w:t>
      </w:r>
    </w:p>
    <w:p w14:paraId="0C158A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318035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CPST and PSR services shall be limited to a combined maximum of four hours per day, per recipient, unless the MCO or CSoC contractor approves an exception in writing prior to the delivery of any service exceeding the four-hour daily limit based on medical necessity. The four-hour daily </w:t>
      </w:r>
      <w:r w:rsidRPr="006E50FF">
        <w:rPr>
          <w:kern w:val="2"/>
        </w:rPr>
        <w:t>limit excludes the evidence-based practice of permanent supportive housing.</w:t>
      </w:r>
    </w:p>
    <w:p w14:paraId="1E9972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PSR services may be delivered via telehealth when the MCO or CSoC contractor determines that telehealth is clinically appropriate for the specific PSR interventions identified in the individualized treatment plan.</w:t>
      </w:r>
    </w:p>
    <w:p w14:paraId="7FBBAB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provider's medical director or LMHP shall submit the following documentation:</w:t>
      </w:r>
    </w:p>
    <w:p w14:paraId="5D9E473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of the specific interventions proposed for telehealth delivery;</w:t>
      </w:r>
    </w:p>
    <w:p w14:paraId="1C1E46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number of units proposed for delivery via telehealth; and</w:t>
      </w:r>
    </w:p>
    <w:p w14:paraId="509570F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informed consent from the recipient, or when applicable, the recipient's legal guardian.</w:t>
      </w:r>
    </w:p>
    <w:p w14:paraId="101B51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030613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38:359 (February 2012), amended by the Department of Health and Hospitals, Bureau of Health Services Financing and the Office of Behavioral Health, LR 42:61 (January 2016), amended by the Department of Health, Bureau of Health Services Financing and the Office of Behavioral Health, LR 44:1015 (June 2018), LR 46:795 (June 2020), repromulgated LR 46:952 (July 2020), amended LR 46:1680 (December 2020), LR 48:1098 (April 2022), LR 50:984 (July 2024), amended by the Department of Health, Bureau of Health Services Financing, LR 52:497 (April 2026), amended by the Department of Health, Bureau of Health Services Financing and the Office of Health, LR 52:</w:t>
      </w:r>
    </w:p>
    <w:p w14:paraId="1B381A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52628C06" w14:textId="77777777" w:rsidR="006E50FF" w:rsidRPr="006E50FF" w:rsidRDefault="006E50FF" w:rsidP="006E50FF">
      <w:pPr>
        <w:keepNext/>
        <w:jc w:val="center"/>
        <w:rPr>
          <w:b/>
          <w:kern w:val="28"/>
        </w:rPr>
      </w:pPr>
      <w:r w:rsidRPr="006E50FF">
        <w:rPr>
          <w:b/>
          <w:kern w:val="28"/>
        </w:rPr>
        <w:t>Family Impact Statement</w:t>
      </w:r>
    </w:p>
    <w:p w14:paraId="29A2A4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a positive impact on family functioning, stability and autonomy as described in R.S. 49:972 since it allows for telehealth in psychosocial rehabilitation services.</w:t>
      </w:r>
    </w:p>
    <w:p w14:paraId="5F8D0EDF" w14:textId="77777777" w:rsidR="006E50FF" w:rsidRPr="006E50FF" w:rsidRDefault="006E50FF" w:rsidP="006E50FF">
      <w:pPr>
        <w:keepNext/>
        <w:jc w:val="center"/>
        <w:rPr>
          <w:b/>
          <w:kern w:val="28"/>
        </w:rPr>
      </w:pPr>
      <w:r w:rsidRPr="006E50FF">
        <w:rPr>
          <w:b/>
          <w:kern w:val="28"/>
        </w:rPr>
        <w:t>Poverty Impact Statement</w:t>
      </w:r>
    </w:p>
    <w:p w14:paraId="41807B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790C969B" w14:textId="77777777" w:rsidR="006E50FF" w:rsidRPr="006E50FF" w:rsidRDefault="006E50FF" w:rsidP="006E50FF">
      <w:pPr>
        <w:keepNext/>
        <w:jc w:val="center"/>
        <w:rPr>
          <w:b/>
          <w:kern w:val="28"/>
        </w:rPr>
      </w:pPr>
      <w:r w:rsidRPr="006E50FF">
        <w:rPr>
          <w:b/>
          <w:kern w:val="28"/>
        </w:rPr>
        <w:t>Small Business Analysis</w:t>
      </w:r>
    </w:p>
    <w:p w14:paraId="72FAC2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small businesses.</w:t>
      </w:r>
    </w:p>
    <w:p w14:paraId="19039A10" w14:textId="77777777" w:rsidR="006E50FF" w:rsidRPr="006E50FF" w:rsidRDefault="006E50FF" w:rsidP="006E50FF">
      <w:pPr>
        <w:keepNext/>
        <w:jc w:val="center"/>
        <w:rPr>
          <w:b/>
          <w:kern w:val="28"/>
        </w:rPr>
      </w:pPr>
      <w:r w:rsidRPr="006E50FF">
        <w:rPr>
          <w:b/>
          <w:kern w:val="28"/>
        </w:rPr>
        <w:t>Provider Impact Statement</w:t>
      </w:r>
    </w:p>
    <w:p w14:paraId="3A3A26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provide the same level of service as described in HCR 170.</w:t>
      </w:r>
    </w:p>
    <w:p w14:paraId="63DAB8FF" w14:textId="77777777" w:rsidR="006E50FF" w:rsidRPr="006E50FF" w:rsidRDefault="006E50FF" w:rsidP="006E50FF">
      <w:pPr>
        <w:keepNext/>
        <w:jc w:val="center"/>
        <w:rPr>
          <w:b/>
          <w:kern w:val="28"/>
        </w:rPr>
      </w:pPr>
      <w:r w:rsidRPr="006E50FF">
        <w:rPr>
          <w:b/>
          <w:kern w:val="28"/>
        </w:rPr>
        <w:lastRenderedPageBreak/>
        <w:t>Public Comments</w:t>
      </w:r>
    </w:p>
    <w:p w14:paraId="58F7F4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Tangela Womack, Bureau of Health Services Financing, P.O. Box 91030, Baton Rouge, LA 70821-9030. Ms. Womack is responsible for responding to inquiries regarding this proposed Rule. The deadline for submitting written comments is October 20, 2026.</w:t>
      </w:r>
    </w:p>
    <w:p w14:paraId="3B700D0B" w14:textId="77777777" w:rsidR="006E50FF" w:rsidRPr="006E50FF" w:rsidRDefault="006E50FF" w:rsidP="006E50FF">
      <w:pPr>
        <w:keepNext/>
        <w:jc w:val="center"/>
        <w:rPr>
          <w:b/>
          <w:kern w:val="28"/>
        </w:rPr>
      </w:pPr>
      <w:r w:rsidRPr="006E50FF">
        <w:rPr>
          <w:b/>
          <w:kern w:val="28"/>
        </w:rPr>
        <w:t>Public Hearing</w:t>
      </w:r>
    </w:p>
    <w:p w14:paraId="54B128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12, 2026. If the criteria set forth in R.S. 49:961(B)(1) are satisfied, LDH will conduct a public hearing at 9:30 a.m. on October 29, 2026, in Room 118 of the Bienville Building, which is located at 628 North Fourth Street, Baton Rouge, LA. To confirm whether a public hearing will be held, interested persons should first call Allen Enger at (225) 342-1342 after October 12, 2026. If a public hearing is to be held, all interested persons are invited to attend and present data, views, comments, or arguments, orally or in writing.</w:t>
      </w:r>
    </w:p>
    <w:p w14:paraId="2B7CD6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F4A7A13" w14:textId="77777777" w:rsidR="006E50FF" w:rsidRPr="006E50FF" w:rsidRDefault="006E50FF" w:rsidP="006E50FF">
      <w:pPr>
        <w:keepNext/>
        <w:ind w:left="2160"/>
        <w:jc w:val="both"/>
      </w:pPr>
      <w:r w:rsidRPr="006E50FF">
        <w:t>Bruce D. Greenstein</w:t>
      </w:r>
    </w:p>
    <w:p w14:paraId="173A1CCC" w14:textId="77777777" w:rsidR="006E50FF" w:rsidRPr="006E50FF" w:rsidRDefault="006E50FF" w:rsidP="006E50FF">
      <w:pPr>
        <w:keepNext/>
        <w:ind w:left="2160"/>
        <w:jc w:val="both"/>
      </w:pPr>
      <w:r w:rsidRPr="006E50FF">
        <w:t>Secretary</w:t>
      </w:r>
    </w:p>
    <w:p w14:paraId="2B6F752F" w14:textId="77777777" w:rsidR="006E50FF" w:rsidRPr="006E50FF" w:rsidRDefault="006E50FF" w:rsidP="006E50FF">
      <w:pPr>
        <w:keepNext/>
        <w:jc w:val="center"/>
        <w:rPr>
          <w:b/>
        </w:rPr>
      </w:pPr>
    </w:p>
    <w:p w14:paraId="6DEF52F4" w14:textId="77777777" w:rsidR="006E50FF" w:rsidRPr="006E50FF" w:rsidRDefault="006E50FF" w:rsidP="006E50FF">
      <w:pPr>
        <w:keepNext/>
        <w:jc w:val="center"/>
        <w:rPr>
          <w:b/>
        </w:rPr>
      </w:pPr>
      <w:r w:rsidRPr="006E50FF">
        <w:rPr>
          <w:b/>
        </w:rPr>
        <w:t>FISCAL AND ECONOMIC IMPACT STATEMENT FOR ADMINISTRATIVE RULES</w:t>
      </w:r>
    </w:p>
    <w:p w14:paraId="114E5467" w14:textId="77777777" w:rsidR="006E50FF" w:rsidRPr="006E50FF" w:rsidRDefault="006E50FF" w:rsidP="006E50FF">
      <w:pPr>
        <w:keepNext/>
        <w:jc w:val="center"/>
        <w:rPr>
          <w:b/>
          <w:noProof/>
        </w:rPr>
      </w:pPr>
      <w:r w:rsidRPr="006E50FF">
        <w:rPr>
          <w:b/>
          <w:noProof/>
        </w:rPr>
        <w:t>RULE TITLE:  Behavioral Health Services</w:t>
      </w:r>
    </w:p>
    <w:p w14:paraId="0508AD5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8EEA5B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6593A46"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not have a fiscal impact to the state except $533 SGF for the state's share of the administrative expense of promulgation of the proposed rule and final rule in FY 26-27.</w:t>
      </w:r>
    </w:p>
    <w:p w14:paraId="181D5783" w14:textId="77777777" w:rsidR="006E50FF" w:rsidRPr="006E50FF" w:rsidRDefault="006E50FF" w:rsidP="006E50FF">
      <w:pPr>
        <w:ind w:left="288" w:firstLine="288"/>
        <w:jc w:val="both"/>
        <w:rPr>
          <w:sz w:val="18"/>
        </w:rPr>
      </w:pPr>
      <w:r w:rsidRPr="006E50FF">
        <w:rPr>
          <w:sz w:val="18"/>
        </w:rPr>
        <w:t>The proposed rule places limits on the hours of community psychiatric support and treatment (CPST) and psychosocial rehabilitation (PSR) services provided in a single day. In compliance with Act 476 of the 2026 RS, the proposed rule also allows PSR services to be provided through telehealth when clinically appropriate.</w:t>
      </w:r>
    </w:p>
    <w:p w14:paraId="38B30C64"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7EF1CF6" w14:textId="77777777" w:rsidR="006E50FF" w:rsidRPr="006E50FF" w:rsidRDefault="006E50FF" w:rsidP="006E50FF">
      <w:pPr>
        <w:ind w:left="288" w:firstLine="288"/>
        <w:jc w:val="both"/>
        <w:rPr>
          <w:sz w:val="18"/>
        </w:rPr>
      </w:pPr>
      <w:r w:rsidRPr="006E50FF">
        <w:rPr>
          <w:sz w:val="18"/>
        </w:rPr>
        <w:t>It is anticipated that implementation of this proposed rule will have no fiscal impact on revenue collections other than $532 for the federal share of the administrative cost of promulgation of the proposed rule and final rule in FY 26-27.</w:t>
      </w:r>
    </w:p>
    <w:p w14:paraId="3B36F1E5"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5EAA094" w14:textId="77777777" w:rsidR="006E50FF" w:rsidRPr="006E50FF" w:rsidRDefault="006E50FF" w:rsidP="006E50FF">
      <w:pPr>
        <w:ind w:left="288" w:firstLine="288"/>
        <w:jc w:val="both"/>
        <w:rPr>
          <w:sz w:val="18"/>
        </w:rPr>
      </w:pPr>
      <w:r w:rsidRPr="006E50FF">
        <w:rPr>
          <w:sz w:val="18"/>
        </w:rPr>
        <w:t>This proposed rule is expected to have a positive impact on affected persons and providers, since it will allow Medicaid beneficiaries to receive psychosocial rehabilitation services through telehealth when clinically appropriate. It is not anticipated that this proposed rule will have a fiscal impact, because the limits on daily services are not expected to affect existing services.</w:t>
      </w:r>
    </w:p>
    <w:p w14:paraId="551F250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6DD7B61" w14:textId="77777777" w:rsidR="006E50FF" w:rsidRPr="006E50FF" w:rsidRDefault="006E50FF" w:rsidP="006E50FF">
      <w:pPr>
        <w:ind w:left="288" w:firstLine="288"/>
        <w:jc w:val="both"/>
        <w:rPr>
          <w:sz w:val="18"/>
        </w:rPr>
      </w:pPr>
      <w:r w:rsidRPr="006E50FF">
        <w:rPr>
          <w:sz w:val="18"/>
        </w:rPr>
        <w:t>This proposed rule has no known effect on competition and employment.</w:t>
      </w:r>
    </w:p>
    <w:p w14:paraId="19D3044B" w14:textId="77777777" w:rsidR="006E50FF" w:rsidRPr="006E50FF" w:rsidRDefault="006E50FF" w:rsidP="006E50FF">
      <w:pPr>
        <w:ind w:left="288" w:firstLine="288"/>
        <w:jc w:val="both"/>
        <w:rPr>
          <w:sz w:val="18"/>
        </w:rPr>
      </w:pPr>
    </w:p>
    <w:p w14:paraId="4F5872BC" w14:textId="77777777" w:rsidR="006E50FF" w:rsidRPr="006E50FF" w:rsidRDefault="006E50FF" w:rsidP="006E50FF">
      <w:pPr>
        <w:tabs>
          <w:tab w:val="left" w:pos="2880"/>
          <w:tab w:val="decimal" w:pos="2988"/>
        </w:tabs>
        <w:outlineLvl w:val="8"/>
        <w:rPr>
          <w:kern w:val="2"/>
          <w:sz w:val="18"/>
        </w:rPr>
      </w:pPr>
      <w:r w:rsidRPr="006E50FF">
        <w:rPr>
          <w:kern w:val="2"/>
          <w:sz w:val="18"/>
        </w:rPr>
        <w:t>Seth Gold</w:t>
      </w:r>
      <w:r w:rsidRPr="006E50FF">
        <w:rPr>
          <w:kern w:val="2"/>
          <w:sz w:val="18"/>
        </w:rPr>
        <w:tab/>
        <w:t>Alan M. Boxberger</w:t>
      </w:r>
    </w:p>
    <w:p w14:paraId="0F3666B3" w14:textId="77777777" w:rsidR="006E50FF" w:rsidRPr="006E50FF" w:rsidRDefault="006E50FF" w:rsidP="006E50FF">
      <w:pPr>
        <w:tabs>
          <w:tab w:val="left" w:pos="2880"/>
          <w:tab w:val="decimal" w:pos="2988"/>
        </w:tabs>
        <w:outlineLvl w:val="8"/>
        <w:rPr>
          <w:kern w:val="2"/>
          <w:sz w:val="18"/>
        </w:rPr>
      </w:pPr>
      <w:r w:rsidRPr="006E50FF">
        <w:rPr>
          <w:kern w:val="2"/>
          <w:sz w:val="18"/>
        </w:rPr>
        <w:t>Medicaid Director</w:t>
      </w:r>
      <w:r w:rsidRPr="006E50FF">
        <w:rPr>
          <w:kern w:val="2"/>
          <w:sz w:val="18"/>
        </w:rPr>
        <w:tab/>
        <w:t>Legislative Fiscal Officer</w:t>
      </w:r>
    </w:p>
    <w:p w14:paraId="350E90AF" w14:textId="77777777" w:rsidR="006E50FF" w:rsidRPr="006E50FF" w:rsidRDefault="006E50FF" w:rsidP="006E50FF">
      <w:pPr>
        <w:tabs>
          <w:tab w:val="left" w:pos="2880"/>
          <w:tab w:val="decimal" w:pos="2988"/>
        </w:tabs>
        <w:outlineLvl w:val="8"/>
        <w:rPr>
          <w:kern w:val="2"/>
          <w:sz w:val="18"/>
        </w:rPr>
      </w:pPr>
      <w:r w:rsidRPr="006E50FF">
        <w:rPr>
          <w:noProof/>
          <w:sz w:val="16"/>
        </w:rPr>
        <w:t>2609#052</w:t>
      </w:r>
      <w:r w:rsidRPr="006E50FF">
        <w:rPr>
          <w:kern w:val="2"/>
        </w:rPr>
        <w:tab/>
      </w:r>
      <w:r w:rsidRPr="006E50FF">
        <w:rPr>
          <w:kern w:val="2"/>
          <w:sz w:val="18"/>
        </w:rPr>
        <w:t>Legislative Fiscal Office</w:t>
      </w:r>
    </w:p>
    <w:p w14:paraId="0AD15122"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B224ABD" w14:textId="77777777" w:rsidR="006E50FF" w:rsidRPr="006E50FF" w:rsidRDefault="006E50FF" w:rsidP="006E50FF">
      <w:pPr>
        <w:keepNext/>
        <w:jc w:val="center"/>
        <w:rPr>
          <w:b/>
          <w:noProof/>
        </w:rPr>
      </w:pPr>
      <w:r w:rsidRPr="006E50FF">
        <w:rPr>
          <w:b/>
          <w:noProof/>
        </w:rPr>
        <w:t>Department of Health</w:t>
      </w:r>
    </w:p>
    <w:p w14:paraId="0D99EFC8" w14:textId="77777777" w:rsidR="006E50FF" w:rsidRPr="006E50FF" w:rsidRDefault="006E50FF" w:rsidP="006E50FF">
      <w:pPr>
        <w:keepNext/>
        <w:jc w:val="center"/>
        <w:rPr>
          <w:b/>
          <w:noProof/>
        </w:rPr>
      </w:pPr>
      <w:r w:rsidRPr="006E50FF">
        <w:rPr>
          <w:b/>
          <w:noProof/>
        </w:rPr>
        <w:t>Bureau of Health Services Financing</w:t>
      </w:r>
    </w:p>
    <w:p w14:paraId="65908B32" w14:textId="77777777" w:rsidR="006E50FF" w:rsidRPr="006E50FF" w:rsidRDefault="006E50FF" w:rsidP="006E50FF">
      <w:pPr>
        <w:keepNext/>
        <w:jc w:val="center"/>
        <w:rPr>
          <w:b/>
          <w:noProof/>
        </w:rPr>
      </w:pPr>
      <w:r w:rsidRPr="006E50FF">
        <w:rPr>
          <w:b/>
          <w:noProof/>
        </w:rPr>
        <w:t>and</w:t>
      </w:r>
    </w:p>
    <w:p w14:paraId="7538D833" w14:textId="77777777" w:rsidR="006E50FF" w:rsidRPr="006E50FF" w:rsidRDefault="006E50FF" w:rsidP="006E50FF">
      <w:pPr>
        <w:keepNext/>
        <w:jc w:val="center"/>
        <w:rPr>
          <w:b/>
          <w:noProof/>
        </w:rPr>
      </w:pPr>
      <w:r w:rsidRPr="006E50FF">
        <w:rPr>
          <w:b/>
          <w:noProof/>
        </w:rPr>
        <w:t>Office of Behavioral Health</w:t>
      </w:r>
    </w:p>
    <w:p w14:paraId="20CB10F8" w14:textId="77777777" w:rsidR="006E50FF" w:rsidRPr="006E50FF" w:rsidRDefault="006E50FF" w:rsidP="006E50FF">
      <w:pPr>
        <w:keepNext/>
        <w:spacing w:before="240" w:after="240"/>
        <w:jc w:val="center"/>
        <w:rPr>
          <w:noProof/>
        </w:rPr>
      </w:pPr>
      <w:r w:rsidRPr="006E50FF">
        <w:rPr>
          <w:noProof/>
        </w:rPr>
        <w:t>Independent Review for Coordinated System of Care</w:t>
      </w:r>
      <w:r w:rsidRPr="006E50FF">
        <w:rPr>
          <w:noProof/>
        </w:rPr>
        <w:br/>
        <w:t>(LAC 50:I.3111 and XXXIII.8503)</w:t>
      </w:r>
    </w:p>
    <w:p w14:paraId="2956B8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and the Office of Behavioral Health propose to amend LAC 50:I.3111 and adopt LAC 50:XXXIII.8503 in the Medical Assistance Program as authorized by R.S. 36:254 and pursuant to Title XIX of the Social Security Act. This proposed Rule is promulgated in accordance with the provisions of the Administrative Procedure Act, R.S. 49:950 et seq.</w:t>
      </w:r>
    </w:p>
    <w:p w14:paraId="7EDFF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601" w:name="_Hlk237288419"/>
      <w:bookmarkStart w:id="602" w:name="_Hlk237286115"/>
      <w:r w:rsidRPr="006E50FF">
        <w:rPr>
          <w:kern w:val="2"/>
        </w:rPr>
        <w:t xml:space="preserve">The Department of Health, Bureau of Health Services Financing and the Office of Behavioral Health propose to amend </w:t>
      </w:r>
      <w:bookmarkStart w:id="603" w:name="_Hlk237288257"/>
      <w:r w:rsidRPr="006E50FF">
        <w:rPr>
          <w:kern w:val="2"/>
        </w:rPr>
        <w:t xml:space="preserve">the provisions governing </w:t>
      </w:r>
      <w:bookmarkStart w:id="604" w:name="_Hlk237425252"/>
      <w:r w:rsidRPr="006E50FF">
        <w:rPr>
          <w:kern w:val="2"/>
        </w:rPr>
        <w:t>the right of providers to independent review. Act 668 of the 2026 Regular Session of the Louisiana Legislature expanded the independent review statute so that it applies to claims filed on or after January 1, 2027, with the Coordinated System of Care (CSoC) contractor. This proposed Rule adds a definition for managed care organization in the independent review Section. Additionally, this proposed Rule adopts a new Section governing the CSoC waiver which matches the independent review process in LAC 50:I.3111 and requires that all reviews follow the department’s approved standards, policies, and medical</w:t>
      </w:r>
      <w:r w:rsidRPr="006E50FF">
        <w:rPr>
          <w:rFonts w:ascii="Cambria Math" w:hAnsi="Cambria Math" w:cs="Cambria Math"/>
          <w:kern w:val="2"/>
        </w:rPr>
        <w:t xml:space="preserve"> </w:t>
      </w:r>
      <w:r w:rsidRPr="006E50FF">
        <w:rPr>
          <w:kern w:val="2"/>
        </w:rPr>
        <w:t>necessity criteria.</w:t>
      </w:r>
      <w:bookmarkEnd w:id="603"/>
    </w:p>
    <w:bookmarkEnd w:id="601"/>
    <w:bookmarkEnd w:id="604"/>
    <w:p w14:paraId="717787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bookmarkEnd w:id="602"/>
    <w:p w14:paraId="118A8BEB" w14:textId="77777777" w:rsidR="006E50FF" w:rsidRPr="006E50FF" w:rsidRDefault="006E50FF" w:rsidP="006E50FF">
      <w:pPr>
        <w:keepNext/>
        <w:jc w:val="center"/>
        <w:rPr>
          <w:b/>
          <w:kern w:val="28"/>
        </w:rPr>
      </w:pPr>
      <w:r w:rsidRPr="006E50FF">
        <w:rPr>
          <w:b/>
          <w:kern w:val="28"/>
        </w:rPr>
        <w:t>Title 50</w:t>
      </w:r>
    </w:p>
    <w:p w14:paraId="0B266880" w14:textId="77777777" w:rsidR="006E50FF" w:rsidRPr="006E50FF" w:rsidRDefault="006E50FF" w:rsidP="006E50FF">
      <w:pPr>
        <w:keepNext/>
        <w:jc w:val="center"/>
        <w:rPr>
          <w:b/>
          <w:kern w:val="28"/>
        </w:rPr>
      </w:pPr>
      <w:r w:rsidRPr="006E50FF">
        <w:rPr>
          <w:b/>
          <w:kern w:val="28"/>
        </w:rPr>
        <w:t>PUBLIC HEALTH—MEDICAL ASSISTANCE</w:t>
      </w:r>
    </w:p>
    <w:p w14:paraId="5B83BDD5" w14:textId="77777777" w:rsidR="006E50FF" w:rsidRPr="006E50FF" w:rsidRDefault="006E50FF" w:rsidP="006E50FF">
      <w:pPr>
        <w:keepNext/>
        <w:jc w:val="center"/>
        <w:rPr>
          <w:b/>
          <w:noProof/>
        </w:rPr>
      </w:pPr>
      <w:r w:rsidRPr="006E50FF">
        <w:rPr>
          <w:b/>
          <w:noProof/>
        </w:rPr>
        <w:t>Part I.  Administration</w:t>
      </w:r>
    </w:p>
    <w:p w14:paraId="68166B38" w14:textId="77777777" w:rsidR="006E50FF" w:rsidRPr="006E50FF" w:rsidRDefault="006E50FF" w:rsidP="006E50FF">
      <w:pPr>
        <w:keepNext/>
        <w:jc w:val="center"/>
        <w:rPr>
          <w:b/>
          <w:noProof/>
        </w:rPr>
      </w:pPr>
      <w:r w:rsidRPr="006E50FF">
        <w:rPr>
          <w:b/>
          <w:noProof/>
        </w:rPr>
        <w:t>Subpart 3.  Managed Care for Physical and Behavioral Health</w:t>
      </w:r>
    </w:p>
    <w:p w14:paraId="3F1C313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31.</w:t>
      </w:r>
      <w:r w:rsidRPr="006E50FF">
        <w:rPr>
          <w:b/>
          <w:kern w:val="2"/>
        </w:rPr>
        <w:tab/>
        <w:t>General Provisions</w:t>
      </w:r>
    </w:p>
    <w:p w14:paraId="3797E3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§3111.</w:t>
      </w:r>
      <w:r w:rsidRPr="006E50FF">
        <w:rPr>
          <w:b/>
          <w:kern w:val="2"/>
        </w:rPr>
        <w:tab/>
        <w:t>Independent Review Process for Provider Claims</w:t>
      </w:r>
    </w:p>
    <w:p w14:paraId="58F49A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Definitions</w:t>
      </w:r>
    </w:p>
    <w:p w14:paraId="3ADB2B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526AA98"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Managed Care Organization (MCO)—</w:t>
      </w:r>
      <w:r w:rsidRPr="006E50FF">
        <w:rPr>
          <w:kern w:val="2"/>
        </w:rPr>
        <w:t>for purposes of this section, MCO shall have the same meaning as provided in R.S. 46:460.81</w:t>
      </w:r>
    </w:p>
    <w:p w14:paraId="376B45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9577B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Right of Providers to Independent Review</w:t>
      </w:r>
    </w:p>
    <w:p w14:paraId="1C196D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healthcare provider shall have a right to an independent review of the adverse action of an MCO as provided in R.S. 46:460.81.</w:t>
      </w:r>
    </w:p>
    <w:p w14:paraId="169373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Mental health rehabilitation service providers shall have a right to an independent review of an adverse determination taken by an MCO that results in a recoupment of the payment of a claim based upon a finding of waste or abuse as provided in R.S. 46.460.81.</w:t>
      </w:r>
    </w:p>
    <w:p w14:paraId="31AFBF90" w14:textId="77777777" w:rsidR="006E50FF" w:rsidRPr="006E50FF" w:rsidRDefault="006E50FF" w:rsidP="006E50FF">
      <w:pPr>
        <w:tabs>
          <w:tab w:val="left" w:pos="144"/>
          <w:tab w:val="left" w:pos="187"/>
          <w:tab w:val="left" w:pos="540"/>
          <w:tab w:val="left" w:pos="907"/>
          <w:tab w:val="left" w:pos="1080"/>
          <w:tab w:val="left" w:pos="1350"/>
        </w:tabs>
        <w:ind w:firstLine="187"/>
        <w:jc w:val="both"/>
        <w:outlineLvl w:val="3"/>
        <w:rPr>
          <w:kern w:val="2"/>
        </w:rPr>
      </w:pPr>
      <w:r w:rsidRPr="006E50FF">
        <w:rPr>
          <w:kern w:val="2"/>
        </w:rPr>
        <w:t>B.3. - H.2.</w:t>
      </w:r>
      <w:r w:rsidRPr="006E50FF">
        <w:rPr>
          <w:kern w:val="2"/>
        </w:rPr>
        <w:tab/>
        <w:t>...</w:t>
      </w:r>
    </w:p>
    <w:p w14:paraId="3E54B4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2A727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Bureau of Health Services Financing, LR 44:283 (February 2018), amended LR 47:1876 (December 2021), amended by the Department of Health, Bureau of Health Services Financing and the Office of Behavioral Health, LR 52:</w:t>
      </w:r>
    </w:p>
    <w:p w14:paraId="71B0CAEE" w14:textId="77777777" w:rsidR="006E50FF" w:rsidRPr="006E50FF" w:rsidRDefault="006E50FF" w:rsidP="006E50FF">
      <w:pPr>
        <w:keepNext/>
        <w:jc w:val="center"/>
        <w:rPr>
          <w:b/>
          <w:noProof/>
        </w:rPr>
      </w:pPr>
      <w:r w:rsidRPr="006E50FF">
        <w:rPr>
          <w:b/>
          <w:noProof/>
        </w:rPr>
        <w:t>Part XXXIII.  Behavioral Health Services</w:t>
      </w:r>
    </w:p>
    <w:p w14:paraId="26660C84" w14:textId="77777777" w:rsidR="006E50FF" w:rsidRPr="006E50FF" w:rsidRDefault="006E50FF" w:rsidP="006E50FF">
      <w:pPr>
        <w:keepNext/>
        <w:jc w:val="center"/>
        <w:rPr>
          <w:b/>
          <w:noProof/>
        </w:rPr>
      </w:pPr>
      <w:r w:rsidRPr="006E50FF">
        <w:rPr>
          <w:b/>
          <w:noProof/>
        </w:rPr>
        <w:t>Subpart 9.  Home and Community-Based Services Waiver</w:t>
      </w:r>
    </w:p>
    <w:p w14:paraId="33FAE7C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85.</w:t>
      </w:r>
      <w:r w:rsidRPr="006E50FF">
        <w:rPr>
          <w:b/>
          <w:kern w:val="2"/>
        </w:rPr>
        <w:tab/>
        <w:t>Provider Participation</w:t>
      </w:r>
    </w:p>
    <w:p w14:paraId="3B9A0C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§8503.</w:t>
      </w:r>
      <w:r w:rsidRPr="006E50FF">
        <w:rPr>
          <w:b/>
          <w:kern w:val="2"/>
        </w:rPr>
        <w:tab/>
        <w:t>Right of Providers to Independent Review</w:t>
      </w:r>
    </w:p>
    <w:p w14:paraId="1FDC14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Effective for claims filed on or after January 1, 2027, a healthcare provider shall have a right to an independent review of an adverse action on claims submitted to the CSoC contractor. </w:t>
      </w:r>
    </w:p>
    <w:p w14:paraId="5907AC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provider and the CSoC contractor shall adhere to the independent review process in accordance with LAC 50:I.3111. </w:t>
      </w:r>
    </w:p>
    <w:p w14:paraId="1682D7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shall ensure the following:</w:t>
      </w:r>
    </w:p>
    <w:p w14:paraId="34A327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independent review entity shall make determinations that are consistent with standards, policies, and procedures outlined in the Coordinated System of Care contract and statement of work; and</w:t>
      </w:r>
    </w:p>
    <w:p w14:paraId="722D13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medical necessity determinations are consistent with appropriate medical necessity criteria approved by the department for the Coordinated System of Care program.</w:t>
      </w:r>
    </w:p>
    <w:p w14:paraId="46580C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3AEAC0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HISTORY NOTE:</w:t>
      </w:r>
      <w:r w:rsidRPr="006E50FF">
        <w:rPr>
          <w:kern w:val="2"/>
          <w:sz w:val="18"/>
        </w:rPr>
        <w:tab/>
        <w:t>Promulgated by the Department of Health, Bureau of Health Services Financing and the Office of Behavioral Health, LR 52:</w:t>
      </w:r>
    </w:p>
    <w:p w14:paraId="5AEEB4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1299B014" w14:textId="77777777" w:rsidR="006E50FF" w:rsidRPr="006E50FF" w:rsidRDefault="006E50FF" w:rsidP="006E50FF">
      <w:pPr>
        <w:keepNext/>
        <w:jc w:val="center"/>
        <w:rPr>
          <w:b/>
          <w:kern w:val="28"/>
        </w:rPr>
      </w:pPr>
      <w:r w:rsidRPr="006E50FF">
        <w:rPr>
          <w:b/>
          <w:kern w:val="28"/>
        </w:rPr>
        <w:t>Family Impact Statement</w:t>
      </w:r>
    </w:p>
    <w:p w14:paraId="2D049F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257409BE" w14:textId="77777777" w:rsidR="006E50FF" w:rsidRPr="006E50FF" w:rsidRDefault="006E50FF" w:rsidP="006E50FF">
      <w:pPr>
        <w:keepNext/>
        <w:jc w:val="center"/>
        <w:rPr>
          <w:b/>
          <w:kern w:val="28"/>
        </w:rPr>
      </w:pPr>
      <w:r w:rsidRPr="006E50FF">
        <w:rPr>
          <w:b/>
          <w:kern w:val="28"/>
        </w:rPr>
        <w:t>Poverty Impact Statement</w:t>
      </w:r>
    </w:p>
    <w:p w14:paraId="6FA678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6062A167" w14:textId="77777777" w:rsidR="006E50FF" w:rsidRPr="006E50FF" w:rsidRDefault="006E50FF" w:rsidP="006E50FF">
      <w:pPr>
        <w:keepNext/>
        <w:jc w:val="center"/>
        <w:rPr>
          <w:b/>
          <w:kern w:val="28"/>
        </w:rPr>
      </w:pPr>
      <w:r w:rsidRPr="006E50FF">
        <w:rPr>
          <w:b/>
          <w:kern w:val="28"/>
        </w:rPr>
        <w:t>Small Business Analysis</w:t>
      </w:r>
    </w:p>
    <w:p w14:paraId="42D6CE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small businesses.</w:t>
      </w:r>
    </w:p>
    <w:p w14:paraId="45BCD56C" w14:textId="77777777" w:rsidR="006E50FF" w:rsidRPr="006E50FF" w:rsidRDefault="006E50FF" w:rsidP="006E50FF">
      <w:pPr>
        <w:keepNext/>
        <w:jc w:val="center"/>
        <w:rPr>
          <w:b/>
          <w:kern w:val="28"/>
        </w:rPr>
      </w:pPr>
      <w:r w:rsidRPr="006E50FF">
        <w:rPr>
          <w:b/>
          <w:kern w:val="28"/>
        </w:rPr>
        <w:t>Provider Impact Statement</w:t>
      </w:r>
    </w:p>
    <w:p w14:paraId="785470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w:t>
      </w:r>
      <w:r w:rsidRPr="006E50FF">
        <w:rPr>
          <w:kern w:val="2"/>
        </w:rPr>
        <w:br w:type="column"/>
      </w:r>
      <w:r w:rsidRPr="006E50FF">
        <w:rPr>
          <w:kern w:val="2"/>
        </w:rPr>
        <w:t>provide the same level of service as described in HCR 170. This will have a positive impact on providers because it streamlines the administrative process and gives all providers the right to independent review of an MCO's actions.</w:t>
      </w:r>
    </w:p>
    <w:p w14:paraId="5A732131" w14:textId="77777777" w:rsidR="006E50FF" w:rsidRPr="006E50FF" w:rsidRDefault="006E50FF" w:rsidP="006E50FF">
      <w:pPr>
        <w:keepNext/>
        <w:jc w:val="center"/>
        <w:rPr>
          <w:b/>
          <w:kern w:val="28"/>
        </w:rPr>
      </w:pPr>
      <w:r w:rsidRPr="006E50FF">
        <w:rPr>
          <w:b/>
          <w:kern w:val="28"/>
        </w:rPr>
        <w:t>Public Comments</w:t>
      </w:r>
    </w:p>
    <w:p w14:paraId="0DCD43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Tangela Womack, Bureau of Health Services Financing, P.O. Box 91030, Baton Rouge, LA 70821-9030. Ms. Womack is responsible for responding to inquiries regarding this proposed Rule. The deadline for submitting written comments is October 20, 2026.</w:t>
      </w:r>
    </w:p>
    <w:p w14:paraId="169C778F" w14:textId="77777777" w:rsidR="006E50FF" w:rsidRPr="006E50FF" w:rsidRDefault="006E50FF" w:rsidP="006E50FF">
      <w:pPr>
        <w:keepNext/>
        <w:jc w:val="center"/>
        <w:rPr>
          <w:b/>
          <w:kern w:val="28"/>
        </w:rPr>
      </w:pPr>
      <w:r w:rsidRPr="006E50FF">
        <w:rPr>
          <w:b/>
          <w:kern w:val="28"/>
        </w:rPr>
        <w:t>Public Hearing</w:t>
      </w:r>
    </w:p>
    <w:p w14:paraId="0BA369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12, 2026. If the criteria set forth in R.S. 49:961(B)(1) are satisfied, LDH will conduct a public hearing at 9:30 a.m. on October 29, 2026, in Room 118 of the Bienville Building, which is located at 628 North Fourth Street, Baton Rouge, LA. To confirm whether a public hearing will be held, interested persons should first call Allen Enger at (225) 342-1342 after October 12, 2026. If a public hearing is to be held, all interested persons are invited to attend and present data, views, comments, or arguments, orally or in writing.</w:t>
      </w:r>
    </w:p>
    <w:p w14:paraId="1711BC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E83906F" w14:textId="77777777" w:rsidR="006E50FF" w:rsidRPr="006E50FF" w:rsidRDefault="006E50FF" w:rsidP="006E50FF">
      <w:pPr>
        <w:keepNext/>
        <w:ind w:left="2160"/>
        <w:jc w:val="both"/>
      </w:pPr>
      <w:r w:rsidRPr="006E50FF">
        <w:t>Bruce D. Greenstein</w:t>
      </w:r>
    </w:p>
    <w:p w14:paraId="3848B503" w14:textId="77777777" w:rsidR="006E50FF" w:rsidRPr="006E50FF" w:rsidRDefault="006E50FF" w:rsidP="006E50FF">
      <w:pPr>
        <w:keepNext/>
        <w:ind w:left="2160"/>
        <w:jc w:val="both"/>
      </w:pPr>
      <w:r w:rsidRPr="006E50FF">
        <w:t>Secretary</w:t>
      </w:r>
    </w:p>
    <w:p w14:paraId="585500E4" w14:textId="77777777" w:rsidR="006E50FF" w:rsidRPr="006E50FF" w:rsidRDefault="006E50FF" w:rsidP="006E50FF">
      <w:pPr>
        <w:keepNext/>
        <w:jc w:val="center"/>
        <w:rPr>
          <w:b/>
        </w:rPr>
      </w:pPr>
    </w:p>
    <w:p w14:paraId="50100BA3" w14:textId="77777777" w:rsidR="006E50FF" w:rsidRPr="006E50FF" w:rsidRDefault="006E50FF" w:rsidP="006E50FF">
      <w:pPr>
        <w:keepNext/>
        <w:jc w:val="center"/>
        <w:rPr>
          <w:b/>
        </w:rPr>
      </w:pPr>
      <w:r w:rsidRPr="006E50FF">
        <w:rPr>
          <w:b/>
        </w:rPr>
        <w:t>FISCAL AND ECONOMIC IMPACT STATEMENT FOR ADMINISTRATIVE RULES</w:t>
      </w:r>
    </w:p>
    <w:p w14:paraId="129B39C5" w14:textId="77777777" w:rsidR="006E50FF" w:rsidRPr="006E50FF" w:rsidRDefault="006E50FF" w:rsidP="006E50FF">
      <w:pPr>
        <w:keepNext/>
        <w:jc w:val="center"/>
        <w:rPr>
          <w:b/>
          <w:noProof/>
        </w:rPr>
      </w:pPr>
      <w:r w:rsidRPr="006E50FF">
        <w:rPr>
          <w:b/>
          <w:noProof/>
        </w:rPr>
        <w:t>RULE TITLE:  Independent Review for Coordinated System of Care</w:t>
      </w:r>
    </w:p>
    <w:p w14:paraId="6803ED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9CD0DC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A97289F"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not have a fiscal impact to the state except $320 SGF for the state's share of the administrative expense of promulgation of the proposed rule and final rule in FY 26-27.</w:t>
      </w:r>
    </w:p>
    <w:p w14:paraId="23FE299D" w14:textId="77777777" w:rsidR="006E50FF" w:rsidRPr="006E50FF" w:rsidRDefault="006E50FF" w:rsidP="006E50FF">
      <w:pPr>
        <w:ind w:left="288" w:firstLine="288"/>
        <w:jc w:val="both"/>
        <w:rPr>
          <w:sz w:val="18"/>
        </w:rPr>
      </w:pPr>
      <w:r w:rsidRPr="006E50FF">
        <w:rPr>
          <w:sz w:val="18"/>
        </w:rPr>
        <w:t>This proposed rule amends the provisions governing the right of providers to independent review. Act 668 of the 2026 RS expanded the independent review statute to apply to claims filed on or after January 1, 2027, with the Coordinated System of Care (CSoC) contractor. This proposed rule adds a definition for managed care organization (MCO) in the independent review Section. It also adopts a new Section governing the CSoC waiver, which matches the independent review process in LAC 50:I.3111 and ensures that all reviews follow the department’s approved standards, policies, and medical necessity criteria.</w:t>
      </w:r>
    </w:p>
    <w:p w14:paraId="688F3B4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59E32648" w14:textId="77777777" w:rsidR="006E50FF" w:rsidRPr="006E50FF" w:rsidRDefault="006E50FF" w:rsidP="006E50FF">
      <w:pPr>
        <w:ind w:left="288" w:firstLine="288"/>
        <w:jc w:val="both"/>
        <w:rPr>
          <w:sz w:val="18"/>
        </w:rPr>
      </w:pPr>
      <w:r w:rsidRPr="006E50FF">
        <w:rPr>
          <w:sz w:val="18"/>
        </w:rPr>
        <w:t>It is anticipated that the implementation of this proposed rule will have no fiscal impact on the collection of federal revenue aside from $319 for the federal share of the administrative cost of promulgation of the proposed rule and final rule in FY 26-27.</w:t>
      </w:r>
    </w:p>
    <w:p w14:paraId="7A407729"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6286C63" w14:textId="77777777" w:rsidR="006E50FF" w:rsidRPr="006E50FF" w:rsidRDefault="006E50FF" w:rsidP="006E50FF">
      <w:pPr>
        <w:ind w:left="288" w:firstLine="288"/>
        <w:jc w:val="both"/>
        <w:rPr>
          <w:sz w:val="18"/>
        </w:rPr>
      </w:pPr>
      <w:r w:rsidRPr="006E50FF">
        <w:rPr>
          <w:sz w:val="18"/>
        </w:rPr>
        <w:t>This proposed rule will benefit providers by allowing the same process for independent review for claims with the MCOs and the CSoC contractor but this is not anticipated to result in any fiscal impact.</w:t>
      </w:r>
    </w:p>
    <w:p w14:paraId="27D2DB9F" w14:textId="77777777" w:rsidR="006E50FF" w:rsidRPr="006E50FF" w:rsidRDefault="006E50FF" w:rsidP="006E50FF">
      <w:pPr>
        <w:ind w:left="288" w:hanging="288"/>
        <w:jc w:val="both"/>
        <w:rPr>
          <w:spacing w:val="-10"/>
          <w:sz w:val="18"/>
        </w:rPr>
      </w:pPr>
      <w:r w:rsidRPr="006E50FF">
        <w:rPr>
          <w:spacing w:val="-10"/>
          <w:sz w:val="18"/>
        </w:rPr>
        <w:lastRenderedPageBreak/>
        <w:t>IV.</w:t>
      </w:r>
      <w:r w:rsidRPr="006E50FF">
        <w:rPr>
          <w:spacing w:val="-10"/>
          <w:sz w:val="18"/>
        </w:rPr>
        <w:tab/>
        <w:t>ESTIMATED EFFECT ON COMPETITION AND EMPLOYMENT (Summary)</w:t>
      </w:r>
    </w:p>
    <w:p w14:paraId="5F402B71" w14:textId="77777777" w:rsidR="006E50FF" w:rsidRPr="006E50FF" w:rsidRDefault="006E50FF" w:rsidP="006E50FF">
      <w:pPr>
        <w:ind w:left="288" w:firstLine="288"/>
        <w:jc w:val="both"/>
        <w:rPr>
          <w:sz w:val="18"/>
        </w:rPr>
      </w:pPr>
      <w:r w:rsidRPr="006E50FF">
        <w:rPr>
          <w:sz w:val="18"/>
        </w:rPr>
        <w:t>This proposed rule has no known effect on competition and employment.</w:t>
      </w:r>
    </w:p>
    <w:p w14:paraId="3BCF6F3C" w14:textId="77777777" w:rsidR="006E50FF" w:rsidRPr="006E50FF" w:rsidRDefault="006E50FF" w:rsidP="006E50FF">
      <w:pPr>
        <w:ind w:left="288" w:firstLine="288"/>
        <w:jc w:val="both"/>
        <w:rPr>
          <w:sz w:val="18"/>
        </w:rPr>
      </w:pPr>
    </w:p>
    <w:p w14:paraId="1FEB1AD4" w14:textId="77777777" w:rsidR="006E50FF" w:rsidRPr="006E50FF" w:rsidRDefault="006E50FF" w:rsidP="006E50FF">
      <w:pPr>
        <w:tabs>
          <w:tab w:val="left" w:pos="2880"/>
          <w:tab w:val="decimal" w:pos="2988"/>
        </w:tabs>
        <w:outlineLvl w:val="8"/>
        <w:rPr>
          <w:kern w:val="2"/>
          <w:sz w:val="18"/>
        </w:rPr>
      </w:pPr>
      <w:r w:rsidRPr="006E50FF">
        <w:rPr>
          <w:kern w:val="2"/>
          <w:sz w:val="18"/>
        </w:rPr>
        <w:t>Seth Gold</w:t>
      </w:r>
      <w:r w:rsidRPr="006E50FF">
        <w:rPr>
          <w:kern w:val="2"/>
          <w:sz w:val="18"/>
        </w:rPr>
        <w:tab/>
        <w:t>Alan M. Boxberger</w:t>
      </w:r>
    </w:p>
    <w:p w14:paraId="1970FC2D" w14:textId="77777777" w:rsidR="006E50FF" w:rsidRPr="006E50FF" w:rsidRDefault="006E50FF" w:rsidP="006E50FF">
      <w:pPr>
        <w:tabs>
          <w:tab w:val="left" w:pos="2880"/>
          <w:tab w:val="decimal" w:pos="2988"/>
        </w:tabs>
        <w:outlineLvl w:val="8"/>
        <w:rPr>
          <w:kern w:val="2"/>
          <w:sz w:val="18"/>
        </w:rPr>
      </w:pPr>
      <w:r w:rsidRPr="006E50FF">
        <w:rPr>
          <w:kern w:val="2"/>
          <w:sz w:val="18"/>
        </w:rPr>
        <w:t>Medicaid Director</w:t>
      </w:r>
      <w:r w:rsidRPr="006E50FF">
        <w:rPr>
          <w:kern w:val="2"/>
          <w:sz w:val="18"/>
        </w:rPr>
        <w:tab/>
        <w:t>Legislative Fiscal Officer</w:t>
      </w:r>
    </w:p>
    <w:p w14:paraId="1E8716ED" w14:textId="77777777" w:rsidR="006E50FF" w:rsidRPr="006E50FF" w:rsidRDefault="006E50FF" w:rsidP="006E50FF">
      <w:pPr>
        <w:tabs>
          <w:tab w:val="left" w:pos="2880"/>
          <w:tab w:val="decimal" w:pos="2988"/>
        </w:tabs>
        <w:outlineLvl w:val="8"/>
        <w:rPr>
          <w:kern w:val="2"/>
          <w:sz w:val="18"/>
        </w:rPr>
      </w:pPr>
      <w:r w:rsidRPr="006E50FF">
        <w:rPr>
          <w:noProof/>
          <w:sz w:val="16"/>
        </w:rPr>
        <w:t>2609#051</w:t>
      </w:r>
      <w:r w:rsidRPr="006E50FF">
        <w:rPr>
          <w:kern w:val="2"/>
        </w:rPr>
        <w:tab/>
      </w:r>
      <w:r w:rsidRPr="006E50FF">
        <w:rPr>
          <w:kern w:val="2"/>
          <w:sz w:val="18"/>
        </w:rPr>
        <w:t>Legislative Fiscal Office</w:t>
      </w:r>
    </w:p>
    <w:p w14:paraId="3F874E00" w14:textId="77777777" w:rsidR="006E50FF" w:rsidRPr="006E50FF" w:rsidRDefault="006E50FF" w:rsidP="006E50FF"/>
    <w:p w14:paraId="44C82FEA" w14:textId="77777777" w:rsidR="006E50FF" w:rsidRPr="006E50FF" w:rsidRDefault="006E50FF" w:rsidP="006E50FF">
      <w:pPr>
        <w:keepNext/>
        <w:tabs>
          <w:tab w:val="left" w:pos="-1440"/>
        </w:tabs>
        <w:spacing w:after="120"/>
        <w:jc w:val="center"/>
        <w:rPr>
          <w:b/>
          <w:noProof/>
        </w:rPr>
      </w:pPr>
      <w:bookmarkStart w:id="605" w:name="_Toc219974367"/>
      <w:r w:rsidRPr="006E50FF">
        <w:rPr>
          <w:b/>
          <w:noProof/>
        </w:rPr>
        <w:t>NOTICE OF INTENT</w:t>
      </w:r>
    </w:p>
    <w:p w14:paraId="4EE2FCA6" w14:textId="77777777" w:rsidR="006E50FF" w:rsidRPr="006E50FF" w:rsidRDefault="006E50FF" w:rsidP="006E50FF">
      <w:pPr>
        <w:keepNext/>
        <w:jc w:val="center"/>
        <w:rPr>
          <w:b/>
          <w:noProof/>
        </w:rPr>
      </w:pPr>
      <w:r w:rsidRPr="006E50FF">
        <w:rPr>
          <w:b/>
          <w:noProof/>
        </w:rPr>
        <w:t>Department of Health</w:t>
      </w:r>
    </w:p>
    <w:p w14:paraId="75034192" w14:textId="77777777" w:rsidR="006E50FF" w:rsidRPr="006E50FF" w:rsidRDefault="006E50FF" w:rsidP="006E50FF">
      <w:pPr>
        <w:keepNext/>
        <w:jc w:val="center"/>
        <w:rPr>
          <w:b/>
          <w:noProof/>
        </w:rPr>
      </w:pPr>
      <w:r w:rsidRPr="006E50FF">
        <w:rPr>
          <w:b/>
          <w:noProof/>
        </w:rPr>
        <w:t>Health Standards Section</w:t>
      </w:r>
    </w:p>
    <w:p w14:paraId="18F77301" w14:textId="77777777" w:rsidR="006E50FF" w:rsidRPr="006E50FF" w:rsidRDefault="006E50FF" w:rsidP="006E50FF">
      <w:pPr>
        <w:keepNext/>
        <w:spacing w:before="240" w:after="240"/>
        <w:jc w:val="center"/>
        <w:rPr>
          <w:noProof/>
        </w:rPr>
      </w:pPr>
      <w:r w:rsidRPr="006E50FF">
        <w:rPr>
          <w:noProof/>
        </w:rPr>
        <w:t>Day Developmental Training Centers</w:t>
      </w:r>
      <w:r w:rsidRPr="006E50FF">
        <w:rPr>
          <w:noProof/>
        </w:rPr>
        <w:br/>
        <w:t>Licensing Standards—(LAC 48:I.Chapter 55)</w:t>
      </w:r>
    </w:p>
    <w:p w14:paraId="6803B5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Health, Health Standards Section (the department) proposes to repeal in its entirety, LAC 48:I.Chapter 55 in accordance with the provisions of the Administrative Procedure Act, R.S. 49:950 et seq. </w:t>
      </w:r>
    </w:p>
    <w:p w14:paraId="715D45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repeals the provisions governing day developmental training centers licensing standards that were phased out, restructured, and absorbed into the regulatory framework of the home and community-based services provider program (LAC 48:I.5001 et seq). </w:t>
      </w:r>
    </w:p>
    <w:p w14:paraId="224C8E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6DFB703E" w14:textId="77777777" w:rsidR="006E50FF" w:rsidRPr="006E50FF" w:rsidRDefault="006E50FF" w:rsidP="006E50FF">
      <w:pPr>
        <w:keepNext/>
        <w:jc w:val="center"/>
        <w:rPr>
          <w:b/>
          <w:kern w:val="28"/>
        </w:rPr>
      </w:pPr>
      <w:r w:rsidRPr="006E50FF">
        <w:rPr>
          <w:b/>
          <w:kern w:val="28"/>
        </w:rPr>
        <w:t>Title 48</w:t>
      </w:r>
    </w:p>
    <w:p w14:paraId="620DDFAD" w14:textId="77777777" w:rsidR="006E50FF" w:rsidRPr="006E50FF" w:rsidRDefault="006E50FF" w:rsidP="006E50FF">
      <w:pPr>
        <w:keepNext/>
        <w:jc w:val="center"/>
        <w:rPr>
          <w:b/>
          <w:kern w:val="28"/>
        </w:rPr>
      </w:pPr>
      <w:r w:rsidRPr="006E50FF">
        <w:rPr>
          <w:b/>
          <w:kern w:val="28"/>
        </w:rPr>
        <w:t>PUBLIC HEALTH—GENERAL</w:t>
      </w:r>
    </w:p>
    <w:p w14:paraId="494AD214" w14:textId="77777777" w:rsidR="006E50FF" w:rsidRPr="006E50FF" w:rsidRDefault="006E50FF" w:rsidP="006E50FF">
      <w:pPr>
        <w:keepNext/>
        <w:jc w:val="center"/>
        <w:rPr>
          <w:b/>
          <w:noProof/>
        </w:rPr>
      </w:pPr>
      <w:r w:rsidRPr="006E50FF">
        <w:rPr>
          <w:b/>
          <w:noProof/>
        </w:rPr>
        <w:t>Part I.  General Administration</w:t>
      </w:r>
    </w:p>
    <w:p w14:paraId="566A2820" w14:textId="77777777" w:rsidR="006E50FF" w:rsidRPr="006E50FF" w:rsidRDefault="006E50FF" w:rsidP="006E50FF">
      <w:pPr>
        <w:keepNext/>
        <w:jc w:val="center"/>
        <w:rPr>
          <w:b/>
          <w:noProof/>
        </w:rPr>
      </w:pPr>
      <w:r w:rsidRPr="006E50FF">
        <w:rPr>
          <w:b/>
          <w:noProof/>
        </w:rPr>
        <w:t>Subpart 3.  Licensing and Certification</w:t>
      </w:r>
    </w:p>
    <w:bookmarkEnd w:id="605"/>
    <w:p w14:paraId="41922BD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55.</w:t>
      </w:r>
      <w:r w:rsidRPr="006E50FF">
        <w:rPr>
          <w:b/>
          <w:kern w:val="2"/>
        </w:rPr>
        <w:tab/>
        <w:t>Day Developmental Training Centers</w:t>
      </w:r>
    </w:p>
    <w:p w14:paraId="1FA7C2C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§5501.</w:t>
      </w:r>
      <w:r w:rsidRPr="006E50FF">
        <w:rPr>
          <w:b/>
          <w:kern w:val="2"/>
        </w:rPr>
        <w:tab/>
        <w:t>Glossary</w:t>
      </w:r>
    </w:p>
    <w:p w14:paraId="01E700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61332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w:t>
      </w:r>
      <w:bookmarkStart w:id="606" w:name="_Hlk230945467"/>
      <w:r w:rsidRPr="006E50FF">
        <w:rPr>
          <w:kern w:val="2"/>
          <w:sz w:val="18"/>
        </w:rPr>
        <w:t>R.S. 49:950 et seq. and Act 483 of the 2005 Regular Session of the Louisiana Legislature.</w:t>
      </w:r>
    </w:p>
    <w:bookmarkEnd w:id="606"/>
    <w:p w14:paraId="7983CBB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w:t>
      </w:r>
      <w:bookmarkStart w:id="607" w:name="_Hlk231475881"/>
      <w:r w:rsidRPr="006E50FF">
        <w:rPr>
          <w:kern w:val="2"/>
          <w:sz w:val="18"/>
        </w:rPr>
        <w:t xml:space="preserve">, </w:t>
      </w:r>
      <w:bookmarkEnd w:id="607"/>
      <w:r w:rsidRPr="006E50FF">
        <w:rPr>
          <w:kern w:val="2"/>
          <w:sz w:val="18"/>
        </w:rPr>
        <w:t>LR 52:</w:t>
      </w:r>
    </w:p>
    <w:p w14:paraId="502BC73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§5503.</w:t>
      </w:r>
      <w:r w:rsidRPr="006E50FF">
        <w:rPr>
          <w:b/>
          <w:kern w:val="2"/>
        </w:rPr>
        <w:tab/>
        <w:t>Licensure Procedure</w:t>
      </w:r>
    </w:p>
    <w:p w14:paraId="3A871D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C90A1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03839C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B2533E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§5505.</w:t>
      </w:r>
      <w:r w:rsidRPr="006E50FF">
        <w:rPr>
          <w:b/>
          <w:kern w:val="2"/>
        </w:rPr>
        <w:tab/>
        <w:t>Relicensure Procedure</w:t>
      </w:r>
    </w:p>
    <w:p w14:paraId="0D4433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C6669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FF520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09EBEE1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§5507.</w:t>
      </w:r>
      <w:r w:rsidRPr="006E50FF">
        <w:rPr>
          <w:b/>
          <w:kern w:val="2"/>
        </w:rPr>
        <w:tab/>
        <w:t>Appeal Procedure</w:t>
      </w:r>
    </w:p>
    <w:p w14:paraId="3B18E4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50DA7F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7F2A5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2B94F6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§5509.</w:t>
      </w:r>
      <w:r w:rsidRPr="006E50FF">
        <w:rPr>
          <w:b/>
          <w:kern w:val="2"/>
        </w:rPr>
        <w:tab/>
        <w:t>General Standards</w:t>
      </w:r>
    </w:p>
    <w:p w14:paraId="4A27F8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A6728C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629396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53097D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§5511.</w:t>
      </w:r>
      <w:r w:rsidRPr="006E50FF">
        <w:rPr>
          <w:b/>
          <w:kern w:val="2"/>
        </w:rPr>
        <w:tab/>
        <w:t>Compliance with Federal, State and Local Laws</w:t>
      </w:r>
    </w:p>
    <w:p w14:paraId="2E2F49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7116A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21DA2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5F3C4C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§5513.</w:t>
      </w:r>
      <w:r w:rsidRPr="006E50FF">
        <w:rPr>
          <w:b/>
          <w:kern w:val="2"/>
        </w:rPr>
        <w:tab/>
        <w:t>Disclosure of Ownership</w:t>
      </w:r>
    </w:p>
    <w:p w14:paraId="53D140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DB2431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5AC3A2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E3AA2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§5515.</w:t>
      </w:r>
      <w:r w:rsidRPr="006E50FF">
        <w:rPr>
          <w:b/>
          <w:kern w:val="2"/>
        </w:rPr>
        <w:tab/>
        <w:t>Governing Body and Administration</w:t>
      </w:r>
    </w:p>
    <w:p w14:paraId="4A6711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F23D4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CA392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A4A19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§5517.</w:t>
      </w:r>
      <w:r w:rsidRPr="006E50FF">
        <w:rPr>
          <w:b/>
          <w:kern w:val="2"/>
        </w:rPr>
        <w:tab/>
        <w:t>General Policies and Practices</w:t>
      </w:r>
    </w:p>
    <w:p w14:paraId="47D146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2961F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143159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444B72D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§5519.</w:t>
      </w:r>
      <w:r w:rsidRPr="006E50FF">
        <w:rPr>
          <w:b/>
          <w:kern w:val="2"/>
        </w:rPr>
        <w:tab/>
        <w:t>Personnel Policies</w:t>
      </w:r>
    </w:p>
    <w:p w14:paraId="1D8230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2683AD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49C26B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585CF6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§5521.</w:t>
      </w:r>
      <w:r w:rsidRPr="006E50FF">
        <w:rPr>
          <w:b/>
          <w:kern w:val="2"/>
        </w:rPr>
        <w:tab/>
        <w:t>Admission and Release</w:t>
      </w:r>
    </w:p>
    <w:p w14:paraId="4971D6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2F3C7F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F0176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631E8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§5523.</w:t>
      </w:r>
      <w:r w:rsidRPr="006E50FF">
        <w:rPr>
          <w:b/>
          <w:kern w:val="2"/>
        </w:rPr>
        <w:tab/>
        <w:t>General Staffing Provisions</w:t>
      </w:r>
    </w:p>
    <w:p w14:paraId="33A48A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A7516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08DFB4E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092AE5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§5525.</w:t>
      </w:r>
      <w:r w:rsidRPr="006E50FF">
        <w:rPr>
          <w:b/>
          <w:kern w:val="2"/>
        </w:rPr>
        <w:tab/>
        <w:t>Staff Responsibilities and Activities</w:t>
      </w:r>
    </w:p>
    <w:p w14:paraId="4DC61B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41398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EDA7D5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5F065BC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§5527.</w:t>
      </w:r>
      <w:r w:rsidRPr="006E50FF">
        <w:rPr>
          <w:b/>
          <w:kern w:val="2"/>
        </w:rPr>
        <w:tab/>
        <w:t>Health, Hygiene and Grooming</w:t>
      </w:r>
    </w:p>
    <w:p w14:paraId="11FBA2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D9523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5D827E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23D608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§5529.</w:t>
      </w:r>
      <w:r w:rsidRPr="006E50FF">
        <w:rPr>
          <w:b/>
          <w:kern w:val="2"/>
        </w:rPr>
        <w:tab/>
        <w:t>Food and Nutrition</w:t>
      </w:r>
    </w:p>
    <w:p w14:paraId="37ADFB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Repealed.</w:t>
      </w:r>
    </w:p>
    <w:p w14:paraId="28852F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1878BB7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ABD9D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§5531.</w:t>
      </w:r>
      <w:r w:rsidRPr="006E50FF">
        <w:rPr>
          <w:b/>
          <w:kern w:val="2"/>
        </w:rPr>
        <w:tab/>
        <w:t>Medical Services</w:t>
      </w:r>
    </w:p>
    <w:p w14:paraId="074771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AE2CA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983749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531C04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§5533.</w:t>
      </w:r>
      <w:r w:rsidRPr="006E50FF">
        <w:rPr>
          <w:b/>
          <w:kern w:val="2"/>
        </w:rPr>
        <w:tab/>
        <w:t>Services for Education, Training and Habilitation</w:t>
      </w:r>
    </w:p>
    <w:p w14:paraId="74D9AF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E1BA6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65BF63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A47A10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§5535.</w:t>
      </w:r>
      <w:r w:rsidRPr="006E50FF">
        <w:rPr>
          <w:b/>
          <w:kern w:val="2"/>
        </w:rPr>
        <w:tab/>
        <w:t>Social Services</w:t>
      </w:r>
    </w:p>
    <w:p w14:paraId="28F918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731B9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9A2FFC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Human Resources, Office of the Secretary, Division of </w:t>
      </w:r>
      <w:r w:rsidRPr="006E50FF">
        <w:rPr>
          <w:kern w:val="2"/>
          <w:sz w:val="18"/>
        </w:rPr>
        <w:t>Licensing and Certification, LR 13:246 (April 1987), repealed by the Department of Health, Health Standards Section, LR 52:</w:t>
      </w:r>
    </w:p>
    <w:p w14:paraId="0D3C7C0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§5537.</w:t>
      </w:r>
      <w:r w:rsidRPr="006E50FF">
        <w:rPr>
          <w:b/>
          <w:kern w:val="2"/>
        </w:rPr>
        <w:tab/>
        <w:t>Physical and Occupational Therapy Services</w:t>
      </w:r>
    </w:p>
    <w:p w14:paraId="646F95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27CCF1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7C5885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B09315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§5539.</w:t>
      </w:r>
      <w:r w:rsidRPr="006E50FF">
        <w:rPr>
          <w:b/>
          <w:kern w:val="2"/>
        </w:rPr>
        <w:tab/>
        <w:t>Speech Pathology and Audiology</w:t>
      </w:r>
    </w:p>
    <w:p w14:paraId="5AB6C7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311CAE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46B2E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0ED5E6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§5541.</w:t>
      </w:r>
      <w:r w:rsidRPr="006E50FF">
        <w:rPr>
          <w:b/>
          <w:kern w:val="2"/>
        </w:rPr>
        <w:tab/>
        <w:t>Recreation Services</w:t>
      </w:r>
    </w:p>
    <w:p w14:paraId="3F0B051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Repealed.</w:t>
      </w:r>
    </w:p>
    <w:p w14:paraId="24CF68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3F156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C8F54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§5543.</w:t>
      </w:r>
      <w:r w:rsidRPr="006E50FF">
        <w:rPr>
          <w:b/>
          <w:kern w:val="2"/>
        </w:rPr>
        <w:tab/>
        <w:t>Design and Equipage</w:t>
      </w:r>
    </w:p>
    <w:p w14:paraId="41B9A9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ABA46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72E25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0741D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§5545.</w:t>
      </w:r>
      <w:r w:rsidRPr="006E50FF">
        <w:rPr>
          <w:b/>
          <w:kern w:val="2"/>
        </w:rPr>
        <w:tab/>
        <w:t>Safety and Sanitation</w:t>
      </w:r>
    </w:p>
    <w:p w14:paraId="71A8E2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719251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1AB065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C2E107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§5547.</w:t>
      </w:r>
      <w:r w:rsidRPr="006E50FF">
        <w:rPr>
          <w:b/>
          <w:kern w:val="2"/>
        </w:rPr>
        <w:tab/>
        <w:t>Records</w:t>
      </w:r>
    </w:p>
    <w:p w14:paraId="0E3B1B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C8D39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0F5F6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6EB31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§5549.</w:t>
      </w:r>
      <w:r w:rsidRPr="006E50FF">
        <w:rPr>
          <w:b/>
          <w:kern w:val="2"/>
        </w:rPr>
        <w:tab/>
        <w:t>Staff Composition and Organization</w:t>
      </w:r>
    </w:p>
    <w:p w14:paraId="57C750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464E5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7DC618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3A8AF0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§5551.</w:t>
      </w:r>
      <w:r w:rsidRPr="006E50FF">
        <w:rPr>
          <w:b/>
          <w:kern w:val="2"/>
        </w:rPr>
        <w:tab/>
        <w:t>Records</w:t>
      </w:r>
    </w:p>
    <w:p w14:paraId="694F05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7947E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49:950 et seq. and Act 483 of the 2005 Regular Session of the Louisiana Legislature.</w:t>
      </w:r>
    </w:p>
    <w:p w14:paraId="36BAB9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478D1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§5553.</w:t>
      </w:r>
      <w:r w:rsidRPr="006E50FF">
        <w:rPr>
          <w:b/>
          <w:kern w:val="2"/>
        </w:rPr>
        <w:tab/>
        <w:t>Records</w:t>
      </w:r>
    </w:p>
    <w:p w14:paraId="19F83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21F3F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63CF14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A401554" w14:textId="77777777" w:rsidR="006E50FF" w:rsidRPr="006E50FF" w:rsidRDefault="006E50FF" w:rsidP="006E50FF">
      <w:pPr>
        <w:keepNext/>
        <w:jc w:val="center"/>
        <w:rPr>
          <w:b/>
          <w:kern w:val="28"/>
        </w:rPr>
      </w:pPr>
      <w:r w:rsidRPr="006E50FF">
        <w:rPr>
          <w:b/>
          <w:kern w:val="28"/>
        </w:rPr>
        <w:t>Family Impact Statement</w:t>
      </w:r>
    </w:p>
    <w:p w14:paraId="277F07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4F53F28B" w14:textId="77777777" w:rsidR="006E50FF" w:rsidRPr="006E50FF" w:rsidRDefault="006E50FF" w:rsidP="006E50FF">
      <w:pPr>
        <w:keepNext/>
        <w:jc w:val="center"/>
        <w:rPr>
          <w:b/>
          <w:kern w:val="28"/>
        </w:rPr>
      </w:pPr>
      <w:r w:rsidRPr="006E50FF">
        <w:rPr>
          <w:b/>
          <w:kern w:val="28"/>
        </w:rPr>
        <w:t>Poverty Impact Statement</w:t>
      </w:r>
    </w:p>
    <w:p w14:paraId="628C96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4677F005" w14:textId="77777777" w:rsidR="006E50FF" w:rsidRPr="006E50FF" w:rsidRDefault="006E50FF" w:rsidP="006E50FF">
      <w:pPr>
        <w:keepNext/>
        <w:jc w:val="center"/>
        <w:rPr>
          <w:b/>
          <w:kern w:val="28"/>
        </w:rPr>
      </w:pPr>
      <w:r w:rsidRPr="006E50FF">
        <w:rPr>
          <w:b/>
          <w:kern w:val="28"/>
        </w:rPr>
        <w:t>Small Business Analysis</w:t>
      </w:r>
    </w:p>
    <w:p w14:paraId="023FB9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61A9E069" w14:textId="77777777" w:rsidR="006E50FF" w:rsidRPr="006E50FF" w:rsidRDefault="006E50FF" w:rsidP="006E50FF">
      <w:pPr>
        <w:keepNext/>
        <w:jc w:val="center"/>
        <w:rPr>
          <w:b/>
          <w:kern w:val="28"/>
        </w:rPr>
      </w:pPr>
      <w:r w:rsidRPr="006E50FF">
        <w:rPr>
          <w:b/>
          <w:kern w:val="28"/>
        </w:rPr>
        <w:t>Provider Impact Statement</w:t>
      </w:r>
    </w:p>
    <w:p w14:paraId="4D1316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7041F5DE" w14:textId="77777777" w:rsidR="006E50FF" w:rsidRPr="006E50FF" w:rsidRDefault="006E50FF" w:rsidP="006E50FF">
      <w:pPr>
        <w:keepNext/>
        <w:jc w:val="center"/>
        <w:rPr>
          <w:b/>
          <w:kern w:val="28"/>
        </w:rPr>
      </w:pPr>
      <w:r w:rsidRPr="006E50FF">
        <w:rPr>
          <w:b/>
          <w:kern w:val="28"/>
        </w:rPr>
        <w:t>Public Comments</w:t>
      </w:r>
    </w:p>
    <w:p w14:paraId="2D823D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Cecile Castello, RN, Health Standards Section, P.O. Box 3767, Baton Rouge, LA 70821. Ms. Castello is responsible for responding to inquiries regarding this proposed Rule. The deadline for submitting written comments is at 4:30 p.m. on October 23, 2026.</w:t>
      </w:r>
    </w:p>
    <w:p w14:paraId="7873FCBD" w14:textId="77777777" w:rsidR="006E50FF" w:rsidRPr="006E50FF" w:rsidRDefault="006E50FF" w:rsidP="006E50FF">
      <w:pPr>
        <w:keepNext/>
        <w:jc w:val="center"/>
        <w:rPr>
          <w:b/>
          <w:kern w:val="28"/>
        </w:rPr>
      </w:pPr>
      <w:r w:rsidRPr="006E50FF">
        <w:rPr>
          <w:b/>
          <w:kern w:val="28"/>
        </w:rPr>
        <w:t>Public Hearing</w:t>
      </w:r>
    </w:p>
    <w:p w14:paraId="14B3C5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49:953(A)(2)(a) are satisfied, LDH will conduct a public hearing at 9:30 a.m. on October 22, 2026, in Room 173 of the Bienville Building, which is located at 628 North Fourth Street, Baton Rouge, LA. To confirm whether a public hearing will be held, interested individuals should first call Allen Enger at (225) 342-1342 after October 6, 2026. If a public hearing is to be held, all interested individuals are invited to attend and present data, views, comments, or arguments, orally or in writing. In the event of a hearing, parking is available to the public in the Galvez Parking Garage, which is located between North Sixth and </w:t>
      </w:r>
      <w:r w:rsidRPr="006E50FF">
        <w:rPr>
          <w:kern w:val="2"/>
        </w:rPr>
        <w:t>North Fifth/North and Main Streets (cater-corner from the Bienville Building).</w:t>
      </w:r>
    </w:p>
    <w:p w14:paraId="4FB0E1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FCF0BFB" w14:textId="77777777" w:rsidR="006E50FF" w:rsidRPr="006E50FF" w:rsidRDefault="006E50FF" w:rsidP="006E50FF">
      <w:pPr>
        <w:keepNext/>
        <w:ind w:left="2160"/>
        <w:jc w:val="both"/>
      </w:pPr>
      <w:r w:rsidRPr="006E50FF">
        <w:t>Bruce D. Greenstein</w:t>
      </w:r>
    </w:p>
    <w:p w14:paraId="550B7D5D" w14:textId="77777777" w:rsidR="006E50FF" w:rsidRPr="006E50FF" w:rsidRDefault="006E50FF" w:rsidP="006E50FF">
      <w:pPr>
        <w:keepNext/>
        <w:ind w:left="2160"/>
        <w:jc w:val="both"/>
      </w:pPr>
      <w:r w:rsidRPr="006E50FF">
        <w:t>Secretary</w:t>
      </w:r>
    </w:p>
    <w:p w14:paraId="34D5492E" w14:textId="77777777" w:rsidR="006E50FF" w:rsidRPr="006E50FF" w:rsidRDefault="006E50FF" w:rsidP="006E50FF">
      <w:pPr>
        <w:keepNext/>
        <w:jc w:val="center"/>
        <w:rPr>
          <w:b/>
        </w:rPr>
      </w:pPr>
    </w:p>
    <w:p w14:paraId="75652EDE" w14:textId="77777777" w:rsidR="006E50FF" w:rsidRPr="006E50FF" w:rsidRDefault="006E50FF" w:rsidP="006E50FF">
      <w:pPr>
        <w:keepNext/>
        <w:jc w:val="center"/>
        <w:rPr>
          <w:b/>
        </w:rPr>
      </w:pPr>
      <w:r w:rsidRPr="006E50FF">
        <w:rPr>
          <w:b/>
        </w:rPr>
        <w:t>FISCAL AND ECONOMIC IMPACT STATEMENT FOR ADMINISTRATIVE RULES</w:t>
      </w:r>
    </w:p>
    <w:p w14:paraId="45C3ED97" w14:textId="77777777" w:rsidR="006E50FF" w:rsidRPr="006E50FF" w:rsidRDefault="006E50FF" w:rsidP="006E50FF">
      <w:pPr>
        <w:keepNext/>
        <w:jc w:val="center"/>
        <w:rPr>
          <w:b/>
          <w:noProof/>
        </w:rPr>
      </w:pPr>
      <w:r w:rsidRPr="006E50FF">
        <w:rPr>
          <w:b/>
          <w:noProof/>
        </w:rPr>
        <w:t>RULE TITLE:  Day Developmental Training Centers</w:t>
      </w:r>
      <w:r w:rsidRPr="006E50FF">
        <w:rPr>
          <w:b/>
          <w:noProof/>
        </w:rPr>
        <w:br/>
        <w:t>Licensing Standards</w:t>
      </w:r>
    </w:p>
    <w:p w14:paraId="087E85E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8E3FD21"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5D72D1C0"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have no programmatic fiscal impact on the state or local governmental units other than the cost of promulgation in FY 26-27. It is anticipated that $1,030 SGR will be expended in FY 26-27 for the state's administrative expense for promulgation of this proposed Rule and the final Rule.</w:t>
      </w:r>
    </w:p>
    <w:p w14:paraId="18E588D8" w14:textId="77777777" w:rsidR="006E50FF" w:rsidRPr="006E50FF" w:rsidRDefault="006E50FF" w:rsidP="006E50FF">
      <w:pPr>
        <w:ind w:left="288" w:firstLine="288"/>
        <w:jc w:val="both"/>
        <w:rPr>
          <w:sz w:val="18"/>
        </w:rPr>
      </w:pPr>
      <w:r w:rsidRPr="006E50FF">
        <w:rPr>
          <w:sz w:val="18"/>
        </w:rPr>
        <w:t>This proposed Rule repeals the provisions governing day developmental training centers licensing standards that were phased out, restructured, and absorbed into the regulatory framework of the home and community-based services provider program (LAC 48:I.5001 et seq).</w:t>
      </w:r>
    </w:p>
    <w:p w14:paraId="38BF94F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8C3BBE7" w14:textId="77777777" w:rsidR="006E50FF" w:rsidRPr="006E50FF" w:rsidRDefault="006E50FF" w:rsidP="006E50FF">
      <w:pPr>
        <w:ind w:left="288" w:firstLine="288"/>
        <w:jc w:val="both"/>
        <w:rPr>
          <w:sz w:val="18"/>
        </w:rPr>
      </w:pPr>
      <w:r w:rsidRPr="006E50FF">
        <w:rPr>
          <w:sz w:val="18"/>
        </w:rPr>
        <w:t>It is anticipated that implementation of this proposed Rule will have no impact on state or local revenue collections.</w:t>
      </w:r>
    </w:p>
    <w:p w14:paraId="780C486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0A42C687" w14:textId="77777777" w:rsidR="006E50FF" w:rsidRPr="006E50FF" w:rsidRDefault="006E50FF" w:rsidP="006E50FF">
      <w:pPr>
        <w:ind w:left="288" w:firstLine="288"/>
        <w:jc w:val="both"/>
        <w:rPr>
          <w:sz w:val="18"/>
        </w:rPr>
      </w:pPr>
      <w:r w:rsidRPr="006E50FF">
        <w:rPr>
          <w:sz w:val="18"/>
        </w:rPr>
        <w:t>It is anticipated that implementation of this proposed Rule will have no impact on the costs or benefits of affected persons and providers.</w:t>
      </w:r>
    </w:p>
    <w:p w14:paraId="3EC6EF8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70E0CB23" w14:textId="77777777" w:rsidR="006E50FF" w:rsidRPr="006E50FF" w:rsidRDefault="006E50FF" w:rsidP="006E50FF">
      <w:pPr>
        <w:ind w:left="288" w:firstLine="288"/>
        <w:jc w:val="both"/>
        <w:rPr>
          <w:sz w:val="18"/>
        </w:rPr>
      </w:pPr>
      <w:r w:rsidRPr="006E50FF">
        <w:rPr>
          <w:sz w:val="18"/>
        </w:rPr>
        <w:t>It is anticipated that this proposed Rule will have no effect on the competition and employment.</w:t>
      </w:r>
    </w:p>
    <w:p w14:paraId="7ADDF286" w14:textId="77777777" w:rsidR="006E50FF" w:rsidRPr="006E50FF" w:rsidRDefault="006E50FF" w:rsidP="006E50FF">
      <w:pPr>
        <w:ind w:left="288" w:firstLine="288"/>
        <w:jc w:val="both"/>
        <w:rPr>
          <w:sz w:val="18"/>
        </w:rPr>
      </w:pPr>
    </w:p>
    <w:p w14:paraId="2FAE05C7" w14:textId="77777777" w:rsidR="006E50FF" w:rsidRPr="006E50FF" w:rsidRDefault="006E50FF" w:rsidP="006E50FF">
      <w:pPr>
        <w:tabs>
          <w:tab w:val="left" w:pos="2880"/>
          <w:tab w:val="decimal" w:pos="2988"/>
        </w:tabs>
        <w:outlineLvl w:val="8"/>
        <w:rPr>
          <w:kern w:val="2"/>
          <w:sz w:val="18"/>
        </w:rPr>
      </w:pPr>
      <w:r w:rsidRPr="006E50FF">
        <w:rPr>
          <w:kern w:val="2"/>
          <w:sz w:val="18"/>
        </w:rPr>
        <w:t>Cecile Castello, RN</w:t>
      </w:r>
      <w:r w:rsidRPr="006E50FF">
        <w:rPr>
          <w:kern w:val="2"/>
          <w:sz w:val="18"/>
        </w:rPr>
        <w:tab/>
        <w:t>Alan M. Boxberger</w:t>
      </w:r>
    </w:p>
    <w:p w14:paraId="422069F3"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Director</w:t>
      </w:r>
      <w:r w:rsidRPr="006E50FF">
        <w:rPr>
          <w:kern w:val="2"/>
          <w:sz w:val="18"/>
        </w:rPr>
        <w:tab/>
        <w:t>Legislative Fiscal Officer</w:t>
      </w:r>
    </w:p>
    <w:p w14:paraId="708D7421" w14:textId="77777777" w:rsidR="006E50FF" w:rsidRPr="006E50FF" w:rsidRDefault="006E50FF" w:rsidP="006E50FF">
      <w:pPr>
        <w:tabs>
          <w:tab w:val="left" w:pos="2880"/>
          <w:tab w:val="decimal" w:pos="2988"/>
        </w:tabs>
        <w:outlineLvl w:val="8"/>
        <w:rPr>
          <w:kern w:val="2"/>
          <w:sz w:val="18"/>
        </w:rPr>
      </w:pPr>
      <w:r w:rsidRPr="006E50FF">
        <w:rPr>
          <w:noProof/>
          <w:sz w:val="16"/>
        </w:rPr>
        <w:t>2609#061</w:t>
      </w:r>
      <w:r w:rsidRPr="006E50FF">
        <w:rPr>
          <w:kern w:val="2"/>
        </w:rPr>
        <w:tab/>
      </w:r>
      <w:r w:rsidRPr="006E50FF">
        <w:rPr>
          <w:kern w:val="2"/>
          <w:sz w:val="18"/>
        </w:rPr>
        <w:t>Legislative Fiscal Office</w:t>
      </w:r>
    </w:p>
    <w:p w14:paraId="7DAD028E" w14:textId="77777777" w:rsidR="006E50FF" w:rsidRPr="006E50FF" w:rsidRDefault="006E50FF" w:rsidP="006E50FF"/>
    <w:p w14:paraId="7148096E"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739EA6EF" w14:textId="77777777" w:rsidR="006E50FF" w:rsidRPr="006E50FF" w:rsidRDefault="006E50FF" w:rsidP="006E50FF">
      <w:pPr>
        <w:keepNext/>
        <w:jc w:val="center"/>
        <w:rPr>
          <w:b/>
          <w:noProof/>
        </w:rPr>
      </w:pPr>
      <w:r w:rsidRPr="006E50FF">
        <w:rPr>
          <w:b/>
          <w:noProof/>
        </w:rPr>
        <w:t>Department of Health</w:t>
      </w:r>
    </w:p>
    <w:p w14:paraId="28772745" w14:textId="77777777" w:rsidR="006E50FF" w:rsidRPr="006E50FF" w:rsidRDefault="006E50FF" w:rsidP="006E50FF">
      <w:pPr>
        <w:keepNext/>
        <w:jc w:val="center"/>
        <w:rPr>
          <w:b/>
          <w:noProof/>
        </w:rPr>
      </w:pPr>
      <w:r w:rsidRPr="006E50FF">
        <w:rPr>
          <w:b/>
          <w:noProof/>
        </w:rPr>
        <w:t>Health Standards Section</w:t>
      </w:r>
    </w:p>
    <w:p w14:paraId="7E2A530F" w14:textId="77777777" w:rsidR="006E50FF" w:rsidRPr="006E50FF" w:rsidRDefault="006E50FF" w:rsidP="006E50FF">
      <w:pPr>
        <w:keepNext/>
        <w:spacing w:before="240" w:after="240"/>
        <w:jc w:val="center"/>
        <w:rPr>
          <w:noProof/>
        </w:rPr>
      </w:pPr>
      <w:r w:rsidRPr="006E50FF">
        <w:rPr>
          <w:noProof/>
        </w:rPr>
        <w:t>Free-Standing Birth Centers</w:t>
      </w:r>
      <w:r w:rsidRPr="006E50FF">
        <w:rPr>
          <w:noProof/>
        </w:rPr>
        <w:br/>
        <w:t>Licensing Standards</w:t>
      </w:r>
      <w:r w:rsidRPr="006E50FF">
        <w:rPr>
          <w:noProof/>
        </w:rPr>
        <w:br/>
        <w:t>(LAC 48:I.6719 and 6743)</w:t>
      </w:r>
    </w:p>
    <w:p w14:paraId="38C174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Health, Health Standards Section proposes to repeal </w:t>
      </w:r>
      <w:bookmarkStart w:id="608" w:name="_Hlk235636405"/>
      <w:r w:rsidRPr="006E50FF">
        <w:rPr>
          <w:kern w:val="2"/>
        </w:rPr>
        <w:t>LAC 48:I.6719 and amend §6743</w:t>
      </w:r>
      <w:bookmarkEnd w:id="608"/>
      <w:r w:rsidRPr="006E50FF">
        <w:rPr>
          <w:kern w:val="2"/>
        </w:rPr>
        <w:t>, as authorized by R.S. 36:254 and R.S. 40:2180.21-2180.28. This proposed Rule is promulgated in accordance with the provisions of the Administrative Procedure Act, R.S. 49:950 et seq.</w:t>
      </w:r>
    </w:p>
    <w:p w14:paraId="70942E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repeals LAC 48:I.6719 and amends §6743 of the provisions governing free-standing birth centers (FSBC) licensing standards to: (1) update licensure requirements, and (2) clarify circumstances for when a FSBC provider shall not knowingly accept or thereafter maintain responsibility for the prenatal or intrapartum care of a woman.</w:t>
      </w:r>
    </w:p>
    <w:p w14:paraId="7FD94F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r w:rsidRPr="006E50FF">
        <w:rPr>
          <w:kern w:val="2"/>
        </w:rPr>
        <w:lastRenderedPageBreak/>
        <w:t>The proposed Rule text below has been drafted utilizing plain language principles to ensure clarity and accessibility for all users. It has also been reviewed and tested for compliance with web accessibility standards.</w:t>
      </w:r>
    </w:p>
    <w:p w14:paraId="4EC069B6" w14:textId="77777777" w:rsidR="006E50FF" w:rsidRPr="006E50FF" w:rsidRDefault="006E50FF" w:rsidP="006E50FF">
      <w:pPr>
        <w:keepNext/>
        <w:jc w:val="center"/>
        <w:rPr>
          <w:b/>
          <w:kern w:val="28"/>
        </w:rPr>
      </w:pPr>
      <w:r w:rsidRPr="006E50FF">
        <w:rPr>
          <w:b/>
          <w:kern w:val="28"/>
        </w:rPr>
        <w:t>Title 48</w:t>
      </w:r>
    </w:p>
    <w:p w14:paraId="46A453A4" w14:textId="77777777" w:rsidR="006E50FF" w:rsidRPr="006E50FF" w:rsidRDefault="006E50FF" w:rsidP="006E50FF">
      <w:pPr>
        <w:keepNext/>
        <w:jc w:val="center"/>
        <w:rPr>
          <w:b/>
          <w:kern w:val="28"/>
        </w:rPr>
      </w:pPr>
      <w:r w:rsidRPr="006E50FF">
        <w:rPr>
          <w:b/>
          <w:kern w:val="28"/>
        </w:rPr>
        <w:t>PUBLIC HEALTH—GENERAL</w:t>
      </w:r>
    </w:p>
    <w:p w14:paraId="2929A354" w14:textId="77777777" w:rsidR="006E50FF" w:rsidRPr="006E50FF" w:rsidRDefault="006E50FF" w:rsidP="006E50FF">
      <w:pPr>
        <w:keepNext/>
        <w:jc w:val="center"/>
        <w:rPr>
          <w:b/>
          <w:noProof/>
        </w:rPr>
      </w:pPr>
      <w:r w:rsidRPr="006E50FF">
        <w:rPr>
          <w:b/>
          <w:noProof/>
        </w:rPr>
        <w:t>Part I.  General Administration</w:t>
      </w:r>
    </w:p>
    <w:p w14:paraId="3D6BA4CF" w14:textId="77777777" w:rsidR="006E50FF" w:rsidRPr="006E50FF" w:rsidRDefault="006E50FF" w:rsidP="006E50FF">
      <w:pPr>
        <w:keepNext/>
        <w:jc w:val="center"/>
        <w:rPr>
          <w:b/>
          <w:noProof/>
        </w:rPr>
      </w:pPr>
      <w:r w:rsidRPr="006E50FF">
        <w:rPr>
          <w:b/>
          <w:noProof/>
        </w:rPr>
        <w:t>Subpart 3.  Licensing and Certification</w:t>
      </w:r>
    </w:p>
    <w:p w14:paraId="659E642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09" w:name="TOC_Chap108"/>
      <w:bookmarkStart w:id="610" w:name="_Toc314652431"/>
      <w:bookmarkStart w:id="611" w:name="_Toc317252827"/>
      <w:bookmarkStart w:id="612" w:name="_Toc409523040"/>
      <w:bookmarkStart w:id="613" w:name="_Toc230180334"/>
      <w:r w:rsidRPr="006E50FF">
        <w:rPr>
          <w:b/>
          <w:kern w:val="2"/>
        </w:rPr>
        <w:t>Chapter 67.</w:t>
      </w:r>
      <w:bookmarkEnd w:id="609"/>
      <w:r w:rsidRPr="006E50FF">
        <w:rPr>
          <w:b/>
          <w:kern w:val="2"/>
        </w:rPr>
        <w:tab/>
      </w:r>
      <w:bookmarkEnd w:id="610"/>
      <w:bookmarkEnd w:id="611"/>
      <w:bookmarkEnd w:id="612"/>
      <w:r w:rsidRPr="006E50FF">
        <w:rPr>
          <w:b/>
          <w:kern w:val="2"/>
        </w:rPr>
        <w:t>Free-Standing Birth Centers</w:t>
      </w:r>
      <w:bookmarkEnd w:id="613"/>
    </w:p>
    <w:p w14:paraId="0874120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14" w:name="_Toc230180335"/>
      <w:r w:rsidRPr="006E50FF">
        <w:rPr>
          <w:b/>
          <w:kern w:val="2"/>
        </w:rPr>
        <w:t>Subchapter A.</w:t>
      </w:r>
      <w:r w:rsidRPr="006E50FF">
        <w:rPr>
          <w:b/>
          <w:kern w:val="2"/>
        </w:rPr>
        <w:tab/>
        <w:t>General Provisions</w:t>
      </w:r>
      <w:bookmarkEnd w:id="614"/>
    </w:p>
    <w:p w14:paraId="67E4F1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15" w:name="_Toc230180345"/>
      <w:r w:rsidRPr="006E50FF">
        <w:rPr>
          <w:b/>
          <w:kern w:val="2"/>
        </w:rPr>
        <w:t>§6719.</w:t>
      </w:r>
      <w:r w:rsidRPr="006E50FF">
        <w:rPr>
          <w:b/>
          <w:kern w:val="2"/>
        </w:rPr>
        <w:tab/>
        <w:t>Deemed Status</w:t>
      </w:r>
      <w:bookmarkEnd w:id="615"/>
    </w:p>
    <w:p w14:paraId="5510F2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631D5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36:254 and R.S. </w:t>
      </w:r>
      <w:bookmarkStart w:id="616" w:name="_Hlk235610132"/>
      <w:r w:rsidRPr="006E50FF">
        <w:rPr>
          <w:kern w:val="2"/>
          <w:sz w:val="18"/>
        </w:rPr>
        <w:t>40:2180.21-2180.28.</w:t>
      </w:r>
    </w:p>
    <w:bookmarkEnd w:id="616"/>
    <w:p w14:paraId="40D5CAE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Bureau of Health Services Financing, LR 48:2112 (August 2022), amended by the Department of Health, Health Standards Section, LR 51:72 (January 2025), repealed, LR 52:</w:t>
      </w:r>
    </w:p>
    <w:p w14:paraId="64D505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17" w:name="_Toc230180354"/>
      <w:r w:rsidRPr="006E50FF">
        <w:rPr>
          <w:b/>
          <w:kern w:val="2"/>
        </w:rPr>
        <w:t>Subchapter C.</w:t>
      </w:r>
      <w:r w:rsidRPr="006E50FF">
        <w:rPr>
          <w:b/>
          <w:kern w:val="2"/>
        </w:rPr>
        <w:tab/>
        <w:t>Admissions, Transfers and Discharges</w:t>
      </w:r>
      <w:bookmarkEnd w:id="617"/>
    </w:p>
    <w:p w14:paraId="5B4047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18" w:name="_Toc230180355"/>
      <w:r w:rsidRPr="006E50FF">
        <w:rPr>
          <w:b/>
          <w:kern w:val="2"/>
        </w:rPr>
        <w:t>§6743.</w:t>
      </w:r>
      <w:r w:rsidRPr="006E50FF">
        <w:rPr>
          <w:b/>
          <w:kern w:val="2"/>
        </w:rPr>
        <w:tab/>
        <w:t>Prohibitions to Admission or Continued Care in a Free-Standing Birth Center (FSBC</w:t>
      </w:r>
      <w:bookmarkEnd w:id="618"/>
      <w:r w:rsidRPr="006E50FF">
        <w:rPr>
          <w:b/>
          <w:kern w:val="2"/>
        </w:rPr>
        <w:t>)</w:t>
      </w:r>
    </w:p>
    <w:p w14:paraId="4C04EB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FSBC shall not knowingly accept or thereafter maintain responsibility for the prenatal or intrapartum care of a woman who:</w:t>
      </w:r>
    </w:p>
    <w:p w14:paraId="73DC7DF3"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1. - 18.</w:t>
      </w:r>
      <w:r w:rsidRPr="006E50FF">
        <w:rPr>
          <w:kern w:val="2"/>
        </w:rPr>
        <w:tab/>
        <w:t>...</w:t>
      </w:r>
    </w:p>
    <w:p w14:paraId="6CD8C7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has been taking medications known to cause Neonatal Abstinence Syndrome. The FSBC shall have documented evidence that medications as prescribed will not increase risk to the pregnancy or delivery;</w:t>
      </w:r>
    </w:p>
    <w:p w14:paraId="53729B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A.20. - C.</w:t>
      </w:r>
      <w:r w:rsidRPr="006E50FF">
        <w:rPr>
          <w:kern w:val="2"/>
        </w:rPr>
        <w:tab/>
        <w:t>...</w:t>
      </w:r>
    </w:p>
    <w:p w14:paraId="6ED036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40:2180.21-2180.28.</w:t>
      </w:r>
    </w:p>
    <w:p w14:paraId="44C4F8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Bureau of Health Services Financing, LR 48:2117 (August 2022), amended LR 49:483 (March 2023), amended by the Department of Health, Health Standards Section, LR 52:228 (February 2026), amended by the Department of Health, Health Standards Section, LR 52:</w:t>
      </w:r>
    </w:p>
    <w:p w14:paraId="538A68A1" w14:textId="77777777" w:rsidR="006E50FF" w:rsidRPr="006E50FF" w:rsidRDefault="006E50FF" w:rsidP="006E50FF">
      <w:pPr>
        <w:keepNext/>
        <w:jc w:val="center"/>
        <w:rPr>
          <w:b/>
          <w:kern w:val="28"/>
        </w:rPr>
      </w:pPr>
      <w:r w:rsidRPr="006E50FF">
        <w:rPr>
          <w:b/>
          <w:kern w:val="28"/>
        </w:rPr>
        <w:t>Family Impact Statement</w:t>
      </w:r>
    </w:p>
    <w:p w14:paraId="7FDCC8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53FAF7F8" w14:textId="77777777" w:rsidR="006E50FF" w:rsidRPr="006E50FF" w:rsidRDefault="006E50FF" w:rsidP="006E50FF">
      <w:pPr>
        <w:keepNext/>
        <w:jc w:val="center"/>
        <w:rPr>
          <w:b/>
          <w:kern w:val="28"/>
        </w:rPr>
      </w:pPr>
      <w:r w:rsidRPr="006E50FF">
        <w:rPr>
          <w:b/>
          <w:kern w:val="28"/>
        </w:rPr>
        <w:t>Poverty Impact Statement</w:t>
      </w:r>
    </w:p>
    <w:p w14:paraId="5E07D2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6D1A4721" w14:textId="77777777" w:rsidR="006E50FF" w:rsidRPr="006E50FF" w:rsidRDefault="006E50FF" w:rsidP="006E50FF">
      <w:pPr>
        <w:keepNext/>
        <w:jc w:val="center"/>
        <w:rPr>
          <w:b/>
          <w:kern w:val="28"/>
        </w:rPr>
      </w:pPr>
      <w:r w:rsidRPr="006E50FF">
        <w:rPr>
          <w:b/>
          <w:kern w:val="28"/>
        </w:rPr>
        <w:t>Small Business Analysis</w:t>
      </w:r>
    </w:p>
    <w:p w14:paraId="2427A1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1F6482A9" w14:textId="77777777" w:rsidR="006E50FF" w:rsidRPr="006E50FF" w:rsidRDefault="006E50FF" w:rsidP="006E50FF">
      <w:pPr>
        <w:keepNext/>
        <w:jc w:val="center"/>
        <w:rPr>
          <w:b/>
          <w:kern w:val="28"/>
        </w:rPr>
      </w:pPr>
      <w:r w:rsidRPr="006E50FF">
        <w:rPr>
          <w:b/>
          <w:kern w:val="28"/>
        </w:rPr>
        <w:t>Provider Impact Statement</w:t>
      </w:r>
    </w:p>
    <w:p w14:paraId="6DF545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75871404" w14:textId="77777777" w:rsidR="006E50FF" w:rsidRPr="006E50FF" w:rsidRDefault="006E50FF" w:rsidP="006E50FF">
      <w:pPr>
        <w:keepNext/>
        <w:jc w:val="center"/>
        <w:rPr>
          <w:b/>
          <w:kern w:val="28"/>
        </w:rPr>
      </w:pPr>
      <w:r w:rsidRPr="006E50FF">
        <w:rPr>
          <w:b/>
          <w:kern w:val="28"/>
        </w:rPr>
        <w:t>Public Comments</w:t>
      </w:r>
    </w:p>
    <w:p w14:paraId="5A17D5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Cecile Castello, RN, Health Standards Section, P.O. Box 3767, Baton Rouge, LA 70821. Ms. Castello is responsible for responding to inquiries regarding this proposed Rule. The deadline for submitting written comments is at 4:30 p.m. on October 23, 2026.</w:t>
      </w:r>
    </w:p>
    <w:p w14:paraId="5F6E957C" w14:textId="77777777" w:rsidR="006E50FF" w:rsidRPr="006E50FF" w:rsidRDefault="006E50FF" w:rsidP="006E50FF">
      <w:pPr>
        <w:keepNext/>
        <w:jc w:val="center"/>
        <w:rPr>
          <w:b/>
          <w:kern w:val="28"/>
        </w:rPr>
      </w:pPr>
      <w:r w:rsidRPr="006E50FF">
        <w:rPr>
          <w:b/>
          <w:kern w:val="28"/>
        </w:rPr>
        <w:t>Public Hearing</w:t>
      </w:r>
    </w:p>
    <w:p w14:paraId="3069A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49:953(A)(2)(a) are satisfied, LDH will conduct a public hearing at 9:30 a.m. on October 22, 2026, in Room 173 of the Bienville Building, which is located at 628 North Fourth Street, Baton Rouge, LA. To confirm whether a public hearing will be held, interested individuals should first call Allen Enger at (225) 342-1342 after October 6, 2026. If a public hearing is to be held, all interested individuals are invited to attend and present data, views, comments, or arguments, orally or in writing. In the event of a hearing, parking is available to the public in the Galvez Parking Garage, which is located between North Sixth and North Fifth/North and Main Streets (cater-corner from the Bienville Building). </w:t>
      </w:r>
    </w:p>
    <w:p w14:paraId="5FF504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5B1FFF1" w14:textId="77777777" w:rsidR="006E50FF" w:rsidRPr="006E50FF" w:rsidRDefault="006E50FF" w:rsidP="006E50FF">
      <w:pPr>
        <w:keepNext/>
        <w:ind w:left="2160"/>
        <w:jc w:val="both"/>
      </w:pPr>
      <w:r w:rsidRPr="006E50FF">
        <w:t>Bruce D. Greenstein</w:t>
      </w:r>
    </w:p>
    <w:p w14:paraId="28B4ACD3" w14:textId="77777777" w:rsidR="006E50FF" w:rsidRPr="006E50FF" w:rsidRDefault="006E50FF" w:rsidP="006E50FF">
      <w:pPr>
        <w:keepNext/>
        <w:ind w:left="2160"/>
        <w:jc w:val="both"/>
      </w:pPr>
      <w:r w:rsidRPr="006E50FF">
        <w:t>Secretary</w:t>
      </w:r>
    </w:p>
    <w:p w14:paraId="3656E030" w14:textId="77777777" w:rsidR="006E50FF" w:rsidRPr="006E50FF" w:rsidRDefault="006E50FF" w:rsidP="006E50FF">
      <w:pPr>
        <w:keepNext/>
        <w:jc w:val="center"/>
        <w:rPr>
          <w:b/>
        </w:rPr>
      </w:pPr>
    </w:p>
    <w:p w14:paraId="3DE35A7E" w14:textId="77777777" w:rsidR="006E50FF" w:rsidRPr="006E50FF" w:rsidRDefault="006E50FF" w:rsidP="006E50FF">
      <w:pPr>
        <w:keepNext/>
        <w:jc w:val="center"/>
        <w:rPr>
          <w:b/>
        </w:rPr>
      </w:pPr>
      <w:r w:rsidRPr="006E50FF">
        <w:rPr>
          <w:b/>
        </w:rPr>
        <w:t>FISCAL AND ECONOMIC IMPACT STATEMENT FOR ADMINISTRATIVE RULES</w:t>
      </w:r>
    </w:p>
    <w:p w14:paraId="5613716F" w14:textId="77777777" w:rsidR="006E50FF" w:rsidRPr="006E50FF" w:rsidRDefault="006E50FF" w:rsidP="006E50FF">
      <w:pPr>
        <w:keepNext/>
        <w:jc w:val="center"/>
        <w:rPr>
          <w:b/>
          <w:noProof/>
        </w:rPr>
      </w:pPr>
      <w:r w:rsidRPr="006E50FF">
        <w:rPr>
          <w:b/>
          <w:noProof/>
        </w:rPr>
        <w:t>RULE TITLE:  Free-Standing Birth Centers</w:t>
      </w:r>
      <w:r w:rsidRPr="006E50FF">
        <w:rPr>
          <w:b/>
          <w:noProof/>
        </w:rPr>
        <w:br/>
        <w:t>Licensing Standards</w:t>
      </w:r>
    </w:p>
    <w:p w14:paraId="42F38B1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42C9E92"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ECC0203" w14:textId="77777777" w:rsidR="006E50FF" w:rsidRPr="006E50FF" w:rsidRDefault="006E50FF" w:rsidP="006E50FF">
      <w:pPr>
        <w:ind w:left="288" w:firstLine="288"/>
        <w:jc w:val="both"/>
        <w:rPr>
          <w:noProof/>
          <w:sz w:val="18"/>
        </w:rPr>
      </w:pPr>
      <w:r w:rsidRPr="006E50FF">
        <w:rPr>
          <w:noProof/>
          <w:sz w:val="18"/>
        </w:rPr>
        <w:t xml:space="preserve">It is anticipated that implementation of this proposed Rule will have no programmatic fiscal impact on the costs of the state or local governmental units other than the cost of promulgation in FY 27. It is anticipated that $391 SGR will be expended in FY 27 for the state's administrative expense for promulgation of this proposed rule and the final rule. </w:t>
      </w:r>
    </w:p>
    <w:p w14:paraId="4375DEB1" w14:textId="77777777" w:rsidR="006E50FF" w:rsidRPr="006E50FF" w:rsidRDefault="006E50FF" w:rsidP="006E50FF">
      <w:pPr>
        <w:ind w:left="288" w:firstLine="288"/>
        <w:jc w:val="both"/>
        <w:rPr>
          <w:sz w:val="18"/>
        </w:rPr>
      </w:pPr>
      <w:r w:rsidRPr="006E50FF">
        <w:rPr>
          <w:sz w:val="18"/>
        </w:rPr>
        <w:t>This proposed Rule repeals LAC 48.I.6719 and amends §6743 of the provisions governing free-standing birth centers (FSBC) licensing standards to: (1) update licensure requirements, and (2) clarify circumstances for when a FSBC provider shall not knowingly accept or thereafter maintain responsibility for the prenatal or intrapartum care of a woman.</w:t>
      </w:r>
    </w:p>
    <w:p w14:paraId="1BED0F9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07B9474" w14:textId="77777777" w:rsidR="006E50FF" w:rsidRPr="006E50FF" w:rsidRDefault="006E50FF" w:rsidP="006E50FF">
      <w:pPr>
        <w:ind w:left="288" w:firstLine="288"/>
        <w:jc w:val="both"/>
        <w:rPr>
          <w:sz w:val="18"/>
        </w:rPr>
      </w:pPr>
      <w:r w:rsidRPr="006E50FF">
        <w:rPr>
          <w:sz w:val="18"/>
        </w:rPr>
        <w:t>It is anticipated that implementation of this proposed Rule will not impact revenue collections of state or local governmental units.</w:t>
      </w:r>
    </w:p>
    <w:p w14:paraId="4FFB115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DD5F3ED" w14:textId="77777777" w:rsidR="006E50FF" w:rsidRPr="006E50FF" w:rsidRDefault="006E50FF" w:rsidP="006E50FF">
      <w:pPr>
        <w:ind w:left="288" w:firstLine="288"/>
        <w:jc w:val="both"/>
        <w:rPr>
          <w:sz w:val="18"/>
        </w:rPr>
      </w:pPr>
      <w:r w:rsidRPr="006E50FF">
        <w:rPr>
          <w:sz w:val="18"/>
        </w:rPr>
        <w:t>It is anticipated that implementation of this proposed rule will not result in costs and/or economic benefits to those directly affected persons, small businesses, or non-governmental groups.</w:t>
      </w:r>
    </w:p>
    <w:p w14:paraId="43FBAE74"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9606C96" w14:textId="77777777" w:rsidR="006E50FF" w:rsidRPr="006E50FF" w:rsidRDefault="006E50FF" w:rsidP="006E50FF">
      <w:pPr>
        <w:ind w:left="288" w:firstLine="288"/>
        <w:jc w:val="both"/>
        <w:rPr>
          <w:sz w:val="18"/>
        </w:rPr>
      </w:pPr>
      <w:r w:rsidRPr="006E50FF">
        <w:rPr>
          <w:sz w:val="18"/>
        </w:rPr>
        <w:t>It is anticipated that this proposed rule will not have an impact on competition and employment.</w:t>
      </w:r>
    </w:p>
    <w:p w14:paraId="7332852A" w14:textId="77777777" w:rsidR="006E50FF" w:rsidRPr="006E50FF" w:rsidRDefault="006E50FF" w:rsidP="006E50FF">
      <w:pPr>
        <w:ind w:left="288" w:firstLine="288"/>
        <w:jc w:val="both"/>
        <w:rPr>
          <w:sz w:val="18"/>
        </w:rPr>
      </w:pPr>
    </w:p>
    <w:p w14:paraId="742B91D1" w14:textId="77777777" w:rsidR="006E50FF" w:rsidRPr="006E50FF" w:rsidRDefault="006E50FF" w:rsidP="006E50FF">
      <w:pPr>
        <w:tabs>
          <w:tab w:val="left" w:pos="2880"/>
          <w:tab w:val="decimal" w:pos="2988"/>
        </w:tabs>
        <w:outlineLvl w:val="8"/>
        <w:rPr>
          <w:kern w:val="2"/>
          <w:sz w:val="18"/>
        </w:rPr>
      </w:pPr>
      <w:r w:rsidRPr="006E50FF">
        <w:rPr>
          <w:kern w:val="2"/>
          <w:sz w:val="18"/>
        </w:rPr>
        <w:lastRenderedPageBreak/>
        <w:t>Cecile Castello, RN</w:t>
      </w:r>
      <w:r w:rsidRPr="006E50FF">
        <w:rPr>
          <w:kern w:val="2"/>
          <w:sz w:val="18"/>
        </w:rPr>
        <w:tab/>
        <w:t>Alan M. Boxberger</w:t>
      </w:r>
    </w:p>
    <w:p w14:paraId="4685FEFA"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Secretary</w:t>
      </w:r>
      <w:r w:rsidRPr="006E50FF">
        <w:rPr>
          <w:kern w:val="2"/>
          <w:sz w:val="18"/>
        </w:rPr>
        <w:tab/>
        <w:t>Legislative Fiscal Officer</w:t>
      </w:r>
    </w:p>
    <w:p w14:paraId="1D93A6FF" w14:textId="77777777" w:rsidR="006E50FF" w:rsidRPr="006E50FF" w:rsidRDefault="006E50FF" w:rsidP="006E50FF">
      <w:pPr>
        <w:tabs>
          <w:tab w:val="left" w:pos="2880"/>
          <w:tab w:val="decimal" w:pos="2988"/>
        </w:tabs>
        <w:outlineLvl w:val="8"/>
        <w:rPr>
          <w:kern w:val="2"/>
          <w:sz w:val="18"/>
        </w:rPr>
      </w:pPr>
      <w:r w:rsidRPr="006E50FF">
        <w:rPr>
          <w:noProof/>
          <w:sz w:val="16"/>
        </w:rPr>
        <w:t>2609#059</w:t>
      </w:r>
      <w:r w:rsidRPr="006E50FF">
        <w:rPr>
          <w:kern w:val="2"/>
        </w:rPr>
        <w:tab/>
      </w:r>
      <w:r w:rsidRPr="006E50FF">
        <w:rPr>
          <w:kern w:val="2"/>
          <w:sz w:val="18"/>
        </w:rPr>
        <w:t>Legislative Fiscal Office</w:t>
      </w:r>
    </w:p>
    <w:p w14:paraId="447A46E0" w14:textId="77777777" w:rsidR="006E50FF" w:rsidRPr="006E50FF" w:rsidRDefault="006E50FF" w:rsidP="006E50FF"/>
    <w:p w14:paraId="21FDC8BB"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200A811B" w14:textId="77777777" w:rsidR="006E50FF" w:rsidRPr="006E50FF" w:rsidRDefault="006E50FF" w:rsidP="006E50FF">
      <w:pPr>
        <w:keepNext/>
        <w:jc w:val="center"/>
        <w:rPr>
          <w:rFonts w:eastAsia="Calibri"/>
          <w:b/>
          <w:noProof/>
        </w:rPr>
      </w:pPr>
      <w:r w:rsidRPr="006E50FF">
        <w:rPr>
          <w:rFonts w:eastAsia="Calibri"/>
          <w:b/>
          <w:noProof/>
        </w:rPr>
        <w:t>Department of Health</w:t>
      </w:r>
    </w:p>
    <w:p w14:paraId="4E07B41C" w14:textId="77777777" w:rsidR="006E50FF" w:rsidRPr="006E50FF" w:rsidRDefault="006E50FF" w:rsidP="006E50FF">
      <w:pPr>
        <w:keepNext/>
        <w:jc w:val="center"/>
        <w:rPr>
          <w:rFonts w:eastAsia="Calibri"/>
          <w:b/>
          <w:noProof/>
        </w:rPr>
      </w:pPr>
      <w:r w:rsidRPr="006E50FF">
        <w:rPr>
          <w:rFonts w:eastAsia="Calibri"/>
          <w:b/>
          <w:noProof/>
        </w:rPr>
        <w:t>Health Standards Section</w:t>
      </w:r>
    </w:p>
    <w:p w14:paraId="18958512" w14:textId="77777777" w:rsidR="006E50FF" w:rsidRPr="006E50FF" w:rsidRDefault="006E50FF" w:rsidP="006E50FF">
      <w:pPr>
        <w:keepNext/>
        <w:spacing w:before="240" w:after="240"/>
        <w:jc w:val="center"/>
        <w:rPr>
          <w:rFonts w:eastAsia="Calibri"/>
          <w:noProof/>
        </w:rPr>
      </w:pPr>
      <w:r w:rsidRPr="006E50FF">
        <w:rPr>
          <w:rFonts w:eastAsia="Calibri"/>
          <w:noProof/>
        </w:rPr>
        <w:t>Nurse Licensure Compact (LAC 48:I.8803)</w:t>
      </w:r>
    </w:p>
    <w:p w14:paraId="3B1EB06C"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The Department of Health, Health Standards Section (the department), proposes to amend LAC 48:I.8803 as authorized by R.S. 36:254 and R.S. 37:1018-1020. This proposed Rule is promulgated in accordance with the provisions of the Administrative Procedure Act, R.S. 49:950 et seq.</w:t>
      </w:r>
    </w:p>
    <w:p w14:paraId="2362F18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The proposed Rule amends the provisions governing the nurse licensure compact to update the provider types required to register with the National Council State Boards of Nursing e-Notify system.</w:t>
      </w:r>
    </w:p>
    <w:p w14:paraId="25D7CCA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The proposed Rule text below has been drafted utilizing plain language principles to ensure clarity and accessibility for all users. It has also been reviewed and tested for compliance with web accessibility standards.</w:t>
      </w:r>
    </w:p>
    <w:p w14:paraId="62D25CD5" w14:textId="77777777" w:rsidR="006E50FF" w:rsidRPr="006E50FF" w:rsidRDefault="006E50FF" w:rsidP="006E50FF">
      <w:pPr>
        <w:keepNext/>
        <w:jc w:val="center"/>
        <w:rPr>
          <w:rFonts w:eastAsia="Calibri"/>
          <w:b/>
          <w:kern w:val="28"/>
        </w:rPr>
      </w:pPr>
      <w:r w:rsidRPr="006E50FF">
        <w:rPr>
          <w:rFonts w:eastAsia="Calibri"/>
          <w:b/>
          <w:kern w:val="28"/>
        </w:rPr>
        <w:t>Title 48</w:t>
      </w:r>
    </w:p>
    <w:p w14:paraId="3B404C7E" w14:textId="77777777" w:rsidR="006E50FF" w:rsidRPr="006E50FF" w:rsidRDefault="006E50FF" w:rsidP="006E50FF">
      <w:pPr>
        <w:keepNext/>
        <w:jc w:val="center"/>
        <w:rPr>
          <w:rFonts w:eastAsia="Calibri"/>
          <w:b/>
          <w:kern w:val="28"/>
        </w:rPr>
      </w:pPr>
      <w:r w:rsidRPr="006E50FF">
        <w:rPr>
          <w:rFonts w:eastAsia="Calibri"/>
          <w:b/>
          <w:kern w:val="28"/>
        </w:rPr>
        <w:t>PUBLIC HEALTH—GENERAL</w:t>
      </w:r>
    </w:p>
    <w:p w14:paraId="2CC353F1" w14:textId="77777777" w:rsidR="006E50FF" w:rsidRPr="006E50FF" w:rsidRDefault="006E50FF" w:rsidP="006E50FF">
      <w:pPr>
        <w:keepNext/>
        <w:jc w:val="center"/>
        <w:rPr>
          <w:rFonts w:eastAsia="Calibri"/>
          <w:b/>
          <w:noProof/>
        </w:rPr>
      </w:pPr>
      <w:r w:rsidRPr="006E50FF">
        <w:rPr>
          <w:rFonts w:eastAsia="Calibri"/>
          <w:b/>
          <w:noProof/>
        </w:rPr>
        <w:t>Part I.  General Administration</w:t>
      </w:r>
    </w:p>
    <w:p w14:paraId="5C781A0B" w14:textId="77777777" w:rsidR="006E50FF" w:rsidRPr="006E50FF" w:rsidRDefault="006E50FF" w:rsidP="006E50FF">
      <w:pPr>
        <w:keepNext/>
        <w:jc w:val="center"/>
        <w:rPr>
          <w:rFonts w:eastAsia="Calibri"/>
          <w:b/>
          <w:noProof/>
        </w:rPr>
      </w:pPr>
      <w:r w:rsidRPr="006E50FF">
        <w:rPr>
          <w:rFonts w:eastAsia="Calibri"/>
          <w:b/>
          <w:noProof/>
        </w:rPr>
        <w:t>Subpart 3.  Licensing and Certification</w:t>
      </w:r>
    </w:p>
    <w:p w14:paraId="068BFB8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19" w:name="_Toc230180793"/>
      <w:r w:rsidRPr="006E50FF">
        <w:rPr>
          <w:b/>
          <w:kern w:val="2"/>
        </w:rPr>
        <w:t>Chapter 88.</w:t>
      </w:r>
      <w:r w:rsidRPr="006E50FF">
        <w:rPr>
          <w:b/>
          <w:kern w:val="2"/>
        </w:rPr>
        <w:tab/>
        <w:t>Nurse Licensure Compact</w:t>
      </w:r>
      <w:bookmarkEnd w:id="619"/>
    </w:p>
    <w:p w14:paraId="433C3F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20" w:name="_Toc230180795"/>
      <w:r w:rsidRPr="006E50FF">
        <w:rPr>
          <w:b/>
          <w:kern w:val="2"/>
        </w:rPr>
        <w:t>§8803.</w:t>
      </w:r>
      <w:r w:rsidRPr="006E50FF">
        <w:rPr>
          <w:b/>
          <w:kern w:val="2"/>
        </w:rPr>
        <w:tab/>
        <w:t>General Administration</w:t>
      </w:r>
      <w:bookmarkEnd w:id="620"/>
    </w:p>
    <w:p w14:paraId="7965C7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50AE8E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Once registered, the licensed facility/agency, the Louisiana State Board of Nursing (LSBN) and the Louisiana State Board of Practical Nurse Examiners (LSBPNE) shall have real-time access to nurse licensure verification including expiration dates, upcoming renewals and discipline from all nurse licensure compact states. The real-time notifications shall be delivered to employer inboxes automatically and immediately available to the requisite nursing boards prior to a registered nurse (RN), licensed practical nurse (LPN), or licensed vocational nurse (LVN) furnishing any such services in one or more of the following licensed and/or certified health care facilities and agencies, including but not limited to:</w:t>
      </w:r>
    </w:p>
    <w:p w14:paraId="53AE5F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- 20.</w:t>
      </w:r>
      <w:r w:rsidRPr="006E50FF">
        <w:rPr>
          <w:kern w:val="2"/>
        </w:rPr>
        <w:tab/>
        <w:t>...</w:t>
      </w:r>
    </w:p>
    <w:p w14:paraId="638296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free-standing birth centers (FSBC);</w:t>
      </w:r>
    </w:p>
    <w:p w14:paraId="23E4C3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22. - 25.</w:t>
      </w:r>
      <w:r w:rsidRPr="006E50FF">
        <w:rPr>
          <w:kern w:val="2"/>
        </w:rPr>
        <w:tab/>
        <w:t>...</w:t>
      </w:r>
    </w:p>
    <w:p w14:paraId="1A3E81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36:254 and R.S. </w:t>
      </w:r>
      <w:bookmarkStart w:id="621" w:name="_Hlk232076491"/>
      <w:r w:rsidRPr="006E50FF">
        <w:rPr>
          <w:kern w:val="2"/>
          <w:sz w:val="18"/>
        </w:rPr>
        <w:t>37:1018-1020</w:t>
      </w:r>
      <w:bookmarkEnd w:id="621"/>
      <w:r w:rsidRPr="006E50FF">
        <w:rPr>
          <w:kern w:val="2"/>
          <w:sz w:val="18"/>
        </w:rPr>
        <w:t>.</w:t>
      </w:r>
    </w:p>
    <w:p w14:paraId="6AF10F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Bureau of Health Services Financing, LR 45:45 (January 2019), amended by the Department of Health, Health Standards Section, LR 52:</w:t>
      </w:r>
    </w:p>
    <w:p w14:paraId="3CE4C667" w14:textId="77777777" w:rsidR="006E50FF" w:rsidRPr="006E50FF" w:rsidRDefault="006E50FF" w:rsidP="006E50FF">
      <w:pPr>
        <w:keepNext/>
        <w:jc w:val="center"/>
        <w:rPr>
          <w:rFonts w:eastAsia="Calibri"/>
          <w:b/>
          <w:kern w:val="28"/>
        </w:rPr>
      </w:pPr>
      <w:r w:rsidRPr="006E50FF">
        <w:rPr>
          <w:rFonts w:eastAsia="Calibri"/>
          <w:b/>
          <w:kern w:val="28"/>
        </w:rPr>
        <w:t>Family Impact Statement</w:t>
      </w:r>
    </w:p>
    <w:p w14:paraId="2F9C378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170C3022" w14:textId="77777777" w:rsidR="006E50FF" w:rsidRPr="006E50FF" w:rsidRDefault="006E50FF" w:rsidP="006E50FF">
      <w:pPr>
        <w:keepNext/>
        <w:jc w:val="center"/>
        <w:rPr>
          <w:rFonts w:eastAsia="Calibri"/>
          <w:b/>
          <w:kern w:val="28"/>
        </w:rPr>
      </w:pPr>
      <w:r w:rsidRPr="006E50FF">
        <w:rPr>
          <w:rFonts w:eastAsia="Calibri"/>
          <w:b/>
          <w:kern w:val="28"/>
        </w:rPr>
        <w:t>Poverty Impact Statement</w:t>
      </w:r>
    </w:p>
    <w:p w14:paraId="499F514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In compliance with Act 854 of the 2012 Regular Session of the Louisiana Legislature, the poverty impact of this proposed Rule has been considered. It is anticipated that this proposed Rule will have no impact on child, individual, or family </w:t>
      </w:r>
      <w:r w:rsidRPr="006E50FF">
        <w:rPr>
          <w:rFonts w:eastAsia="Calibri"/>
          <w:kern w:val="2"/>
        </w:rPr>
        <w:t>poverty in relation to individual or community asset development as described in R.S. 49:973.</w:t>
      </w:r>
    </w:p>
    <w:p w14:paraId="7FFD20B2" w14:textId="77777777" w:rsidR="006E50FF" w:rsidRPr="006E50FF" w:rsidRDefault="006E50FF" w:rsidP="006E50FF">
      <w:pPr>
        <w:keepNext/>
        <w:jc w:val="center"/>
        <w:rPr>
          <w:rFonts w:eastAsia="Calibri"/>
          <w:b/>
          <w:kern w:val="28"/>
        </w:rPr>
      </w:pPr>
      <w:r w:rsidRPr="006E50FF">
        <w:rPr>
          <w:rFonts w:eastAsia="Calibri"/>
          <w:b/>
          <w:kern w:val="28"/>
        </w:rPr>
        <w:t>Small Business Analysis</w:t>
      </w:r>
    </w:p>
    <w:p w14:paraId="2CDC570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 compliance with the Small Business Protection Act, the economic impact of this proposed Rule on small businesses has been considered. It is anticipated that this proposed Rule will not have an impact on small businesses.</w:t>
      </w:r>
    </w:p>
    <w:p w14:paraId="1C04A0CF" w14:textId="77777777" w:rsidR="006E50FF" w:rsidRPr="006E50FF" w:rsidRDefault="006E50FF" w:rsidP="006E50FF">
      <w:pPr>
        <w:keepNext/>
        <w:jc w:val="center"/>
        <w:rPr>
          <w:rFonts w:eastAsia="Calibri"/>
          <w:b/>
          <w:kern w:val="28"/>
        </w:rPr>
      </w:pPr>
      <w:r w:rsidRPr="006E50FF">
        <w:rPr>
          <w:rFonts w:eastAsia="Calibri"/>
          <w:b/>
          <w:kern w:val="28"/>
        </w:rPr>
        <w:t>Provider Impact Statement</w:t>
      </w:r>
    </w:p>
    <w:p w14:paraId="7899EE2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 compliance with House Concurrent Resolution (HCR) 170 of the 2014 Regular Session of the Louisiana Legislature, the provider impact of this proposed Rule has been considered. It is anticipated that this proposed Rule will not have an impact on providers.</w:t>
      </w:r>
    </w:p>
    <w:p w14:paraId="44533167" w14:textId="77777777" w:rsidR="006E50FF" w:rsidRPr="006E50FF" w:rsidRDefault="006E50FF" w:rsidP="006E50FF">
      <w:pPr>
        <w:keepNext/>
        <w:jc w:val="center"/>
        <w:rPr>
          <w:rFonts w:eastAsia="Calibri"/>
          <w:b/>
          <w:kern w:val="28"/>
        </w:rPr>
      </w:pPr>
      <w:r w:rsidRPr="006E50FF">
        <w:rPr>
          <w:rFonts w:eastAsia="Calibri"/>
          <w:b/>
          <w:kern w:val="28"/>
        </w:rPr>
        <w:t>Public Comments</w:t>
      </w:r>
    </w:p>
    <w:p w14:paraId="469B1C6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Interested persons may submit written comments to Cecile Castello, RN, Health Standards Section, Post Office Box 3767, Baton Rouge, LA 70821. Ms. Castello is responsible for responding to inquiries regarding this proposed Rule. The deadline for submitting written comments is 4:30 p.m. on October 23, 2026.</w:t>
      </w:r>
    </w:p>
    <w:p w14:paraId="479D690B" w14:textId="77777777" w:rsidR="006E50FF" w:rsidRPr="006E50FF" w:rsidRDefault="006E50FF" w:rsidP="006E50FF">
      <w:pPr>
        <w:keepNext/>
        <w:jc w:val="center"/>
        <w:rPr>
          <w:rFonts w:eastAsia="Calibri"/>
          <w:b/>
          <w:kern w:val="28"/>
        </w:rPr>
      </w:pPr>
      <w:r w:rsidRPr="006E50FF">
        <w:rPr>
          <w:rFonts w:eastAsia="Calibri"/>
          <w:b/>
          <w:kern w:val="28"/>
        </w:rPr>
        <w:t xml:space="preserve">Public Hearing </w:t>
      </w:r>
    </w:p>
    <w:p w14:paraId="7CD3ABB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49:953(A)(2)(a) are satisfied, LDH will conduct a public hearing at 9:30 a.m. on October 22, 2026 in Room 173 of the Bienville Building, which is located at 628 North Fourth Street, Baton Rouge, LA. To confirm whether a public hearing will be held, interested persons should first call Allen Enger at (225) 342-1342 after October 6, 2026. If a public hearing is to be held, all interested persons are invited to attend and present data, views, comments, or arguments, orally or in writing. In the event of a hearing, parking is available to the public in the Galvez Parking Garage, which is located between North Sixth and North Fifth/North and Main Streets (cater-corner from the Bienville Building.</w:t>
      </w:r>
    </w:p>
    <w:p w14:paraId="5F6FEB8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p>
    <w:p w14:paraId="63AB04FC" w14:textId="77777777" w:rsidR="006E50FF" w:rsidRPr="006E50FF" w:rsidRDefault="006E50FF" w:rsidP="006E50FF">
      <w:pPr>
        <w:keepNext/>
        <w:ind w:left="2160"/>
        <w:jc w:val="both"/>
        <w:rPr>
          <w:rFonts w:eastAsia="Calibri"/>
        </w:rPr>
      </w:pPr>
      <w:r w:rsidRPr="006E50FF">
        <w:rPr>
          <w:rFonts w:eastAsia="Calibri"/>
        </w:rPr>
        <w:t>Bruce D. Greenstein</w:t>
      </w:r>
    </w:p>
    <w:p w14:paraId="32EB362D" w14:textId="77777777" w:rsidR="006E50FF" w:rsidRPr="006E50FF" w:rsidRDefault="006E50FF" w:rsidP="006E50FF">
      <w:pPr>
        <w:keepNext/>
        <w:ind w:left="2160"/>
        <w:jc w:val="both"/>
        <w:rPr>
          <w:rFonts w:eastAsia="Calibri"/>
        </w:rPr>
      </w:pPr>
      <w:r w:rsidRPr="006E50FF">
        <w:rPr>
          <w:rFonts w:eastAsia="Calibri"/>
        </w:rPr>
        <w:t>Secretary</w:t>
      </w:r>
    </w:p>
    <w:p w14:paraId="048A3524" w14:textId="77777777" w:rsidR="006E50FF" w:rsidRPr="006E50FF" w:rsidRDefault="006E50FF" w:rsidP="006E50FF">
      <w:pPr>
        <w:keepNext/>
        <w:jc w:val="center"/>
        <w:rPr>
          <w:b/>
        </w:rPr>
      </w:pPr>
    </w:p>
    <w:p w14:paraId="452562EB" w14:textId="77777777" w:rsidR="006E50FF" w:rsidRPr="006E50FF" w:rsidRDefault="006E50FF" w:rsidP="006E50FF">
      <w:pPr>
        <w:keepNext/>
        <w:jc w:val="center"/>
        <w:rPr>
          <w:b/>
        </w:rPr>
      </w:pPr>
      <w:r w:rsidRPr="006E50FF">
        <w:rPr>
          <w:b/>
        </w:rPr>
        <w:t>FISCAL AND ECONOMIC IMPACT STATEMENT FOR ADMINISTRATIVE RULES</w:t>
      </w:r>
    </w:p>
    <w:p w14:paraId="4650BE18" w14:textId="77777777" w:rsidR="006E50FF" w:rsidRPr="006E50FF" w:rsidRDefault="006E50FF" w:rsidP="006E50FF">
      <w:pPr>
        <w:keepNext/>
        <w:jc w:val="center"/>
        <w:rPr>
          <w:b/>
          <w:noProof/>
        </w:rPr>
      </w:pPr>
      <w:r w:rsidRPr="006E50FF">
        <w:rPr>
          <w:b/>
          <w:noProof/>
        </w:rPr>
        <w:t>RULE TITLE:  Nurse Licensure Compact</w:t>
      </w:r>
    </w:p>
    <w:p w14:paraId="229967B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22C14B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023B6C1"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have no programmatic fiscal impact on the costs of the state or local governmental units other than the cost of promulgation in FY 27. It is anticipated that $249 SGR will be expended in FY 27 for the state's administrative expense for promulgation of this proposed rule and the final rule.</w:t>
      </w:r>
    </w:p>
    <w:p w14:paraId="1526D0C6" w14:textId="77777777" w:rsidR="006E50FF" w:rsidRPr="006E50FF" w:rsidRDefault="006E50FF" w:rsidP="006E50FF">
      <w:pPr>
        <w:ind w:left="288" w:firstLine="288"/>
        <w:jc w:val="both"/>
        <w:rPr>
          <w:sz w:val="18"/>
        </w:rPr>
      </w:pPr>
      <w:r w:rsidRPr="006E50FF">
        <w:rPr>
          <w:sz w:val="18"/>
        </w:rPr>
        <w:t>This proposed Rule amends the provisions governing the nurse licensure compact to update the provider types required to register with the National Council State Boards of Nursing e-Notify system.</w:t>
      </w:r>
    </w:p>
    <w:p w14:paraId="0D23FA6C"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84AC771" w14:textId="77777777" w:rsidR="006E50FF" w:rsidRPr="006E50FF" w:rsidRDefault="006E50FF" w:rsidP="006E50FF">
      <w:pPr>
        <w:ind w:left="288" w:firstLine="288"/>
        <w:jc w:val="both"/>
        <w:rPr>
          <w:sz w:val="18"/>
        </w:rPr>
      </w:pPr>
      <w:r w:rsidRPr="006E50FF">
        <w:rPr>
          <w:sz w:val="18"/>
        </w:rPr>
        <w:t>It is anticipated that implementation of this proposed Rule will not impact revenue collections of state or local governmental units.</w:t>
      </w:r>
    </w:p>
    <w:p w14:paraId="27D21B76" w14:textId="77777777" w:rsidR="006E50FF" w:rsidRPr="006E50FF" w:rsidRDefault="006E50FF" w:rsidP="006E50FF">
      <w:pPr>
        <w:ind w:left="288" w:hanging="288"/>
        <w:jc w:val="both"/>
        <w:rPr>
          <w:spacing w:val="-10"/>
          <w:sz w:val="18"/>
        </w:rPr>
      </w:pPr>
      <w:r w:rsidRPr="006E50FF">
        <w:rPr>
          <w:spacing w:val="-10"/>
          <w:sz w:val="18"/>
        </w:rPr>
        <w:lastRenderedPageBreak/>
        <w:t>III.</w:t>
      </w:r>
      <w:r w:rsidRPr="006E50FF">
        <w:rPr>
          <w:spacing w:val="-10"/>
          <w:sz w:val="18"/>
        </w:rPr>
        <w:tab/>
        <w:t>ESTIMATED COSTS AND/OR ECONOMIC BENEFITS TO DIRECTLY AFFECTED PERSONS, SMALL BUSINESSES, OR NONGOVERNMENTAL GROUPS (Summary)</w:t>
      </w:r>
    </w:p>
    <w:p w14:paraId="42743670" w14:textId="77777777" w:rsidR="006E50FF" w:rsidRPr="006E50FF" w:rsidRDefault="006E50FF" w:rsidP="006E50FF">
      <w:pPr>
        <w:ind w:left="288" w:firstLine="288"/>
        <w:jc w:val="both"/>
        <w:rPr>
          <w:sz w:val="18"/>
        </w:rPr>
      </w:pPr>
      <w:r w:rsidRPr="006E50FF">
        <w:rPr>
          <w:sz w:val="18"/>
        </w:rPr>
        <w:t>It is anticipated that implementation of this proposed Rule will not result in costs and/or economic benefits to those directly affected persons, small businesses, or non-governmental groups.</w:t>
      </w:r>
    </w:p>
    <w:p w14:paraId="7F5945D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1ED96389" w14:textId="77777777" w:rsidR="006E50FF" w:rsidRPr="006E50FF" w:rsidRDefault="006E50FF" w:rsidP="006E50FF">
      <w:pPr>
        <w:ind w:left="288" w:firstLine="288"/>
        <w:jc w:val="both"/>
        <w:rPr>
          <w:sz w:val="18"/>
        </w:rPr>
      </w:pPr>
      <w:r w:rsidRPr="006E50FF">
        <w:rPr>
          <w:sz w:val="18"/>
        </w:rPr>
        <w:t>It is anticipated that this proposed Rule will not have an impact on competition and employment.</w:t>
      </w:r>
    </w:p>
    <w:p w14:paraId="14CC402F" w14:textId="77777777" w:rsidR="006E50FF" w:rsidRPr="006E50FF" w:rsidRDefault="006E50FF" w:rsidP="006E50FF">
      <w:pPr>
        <w:ind w:left="288" w:firstLine="288"/>
        <w:jc w:val="both"/>
        <w:rPr>
          <w:sz w:val="18"/>
        </w:rPr>
      </w:pPr>
    </w:p>
    <w:p w14:paraId="7AC71480" w14:textId="77777777" w:rsidR="006E50FF" w:rsidRPr="006E50FF" w:rsidRDefault="006E50FF" w:rsidP="006E50FF">
      <w:pPr>
        <w:tabs>
          <w:tab w:val="left" w:pos="2880"/>
          <w:tab w:val="decimal" w:pos="2988"/>
        </w:tabs>
        <w:outlineLvl w:val="8"/>
        <w:rPr>
          <w:kern w:val="2"/>
          <w:sz w:val="18"/>
        </w:rPr>
      </w:pPr>
      <w:r w:rsidRPr="006E50FF">
        <w:rPr>
          <w:kern w:val="2"/>
          <w:sz w:val="18"/>
        </w:rPr>
        <w:t>Cecile Castello, RN</w:t>
      </w:r>
      <w:r w:rsidRPr="006E50FF">
        <w:rPr>
          <w:kern w:val="2"/>
          <w:sz w:val="18"/>
        </w:rPr>
        <w:tab/>
        <w:t>Alan M. Boxberger</w:t>
      </w:r>
    </w:p>
    <w:p w14:paraId="426A7301"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Secretary</w:t>
      </w:r>
      <w:r w:rsidRPr="006E50FF">
        <w:rPr>
          <w:kern w:val="2"/>
          <w:sz w:val="18"/>
        </w:rPr>
        <w:tab/>
        <w:t>Legislative Fiscal Officer</w:t>
      </w:r>
    </w:p>
    <w:p w14:paraId="08CAB4A0" w14:textId="77777777" w:rsidR="006E50FF" w:rsidRPr="006E50FF" w:rsidRDefault="006E50FF" w:rsidP="006E50FF">
      <w:pPr>
        <w:tabs>
          <w:tab w:val="left" w:pos="2880"/>
          <w:tab w:val="decimal" w:pos="2988"/>
        </w:tabs>
        <w:outlineLvl w:val="8"/>
        <w:rPr>
          <w:kern w:val="2"/>
          <w:sz w:val="18"/>
        </w:rPr>
      </w:pPr>
      <w:r w:rsidRPr="006E50FF">
        <w:rPr>
          <w:noProof/>
          <w:sz w:val="16"/>
        </w:rPr>
        <w:t>2609#060</w:t>
      </w:r>
      <w:r w:rsidRPr="006E50FF">
        <w:rPr>
          <w:kern w:val="2"/>
        </w:rPr>
        <w:tab/>
      </w:r>
      <w:r w:rsidRPr="006E50FF">
        <w:rPr>
          <w:kern w:val="2"/>
          <w:sz w:val="18"/>
        </w:rPr>
        <w:t>Legislative Fiscal Office</w:t>
      </w:r>
    </w:p>
    <w:p w14:paraId="638007A2" w14:textId="77777777" w:rsidR="006E50FF" w:rsidRPr="006E50FF" w:rsidRDefault="006E50FF" w:rsidP="006E50FF"/>
    <w:p w14:paraId="41B1C3D1" w14:textId="77777777" w:rsidR="006E50FF" w:rsidRPr="006E50FF" w:rsidRDefault="006E50FF" w:rsidP="006E50FF">
      <w:pPr>
        <w:keepNext/>
        <w:tabs>
          <w:tab w:val="left" w:pos="-1440"/>
        </w:tabs>
        <w:spacing w:after="120"/>
        <w:jc w:val="center"/>
        <w:rPr>
          <w:b/>
          <w:noProof/>
        </w:rPr>
      </w:pPr>
      <w:bookmarkStart w:id="622" w:name="_Toc152238542"/>
      <w:r w:rsidRPr="006E50FF">
        <w:rPr>
          <w:b/>
          <w:noProof/>
        </w:rPr>
        <w:t>NOTICE OF INTENT</w:t>
      </w:r>
    </w:p>
    <w:p w14:paraId="5BB20D54" w14:textId="77777777" w:rsidR="006E50FF" w:rsidRPr="006E50FF" w:rsidRDefault="006E50FF" w:rsidP="006E50FF">
      <w:pPr>
        <w:keepNext/>
        <w:jc w:val="center"/>
        <w:rPr>
          <w:b/>
          <w:noProof/>
        </w:rPr>
      </w:pPr>
      <w:r w:rsidRPr="006E50FF">
        <w:rPr>
          <w:b/>
          <w:noProof/>
        </w:rPr>
        <w:t>Department of Health</w:t>
      </w:r>
    </w:p>
    <w:p w14:paraId="58B638A4" w14:textId="77777777" w:rsidR="006E50FF" w:rsidRPr="006E50FF" w:rsidRDefault="006E50FF" w:rsidP="006E50FF">
      <w:pPr>
        <w:keepNext/>
        <w:jc w:val="center"/>
        <w:rPr>
          <w:b/>
          <w:noProof/>
          <w:color w:val="000000" w:themeColor="text1"/>
        </w:rPr>
      </w:pPr>
      <w:r w:rsidRPr="006E50FF">
        <w:rPr>
          <w:b/>
          <w:noProof/>
        </w:rPr>
        <w:t xml:space="preserve">Health Standards </w:t>
      </w:r>
      <w:r w:rsidRPr="006E50FF">
        <w:rPr>
          <w:b/>
          <w:noProof/>
          <w:color w:val="000000" w:themeColor="text1"/>
        </w:rPr>
        <w:t>Section</w:t>
      </w:r>
    </w:p>
    <w:p w14:paraId="61A7BF59" w14:textId="77777777" w:rsidR="006E50FF" w:rsidRPr="006E50FF" w:rsidRDefault="006E50FF" w:rsidP="006E50FF">
      <w:pPr>
        <w:keepNext/>
        <w:spacing w:before="240" w:after="240"/>
        <w:jc w:val="center"/>
        <w:rPr>
          <w:noProof/>
          <w:color w:val="000000" w:themeColor="text1"/>
        </w:rPr>
      </w:pPr>
      <w:r w:rsidRPr="006E50FF">
        <w:rPr>
          <w:noProof/>
        </w:rPr>
        <w:t>Program for All-Inclusive Care of the Elderly</w:t>
      </w:r>
      <w:r w:rsidRPr="006E50FF">
        <w:rPr>
          <w:noProof/>
        </w:rPr>
        <w:br/>
        <w:t>Licensing Standards (LAC 48:I.Chapter 43)</w:t>
      </w:r>
    </w:p>
    <w:p w14:paraId="7B6496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(the department), Health Standards Section proposes to promulgate LAC 48:I.Chapter 43 as authorized by R.S. 36:254 and R.S. 40:2120.61 et seq. This proposed Rule is promulgated in accordance with the provisions of the Administrative Procedure Act, R.S. 49:950 et seq.</w:t>
      </w:r>
    </w:p>
    <w:p w14:paraId="5CDC0B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proposes to promulgate the provisions governing the licensing of program for all-inclusive care of the elderly providers in order to comply with the requirements of the following Acts of the 2024 Regular Session of the Louisiana Legislature: Act 444 that authorizes the department to promulgate rules for PACE providers, and Act 624 that requires PACE providers to implement workplace violence mitigation initiatives.</w:t>
      </w:r>
    </w:p>
    <w:p w14:paraId="00BB4E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2CB6632B" w14:textId="77777777" w:rsidR="006E50FF" w:rsidRPr="006E50FF" w:rsidRDefault="006E50FF" w:rsidP="006E50FF">
      <w:pPr>
        <w:keepNext/>
        <w:jc w:val="center"/>
        <w:rPr>
          <w:b/>
          <w:kern w:val="28"/>
        </w:rPr>
      </w:pPr>
      <w:r w:rsidRPr="006E50FF">
        <w:rPr>
          <w:b/>
          <w:kern w:val="28"/>
        </w:rPr>
        <w:t>Title 48</w:t>
      </w:r>
    </w:p>
    <w:p w14:paraId="6C0721A4" w14:textId="77777777" w:rsidR="006E50FF" w:rsidRPr="006E50FF" w:rsidRDefault="006E50FF" w:rsidP="006E50FF">
      <w:pPr>
        <w:keepNext/>
        <w:jc w:val="center"/>
        <w:rPr>
          <w:b/>
          <w:kern w:val="28"/>
        </w:rPr>
      </w:pPr>
      <w:r w:rsidRPr="006E50FF">
        <w:rPr>
          <w:b/>
          <w:kern w:val="28"/>
        </w:rPr>
        <w:t>PUBLIC HEALTH—GENERAL</w:t>
      </w:r>
    </w:p>
    <w:p w14:paraId="68A27EAF" w14:textId="77777777" w:rsidR="006E50FF" w:rsidRPr="006E50FF" w:rsidRDefault="006E50FF" w:rsidP="006E50FF">
      <w:pPr>
        <w:keepNext/>
        <w:jc w:val="center"/>
        <w:rPr>
          <w:b/>
          <w:noProof/>
        </w:rPr>
      </w:pPr>
      <w:r w:rsidRPr="006E50FF">
        <w:rPr>
          <w:b/>
          <w:noProof/>
        </w:rPr>
        <w:t>Part I.  General Administration</w:t>
      </w:r>
    </w:p>
    <w:p w14:paraId="3CE2E999" w14:textId="77777777" w:rsidR="006E50FF" w:rsidRPr="006E50FF" w:rsidRDefault="006E50FF" w:rsidP="006E50FF">
      <w:pPr>
        <w:keepNext/>
        <w:jc w:val="center"/>
        <w:rPr>
          <w:b/>
          <w:noProof/>
        </w:rPr>
      </w:pPr>
      <w:r w:rsidRPr="006E50FF">
        <w:rPr>
          <w:b/>
          <w:noProof/>
        </w:rPr>
        <w:t>Subpart 3.  Licensing and Certification</w:t>
      </w:r>
    </w:p>
    <w:p w14:paraId="68286D3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43.</w:t>
      </w:r>
      <w:r w:rsidRPr="006E50FF">
        <w:rPr>
          <w:b/>
          <w:kern w:val="2"/>
        </w:rPr>
        <w:tab/>
      </w:r>
      <w:bookmarkEnd w:id="622"/>
      <w:r w:rsidRPr="006E50FF">
        <w:rPr>
          <w:b/>
          <w:kern w:val="2"/>
        </w:rPr>
        <w:t>Program for All-Inclusive Care of the Elderly Providers (PACE)</w:t>
      </w:r>
    </w:p>
    <w:p w14:paraId="71F3DB7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23" w:name="TOC_SubC52"/>
      <w:bookmarkStart w:id="624" w:name="_Toc314651742"/>
      <w:bookmarkStart w:id="625" w:name="_Toc317252086"/>
      <w:bookmarkStart w:id="626" w:name="_Toc409522567"/>
      <w:bookmarkStart w:id="627" w:name="_Toc152238543"/>
      <w:r w:rsidRPr="006E50FF">
        <w:rPr>
          <w:b/>
          <w:kern w:val="2"/>
        </w:rPr>
        <w:t>Subchapter A.</w:t>
      </w:r>
      <w:bookmarkEnd w:id="623"/>
      <w:r w:rsidRPr="006E50FF">
        <w:rPr>
          <w:b/>
          <w:kern w:val="2"/>
        </w:rPr>
        <w:tab/>
      </w:r>
      <w:bookmarkStart w:id="628" w:name="TOCT_SubC52"/>
      <w:r w:rsidRPr="006E50FF">
        <w:rPr>
          <w:b/>
          <w:kern w:val="2"/>
        </w:rPr>
        <w:t>General Provisions</w:t>
      </w:r>
      <w:bookmarkEnd w:id="624"/>
      <w:bookmarkEnd w:id="625"/>
      <w:bookmarkEnd w:id="626"/>
      <w:bookmarkEnd w:id="627"/>
      <w:bookmarkEnd w:id="628"/>
    </w:p>
    <w:p w14:paraId="3337F67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29" w:name="_Toc314651743"/>
      <w:bookmarkStart w:id="630" w:name="_Toc317252087"/>
      <w:bookmarkStart w:id="631" w:name="_Toc409522568"/>
      <w:bookmarkStart w:id="632" w:name="_Toc152238544"/>
      <w:r w:rsidRPr="006E50FF">
        <w:rPr>
          <w:b/>
          <w:kern w:val="2"/>
        </w:rPr>
        <w:t>§4301.</w:t>
      </w:r>
      <w:r w:rsidRPr="006E50FF">
        <w:rPr>
          <w:b/>
          <w:kern w:val="2"/>
        </w:rPr>
        <w:tab/>
        <w:t>Introduction</w:t>
      </w:r>
      <w:bookmarkEnd w:id="629"/>
      <w:bookmarkEnd w:id="630"/>
      <w:bookmarkEnd w:id="631"/>
      <w:bookmarkEnd w:id="632"/>
    </w:p>
    <w:p w14:paraId="04F72B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PACE providers shall deliver prepaid, capitated, comprehensive healthcare services to meet the following goals:</w:t>
      </w:r>
    </w:p>
    <w:p w14:paraId="195D87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enhance the quality of life and independence for frail, older adults;</w:t>
      </w:r>
    </w:p>
    <w:p w14:paraId="343484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maximize dignity of, and respect for, older adults; and</w:t>
      </w:r>
    </w:p>
    <w:p w14:paraId="5DDDA0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preserve and support the older adult’s family unit.</w:t>
      </w:r>
    </w:p>
    <w:p w14:paraId="1A62D4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have a written statement describing its philosophy, long-term goals, and short-term goals. The PACE provider program statement shall include goals that:</w:t>
      </w:r>
    </w:p>
    <w:p w14:paraId="5C7BF4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promote the participant's maximum level of independence;</w:t>
      </w:r>
    </w:p>
    <w:p w14:paraId="1A512E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maintain the participant's present way of doing things for as long as possible. Also, preventing or delaying them from getting worse;</w:t>
      </w:r>
    </w:p>
    <w:p w14:paraId="37771A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restore and rehabilitate the participant to the highest level of functioning;</w:t>
      </w:r>
    </w:p>
    <w:p w14:paraId="6F3501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provide support and education for families and other caregivers;</w:t>
      </w:r>
    </w:p>
    <w:p w14:paraId="5F857A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help with participation, socialization, and peer interaction; and</w:t>
      </w:r>
    </w:p>
    <w:p w14:paraId="1EB2FB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serve as a part of the community services network and the long-term care continuum of services.</w:t>
      </w:r>
    </w:p>
    <w:p w14:paraId="53768B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Each entity that meets the definition of a PACE provider shall submit an initial licensing application. The entity shall also submit a non-refundable licensing fee. Submission shall be within 90 calendar days of the promulgation of the initial rules, regulations, and licensing standards.</w:t>
      </w:r>
    </w:p>
    <w:p w14:paraId="05CF01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not licensed within 180 calendar days after submission of its initial licensing application and non-refundable fee, the entity shall:</w:t>
      </w:r>
    </w:p>
    <w:p w14:paraId="7173BB1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cease and desist operations as a PACE provider; and</w:t>
      </w:r>
    </w:p>
    <w:p w14:paraId="7FDDB36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ensure the safe and orderly discharge of all participants until licensed as a PACE provider by the department.</w:t>
      </w:r>
    </w:p>
    <w:p w14:paraId="77376F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PACE provider may provide all the following services to approved PACE participants:</w:t>
      </w:r>
    </w:p>
    <w:p w14:paraId="24BC49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home and community-based services (HCBS), as defined in R.S. 40:2120.1 et seq., or current law; </w:t>
      </w:r>
    </w:p>
    <w:p w14:paraId="666442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adult day healthcare (ADHC) services, as defined in R.S. 40:2120.41 et seq., or current law; and</w:t>
      </w:r>
    </w:p>
    <w:p w14:paraId="2F5DC6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home health agency (HHA) services, as defined in R.S. 40:2116.31 et seq., or current law.</w:t>
      </w:r>
    </w:p>
    <w:p w14:paraId="3B8F41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A licensed PACE provider shall not be required to obtain a separate HCBS provider license, a separate ADHC facility license, or a separate HHA license, to provide such services to approved PACE participants. However, the PACE provider shall ensure that services offered are in substantial compliance with all applicable local, state, and federal laws and regulations. Services offered shall also be in accordance with the PACE program agreement. </w:t>
      </w:r>
    </w:p>
    <w:p w14:paraId="01D7D2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4FADC9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91BB2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33" w:name="_Toc314651744"/>
      <w:bookmarkStart w:id="634" w:name="_Toc317252088"/>
      <w:bookmarkStart w:id="635" w:name="_Toc409522569"/>
      <w:bookmarkStart w:id="636" w:name="_Toc152238545"/>
      <w:r w:rsidRPr="006E50FF">
        <w:rPr>
          <w:b/>
          <w:kern w:val="2"/>
        </w:rPr>
        <w:t>§4303.</w:t>
      </w:r>
      <w:r w:rsidRPr="006E50FF">
        <w:rPr>
          <w:b/>
          <w:kern w:val="2"/>
        </w:rPr>
        <w:tab/>
        <w:t>Definitions</w:t>
      </w:r>
      <w:bookmarkEnd w:id="633"/>
      <w:bookmarkEnd w:id="634"/>
      <w:bookmarkEnd w:id="635"/>
      <w:bookmarkEnd w:id="636"/>
    </w:p>
    <w:p w14:paraId="169E80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definitions of selected terminology are used in connection with this Chapter.</w:t>
      </w:r>
    </w:p>
    <w:p w14:paraId="59B58DB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Abuse—</w:t>
      </w:r>
      <w:r w:rsidRPr="006E50FF">
        <w:rPr>
          <w:kern w:val="2"/>
        </w:rPr>
        <w:t>willful infliction of injury or the causing of the deterioration of a participant by means including, but not limited to physical, verbal, emotional, psychological, sexual abuse, exploitation, or extortion of funds or other things of value to such an extent that the participant’s health, moral, or emotional well-being is endangered.</w:t>
      </w:r>
    </w:p>
    <w:p w14:paraId="250980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determination of abuse shall not be mitigated by a participant’s age, ability to comprehend, or disability. Abuse determination shall be based on the reasonable person concept.</w:t>
      </w:r>
    </w:p>
    <w:p w14:paraId="788796D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Access to Services—</w:t>
      </w:r>
      <w:r w:rsidRPr="006E50FF">
        <w:rPr>
          <w:kern w:val="2"/>
        </w:rPr>
        <w:t xml:space="preserve">care that meets the needs of each participant across all care settings, 24 hours a day, every day of the year. A written plan shall be established and implemented to ensure that care is appropriately furnished. </w:t>
      </w:r>
    </w:p>
    <w:p w14:paraId="04B1A08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lastRenderedPageBreak/>
        <w:t>Accreditation</w:t>
      </w:r>
      <w:r w:rsidRPr="006E50FF">
        <w:rPr>
          <w:kern w:val="2"/>
        </w:rPr>
        <w:t>—a process by which a provider with an executed agreement between the provider, Centers for Medicare and Medicaid Services (CMS) and Department of Health (LDH) for the operation of a PACE program, shall be deemed as meeting the PACE licensing requirements.</w:t>
      </w:r>
    </w:p>
    <w:p w14:paraId="2D6905C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Activities of Daily Living (ADL)</w:t>
      </w:r>
      <w:r w:rsidRPr="006E50FF">
        <w:rPr>
          <w:kern w:val="2"/>
        </w:rPr>
        <w:t>—the functions or tasks that are performed either independently or with supervision, or assistance for mobility (e.g., transferring, walking, grooming, bathing, dressing and undressing, eating, and toileting). For the purposes of this Chapter, ADL shall also include taking medications.</w:t>
      </w:r>
    </w:p>
    <w:p w14:paraId="310FAB3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Center</w:t>
      </w:r>
      <w:r w:rsidRPr="006E50FF">
        <w:rPr>
          <w:kern w:val="2"/>
        </w:rPr>
        <w:t>—a facility that includes a primary care clinic and areas for therapeutic recreation, restorative therapies, socialization, personal care, and dining. The center serves as the focal point for coordination and provision of most PACE services.</w:t>
      </w:r>
    </w:p>
    <w:p w14:paraId="4128237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Center Manager</w:t>
      </w:r>
      <w:r w:rsidRPr="006E50FF">
        <w:rPr>
          <w:kern w:val="2"/>
        </w:rPr>
        <w:t>—a designated staff person, who oversees daily operations within the center, ensuring delivery of care and services to participants while they are on-site. In addition, the center manager:</w:t>
      </w:r>
    </w:p>
    <w:p w14:paraId="3BE6495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manages center staff;</w:t>
      </w:r>
    </w:p>
    <w:p w14:paraId="0C97E9F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coordinates activities;</w:t>
      </w:r>
    </w:p>
    <w:p w14:paraId="3AF7896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ensures compliance with regulations; and</w:t>
      </w:r>
    </w:p>
    <w:p w14:paraId="455E80F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collaborates with the interdisciplinary team to support participants' comprehensive person-centered service plan.</w:t>
      </w:r>
    </w:p>
    <w:p w14:paraId="55857F8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Cessation of Business</w:t>
      </w:r>
      <w:r w:rsidRPr="006E50FF">
        <w:rPr>
          <w:kern w:val="2"/>
        </w:rPr>
        <w:t>—the provider is non-operational and/or has stopped offering or providing services to the community.</w:t>
      </w:r>
    </w:p>
    <w:p w14:paraId="7D7B5AE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Change of Ownership </w:t>
      </w:r>
      <w:r w:rsidRPr="006E50FF">
        <w:rPr>
          <w:kern w:val="2"/>
        </w:rPr>
        <w:t>(</w:t>
      </w:r>
      <w:r w:rsidRPr="006E50FF">
        <w:rPr>
          <w:i/>
          <w:kern w:val="2"/>
        </w:rPr>
        <w:t>CHOW</w:t>
      </w:r>
      <w:r w:rsidRPr="006E50FF">
        <w:rPr>
          <w:kern w:val="2"/>
        </w:rPr>
        <w:t>)—a change in the legal entity responsible for the PACE operation.</w:t>
      </w:r>
    </w:p>
    <w:p w14:paraId="005B347A"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i/>
          <w:kern w:val="2"/>
        </w:rPr>
        <w:t>Chemical Restraint</w:t>
      </w:r>
      <w:r w:rsidRPr="006E50FF">
        <w:rPr>
          <w:kern w:val="2"/>
        </w:rPr>
        <w:t>—a medication used to control behavior or to restrict the participant's freedom of movement and is not a standard treatment for the participant's medical or psychiatric condition.</w:t>
      </w:r>
    </w:p>
    <w:p w14:paraId="45F8D6C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Complaints</w:t>
      </w:r>
      <w:r w:rsidRPr="006E50FF">
        <w:rPr>
          <w:kern w:val="2"/>
        </w:rPr>
        <w:t>—allegations of non-compliance with regulations filed by someone other than the provider.</w:t>
      </w:r>
    </w:p>
    <w:p w14:paraId="7655764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Comprehensive Person-Centered Service Plan </w:t>
      </w:r>
      <w:r w:rsidRPr="006E50FF">
        <w:rPr>
          <w:kern w:val="2"/>
        </w:rPr>
        <w:t>(</w:t>
      </w:r>
      <w:r w:rsidRPr="006E50FF">
        <w:rPr>
          <w:i/>
          <w:kern w:val="2"/>
        </w:rPr>
        <w:t>CPSP</w:t>
      </w:r>
      <w:r w:rsidRPr="006E50FF">
        <w:rPr>
          <w:kern w:val="2"/>
        </w:rPr>
        <w:t>)—a service plan, person centered and developed for each participant. The CPSP shall be based on comprehensive assessments that identify the participant’s strengths and needs. The CPSP shall establish goals and objectives so that outcomes to service delivery can be measured.</w:t>
      </w:r>
    </w:p>
    <w:p w14:paraId="47A84B8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Department</w:t>
      </w:r>
      <w:r w:rsidRPr="006E50FF">
        <w:rPr>
          <w:kern w:val="2"/>
        </w:rPr>
        <w:t>—Department of Health (LDH) or any agency or office thereof designated by the secretary to administer the provisions of these regulations and its representatives.</w:t>
      </w:r>
    </w:p>
    <w:p w14:paraId="1E67498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Direct Care Staff (DCS)</w:t>
      </w:r>
      <w:r w:rsidRPr="006E50FF">
        <w:rPr>
          <w:kern w:val="2"/>
        </w:rPr>
        <w:t>—those participants who, through interpersonal contact with participants or participant care management, provide care and services to allow participants to attain or maintain the highest possible physical, mental, and psychosocial well-being.</w:t>
      </w:r>
    </w:p>
    <w:p w14:paraId="7B7B6ED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Elopement</w:t>
      </w:r>
      <w:r w:rsidRPr="006E50FF">
        <w:rPr>
          <w:kern w:val="2"/>
        </w:rPr>
        <w:t>—leaving the center or home without appropriate supervision, if the participant’s CPSP indicates supervision is required.</w:t>
      </w:r>
    </w:p>
    <w:p w14:paraId="495828E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Emergency Medical Condition</w:t>
      </w:r>
      <w:r w:rsidRPr="006E50FF">
        <w:rPr>
          <w:kern w:val="2"/>
        </w:rPr>
        <w:t>—a condition manifesting itself by acute symptoms of sufficient severity (including severe pain) such that a prudent layperson, with an average knowledge of health and medicine, could reasonably expect the absence of immediate medical attention to result in the following:</w:t>
      </w:r>
    </w:p>
    <w:p w14:paraId="562667C2" w14:textId="77777777" w:rsidR="006E50FF" w:rsidRPr="006E50FF" w:rsidRDefault="006E50FF" w:rsidP="006E50FF">
      <w:pPr>
        <w:tabs>
          <w:tab w:val="left" w:pos="907"/>
        </w:tabs>
        <w:ind w:firstLine="547"/>
        <w:jc w:val="both"/>
        <w:outlineLvl w:val="5"/>
        <w:rPr>
          <w:kern w:val="2"/>
        </w:rPr>
      </w:pPr>
      <w:r w:rsidRPr="006E50FF">
        <w:rPr>
          <w:kern w:val="2"/>
        </w:rPr>
        <w:br w:type="column"/>
      </w:r>
      <w:r w:rsidRPr="006E50FF">
        <w:rPr>
          <w:kern w:val="2"/>
        </w:rPr>
        <w:t>a.</w:t>
      </w:r>
      <w:r w:rsidRPr="006E50FF">
        <w:rPr>
          <w:kern w:val="2"/>
        </w:rPr>
        <w:tab/>
        <w:t>serious jeopardy of the health of the participant;</w:t>
      </w:r>
    </w:p>
    <w:p w14:paraId="1A6753A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serious impairment to bodily functions; or</w:t>
      </w:r>
    </w:p>
    <w:p w14:paraId="0900B67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serious dysfunction of any bodily organ or part.</w:t>
      </w:r>
    </w:p>
    <w:p w14:paraId="7B63A3D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Employee</w:t>
      </w:r>
      <w:r w:rsidRPr="006E50FF">
        <w:rPr>
          <w:kern w:val="2"/>
        </w:rPr>
        <w:t>—person who performs a job or task for compensation, such as wages or a salary. An employed person may be one who is contracted or one who is hired for a staff position.</w:t>
      </w:r>
    </w:p>
    <w:p w14:paraId="3890DE3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Full-Time Equivalent</w:t>
      </w:r>
      <w:r w:rsidRPr="006E50FF">
        <w:rPr>
          <w:kern w:val="2"/>
        </w:rPr>
        <w:t>—40 hours of employment per week or the number of hours the center is open per week, whichever is less.</w:t>
      </w:r>
    </w:p>
    <w:p w14:paraId="28AAF5D3"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Geographic Service Area (GSA)</w:t>
      </w:r>
      <w:r w:rsidRPr="006E50FF">
        <w:rPr>
          <w:kern w:val="2"/>
        </w:rPr>
        <w:t>—the LDH administrative region where the provider’s primary business office is located. To protect patient care and access, a PACE provider may request permission from LDH to expand its licensed GSA on a limited basis. The expanded GSA shall serve certain zip codes in a parish that is contiguous to the LDH administrative region. The PACE provider shall meet the following conditions:</w:t>
      </w:r>
    </w:p>
    <w:p w14:paraId="41A5587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No other licensed PACE provider is licensed to provide services in the proposed expanded GSA.</w:t>
      </w:r>
    </w:p>
    <w:p w14:paraId="7F3F017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 demonstrates it can deliver all required PACE services in the expanded GSA. The PACE provider shall also provide continued 24-hour emergency and home-based care. The PACE provider shall do this without lowering the quality of care for current participants.</w:t>
      </w:r>
    </w:p>
    <w:p w14:paraId="2F288D0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PACE provider submits a written, limited license expansion request to the Health Standards Section (HSS). The written request shall identify the expanded GSA zip codes in a parish contiguous to the LDH administrative region, shall identify the timeframe for the expansion request, and shall include data showing the need for the PACE services in the expanded GSA. The written request shall include an updated GSA map and participant residence data showing whether there is a need for an alternative care site. LDH HSS shall consult with the LDH Office of Aging and Adult Services (OAAS) and shall issue a decision within 60 days of receiving a complete request.</w:t>
      </w:r>
    </w:p>
    <w:p w14:paraId="41B6E1A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Approved expansions for the licensed GSA are strictly limited to their authorized terms.</w:t>
      </w:r>
    </w:p>
    <w:p w14:paraId="1FFB2ED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Approved expansions for the licensed GSA shall be limited once a new PACE provider is licensed in that other LDH administrative region.</w:t>
      </w:r>
    </w:p>
    <w:p w14:paraId="0240B4E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Once a new PACE provider is licensed, existing PACE providers with approved limited expansions shall give freedom of choice notices to their current clients in the expanded GSA. If a current client chooses to stay with the existing PACE provider, then the existing PACE provider may continue serving that current client in the expanded GSA. The existing PACE provider shall not admit new clients from the expanded GSA. This care for existing clients may only continue to finish out services for those specific clients if the clients choose to stay.</w:t>
      </w:r>
    </w:p>
    <w:p w14:paraId="076941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Once all current clients transition out, the approved expansion for the licensed GSA will be terminated. The PACE provider shall stop operating in that expanded licensed GSA. The PACE provider shall then resume serving clients only within the LDH administrative region of its primary business office.</w:t>
      </w:r>
    </w:p>
    <w:p w14:paraId="6C0023A7"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Any limited expansion for the licensed GSA approved by LDH still requires CMS approval pursuant to 42 CFR 460.10 et. seq.</w:t>
      </w:r>
    </w:p>
    <w:p w14:paraId="5C64B6D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w:t>
      </w:r>
      <w:r w:rsidRPr="006E50FF">
        <w:rPr>
          <w:kern w:val="2"/>
        </w:rPr>
        <w:tab/>
        <w:t>Application for CMS approval is required by both CMS and LDH. The application shall be included in the PACE organization agreement.</w:t>
      </w:r>
    </w:p>
    <w:p w14:paraId="1EC655E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Additionally, if the limited expansion for the licensed GSA is terminated under (5)(b) above, then the PACE provider shall submit an updated application for CMS approval. The updated application shall be included in the PACE organization agreement.</w:t>
      </w:r>
    </w:p>
    <w:p w14:paraId="39DA60ED" w14:textId="77777777" w:rsidR="006E50FF" w:rsidRPr="006E50FF" w:rsidRDefault="006E50FF" w:rsidP="006E50FF">
      <w:pPr>
        <w:ind w:left="432" w:right="432"/>
        <w:jc w:val="both"/>
        <w:rPr>
          <w:i/>
          <w:iCs/>
          <w:noProof/>
          <w:sz w:val="16"/>
          <w:szCs w:val="16"/>
        </w:rPr>
      </w:pPr>
      <w:r w:rsidRPr="006E50FF">
        <w:rPr>
          <w:noProof/>
          <w:sz w:val="16"/>
          <w:szCs w:val="16"/>
        </w:rPr>
        <w:t>NOTE: Approved limited expansion terminates once a new PACE provider is licensed in the LDH administrative region. PACE providers with approved limited expansions may continue serving only their current clients in the expanded area. This care may only continue to finish out services for those specific clients if the clients choose to stay. Once all current clients transition out, the expanded PACE provider shall stop operating in that area. It shall then resume serving clients only within the LDH administrative region of its primary business office.</w:t>
      </w:r>
    </w:p>
    <w:p w14:paraId="09C52E0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Governing Body</w:t>
      </w:r>
      <w:r w:rsidRPr="006E50FF">
        <w:rPr>
          <w:kern w:val="2"/>
        </w:rPr>
        <w:t>—the person or group of persons that assumes full legal responsibility for determining, implementing, and monitoring policies governing the PACE's total operation.</w:t>
      </w:r>
    </w:p>
    <w:p w14:paraId="6C848D4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Grievance</w:t>
      </w:r>
      <w:r w:rsidRPr="006E50FF">
        <w:rPr>
          <w:kern w:val="2"/>
        </w:rPr>
        <w:t>—an allegation, either oral or written, expressing dissatisfaction with service delivery or the quality of care furnished, regardless of whether remedial action is requested. Grievances may be between:</w:t>
      </w:r>
    </w:p>
    <w:p w14:paraId="342CAD7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participants and the PACE provider; or </w:t>
      </w:r>
    </w:p>
    <w:p w14:paraId="3108866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other entity or participant through which the PACE provider provides services to the participant.</w:t>
      </w:r>
    </w:p>
    <w:p w14:paraId="2F17F548"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Health Standards Section (HSS)</w:t>
      </w:r>
      <w:r w:rsidRPr="006E50FF">
        <w:rPr>
          <w:kern w:val="2"/>
        </w:rPr>
        <w:t>―the section of the LDH that has responsibility for licensing all healthcare facilities in Louisiana that are subject to licensing statutes.</w:t>
      </w:r>
    </w:p>
    <w:p w14:paraId="45298DE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Instrumental Activities of Daily Living (IADL)</w:t>
      </w:r>
      <w:r w:rsidRPr="006E50FF">
        <w:rPr>
          <w:kern w:val="2"/>
        </w:rPr>
        <w:t>—the functions or tasks that are not necessary for fundamental functioning. IADL assists a participant to live in a community setting. These include activities such as:</w:t>
      </w:r>
    </w:p>
    <w:p w14:paraId="6636442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light house-keeping;</w:t>
      </w:r>
    </w:p>
    <w:p w14:paraId="4AE0F5C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food preparation and storage;</w:t>
      </w:r>
    </w:p>
    <w:p w14:paraId="33412E2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grocery shopping;</w:t>
      </w:r>
    </w:p>
    <w:p w14:paraId="66937E3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laundry;</w:t>
      </w:r>
    </w:p>
    <w:p w14:paraId="435E79E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scheduling medical appointments;</w:t>
      </w:r>
    </w:p>
    <w:p w14:paraId="1A772594"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financial management;</w:t>
      </w:r>
    </w:p>
    <w:p w14:paraId="67E95B02"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arranging transportation or transporting participants to medical appointments; and</w:t>
      </w:r>
    </w:p>
    <w:p w14:paraId="7E553710"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accompanying the participant to medical appointments.</w:t>
      </w:r>
    </w:p>
    <w:p w14:paraId="262E4AC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Interdisciplinary Team (IDT)</w:t>
      </w:r>
      <w:r w:rsidRPr="006E50FF">
        <w:rPr>
          <w:kern w:val="2"/>
        </w:rPr>
        <w:t>—healthcare professionals from various specialties and direct care staff. The IDT works together to provide comprehensive care to participants. This team approach:</w:t>
      </w:r>
    </w:p>
    <w:p w14:paraId="58F6EEA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combines the expertise and skills of different disciplines to address the various needs of participants; and </w:t>
      </w:r>
    </w:p>
    <w:p w14:paraId="142F933B" w14:textId="77777777" w:rsidR="006E50FF" w:rsidRPr="006E50FF" w:rsidRDefault="006E50FF" w:rsidP="006E50FF">
      <w:pPr>
        <w:tabs>
          <w:tab w:val="left" w:pos="907"/>
        </w:tabs>
        <w:ind w:firstLine="547"/>
        <w:jc w:val="both"/>
        <w:outlineLvl w:val="5"/>
        <w:rPr>
          <w:i/>
          <w:kern w:val="2"/>
        </w:rPr>
      </w:pPr>
      <w:r w:rsidRPr="006E50FF">
        <w:rPr>
          <w:kern w:val="2"/>
        </w:rPr>
        <w:t>b.</w:t>
      </w:r>
      <w:r w:rsidRPr="006E50FF">
        <w:rPr>
          <w:kern w:val="2"/>
        </w:rPr>
        <w:tab/>
        <w:t>ensures that all aspects of participants' healthcare are considered.</w:t>
      </w:r>
    </w:p>
    <w:p w14:paraId="0030083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Key Staff</w:t>
      </w:r>
      <w:r w:rsidRPr="006E50FF">
        <w:rPr>
          <w:kern w:val="2"/>
        </w:rPr>
        <w:t>—executive director, medical director, center manager(s), social worker(s), quality improvement coordinator, registered nurse(s), or licensed practical nurse(s) employed by the provider.</w:t>
      </w:r>
    </w:p>
    <w:p w14:paraId="4DB8E2C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License</w:t>
      </w:r>
      <w:r w:rsidRPr="006E50FF">
        <w:rPr>
          <w:kern w:val="2"/>
        </w:rPr>
        <w:t>—a license issued by the department to a PACE provider.</w:t>
      </w:r>
    </w:p>
    <w:p w14:paraId="48E0C53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Licensed Practical Nurse (LPN)</w:t>
      </w:r>
      <w:r w:rsidRPr="006E50FF">
        <w:rPr>
          <w:kern w:val="2"/>
        </w:rPr>
        <w:t>—an individual currently licensed by the Louisiana State Board of Practical Nurse Examiners to practice practical nursing in Louisiana. The LPN works under the supervision of a registered nurse.</w:t>
      </w:r>
    </w:p>
    <w:p w14:paraId="71FB67F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Line of Credit (LOC)</w:t>
      </w:r>
      <w:r w:rsidRPr="006E50FF">
        <w:rPr>
          <w:kern w:val="2"/>
        </w:rPr>
        <w:t>—a credit arrangement with a federally insured, licensed lending institution. The LOC is established to ensure that the PACE provider has available funds as needed to continue the operations of the agency and the provision of services to participants. The LOC shall be issued to the licensed entity. The LOC shall be specific to the geographic location shown on the license. For purposes of PACE licensure, the LOC shall not be a loan, credit card, or a bank balance.</w:t>
      </w:r>
    </w:p>
    <w:p w14:paraId="54D0280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Louisiana Adverse Actions List (LAAL)—</w:t>
      </w:r>
      <w:r w:rsidRPr="006E50FF">
        <w:rPr>
          <w:kern w:val="2"/>
        </w:rPr>
        <w:t>the adverse action database, or its successor, maintained by the department or its designee. The LAAL contains all individuals or providers who are sanctioned, which may include exclusions or for-cause terminations through LDH.</w:t>
      </w:r>
    </w:p>
    <w:p w14:paraId="509D52E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Minimal Harm</w:t>
      </w:r>
      <w:r w:rsidRPr="006E50FF">
        <w:rPr>
          <w:kern w:val="2"/>
        </w:rPr>
        <w:t>—negative impact of injury causing the least possible physical or mental damage.</w:t>
      </w:r>
    </w:p>
    <w:p w14:paraId="3E82ACD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Misappropriation</w:t>
      </w:r>
      <w:r w:rsidRPr="006E50FF">
        <w:rPr>
          <w:kern w:val="2"/>
        </w:rPr>
        <w:t>—taking possession of a participant’s personal belongings without the participant’s permission to do so. Misappropriation is also the deliberate misplacement, exploitation, or wrongful temporary or permanent use of a participant’s belongings or money without the participant’s consent.</w:t>
      </w:r>
    </w:p>
    <w:p w14:paraId="362D2858"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Neglect</w:t>
      </w:r>
      <w:r w:rsidRPr="006E50FF">
        <w:rPr>
          <w:kern w:val="2"/>
        </w:rPr>
        <w:t>—failure of the PACE provider, its employees, contractors, or service providers to provide goods and services to a participant necessary to avoid physical harm, pain, mental anguish, or emotional distress</w:t>
      </w:r>
      <w:r w:rsidRPr="006E50FF">
        <w:rPr>
          <w:i/>
          <w:kern w:val="2"/>
        </w:rPr>
        <w:t>.</w:t>
      </w:r>
    </w:p>
    <w:p w14:paraId="7D717DF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Nurse Practitioner</w:t>
      </w:r>
      <w:r w:rsidRPr="006E50FF">
        <w:rPr>
          <w:kern w:val="2"/>
        </w:rPr>
        <w:t>―an advanced practice registered nurse as defined by R.S. 37:913, or current law.</w:t>
      </w:r>
    </w:p>
    <w:p w14:paraId="05F9C62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Non-Operational</w:t>
      </w:r>
      <w:r w:rsidRPr="006E50FF">
        <w:rPr>
          <w:kern w:val="2"/>
        </w:rPr>
        <w:t>—a provider that is not providing services according to the executed PACE program agreement.</w:t>
      </w:r>
    </w:p>
    <w:p w14:paraId="5A333E7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OPH</w:t>
      </w:r>
      <w:r w:rsidRPr="006E50FF">
        <w:rPr>
          <w:kern w:val="2"/>
        </w:rPr>
        <w:t>—the Department of Health, Office of Public Health.</w:t>
      </w:r>
    </w:p>
    <w:p w14:paraId="7AEFA6C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PACE Enrollee</w:t>
      </w:r>
      <w:r w:rsidRPr="006E50FF">
        <w:rPr>
          <w:kern w:val="2"/>
        </w:rPr>
        <w:t>—a recipient or participant that has been approved by Medicare or the Louisiana Medicaid Program or is otherwise qualified to enroll as a PACE participant for PACE services provided by an approved and licensed PACE provider. An individual is qualified to enroll as a PACE participant for PACE services if the individual:</w:t>
      </w:r>
    </w:p>
    <w:p w14:paraId="56DE1AC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is 55 years of age or older;</w:t>
      </w:r>
    </w:p>
    <w:p w14:paraId="21B703B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resides in a PACE service area;</w:t>
      </w:r>
    </w:p>
    <w:p w14:paraId="051643C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meets the level of care required under the Louisiana Medicaid Plan for coverage of nursing facility services as determined by the state; and</w:t>
      </w:r>
    </w:p>
    <w:p w14:paraId="4232B090" w14:textId="77777777" w:rsidR="006E50FF" w:rsidRPr="006E50FF" w:rsidRDefault="006E50FF" w:rsidP="006E50FF">
      <w:pPr>
        <w:tabs>
          <w:tab w:val="left" w:pos="907"/>
        </w:tabs>
        <w:ind w:firstLine="547"/>
        <w:jc w:val="both"/>
        <w:outlineLvl w:val="5"/>
        <w:rPr>
          <w:i/>
          <w:kern w:val="2"/>
        </w:rPr>
      </w:pPr>
      <w:r w:rsidRPr="006E50FF">
        <w:rPr>
          <w:kern w:val="2"/>
        </w:rPr>
        <w:t>d.</w:t>
      </w:r>
      <w:r w:rsidRPr="006E50FF">
        <w:rPr>
          <w:kern w:val="2"/>
        </w:rPr>
        <w:tab/>
        <w:t>can live in a community setting without jeopardizing the individual’s health or safety at the time of enrollment.</w:t>
      </w:r>
    </w:p>
    <w:p w14:paraId="2DAC4F8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PACE Services</w:t>
      </w:r>
      <w:r w:rsidRPr="006E50FF">
        <w:rPr>
          <w:kern w:val="2"/>
        </w:rPr>
        <w:t>—those healthcare and related services approved by the CMS for Medicare and Louisiana Medicaid programs as PACE services. PACE services include but are not limited to:</w:t>
      </w:r>
    </w:p>
    <w:p w14:paraId="4674490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primary care;</w:t>
      </w:r>
    </w:p>
    <w:p w14:paraId="76239BD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social work services;</w:t>
      </w:r>
    </w:p>
    <w:p w14:paraId="4F1D72D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restorative therapies;</w:t>
      </w:r>
    </w:p>
    <w:p w14:paraId="37CAD0A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personal care and support services;</w:t>
      </w:r>
    </w:p>
    <w:p w14:paraId="7AB3AC3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nutrition counseling;</w:t>
      </w:r>
    </w:p>
    <w:p w14:paraId="59E2F5D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recreational therapy;</w:t>
      </w:r>
    </w:p>
    <w:p w14:paraId="72FD87E0"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transportation;</w:t>
      </w:r>
    </w:p>
    <w:p w14:paraId="03528F9E"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meals;</w:t>
      </w:r>
    </w:p>
    <w:p w14:paraId="115C61F7"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medical specialists’ services;</w:t>
      </w:r>
    </w:p>
    <w:p w14:paraId="2026F1BD"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laboratory tests;</w:t>
      </w:r>
    </w:p>
    <w:p w14:paraId="1114A233"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x-rays;</w:t>
      </w:r>
    </w:p>
    <w:p w14:paraId="5F9F3D64"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 xml:space="preserve">durable medical equipment; and </w:t>
      </w:r>
    </w:p>
    <w:p w14:paraId="7B030E60" w14:textId="77777777" w:rsidR="006E50FF" w:rsidRPr="006E50FF" w:rsidRDefault="006E50FF" w:rsidP="006E50FF">
      <w:pPr>
        <w:tabs>
          <w:tab w:val="left" w:pos="907"/>
        </w:tabs>
        <w:ind w:firstLine="547"/>
        <w:jc w:val="both"/>
        <w:outlineLvl w:val="5"/>
        <w:rPr>
          <w:strike/>
          <w:kern w:val="2"/>
        </w:rPr>
      </w:pPr>
      <w:r w:rsidRPr="006E50FF">
        <w:rPr>
          <w:kern w:val="2"/>
        </w:rPr>
        <w:lastRenderedPageBreak/>
        <w:t>m.</w:t>
      </w:r>
      <w:r w:rsidRPr="006E50FF">
        <w:rPr>
          <w:kern w:val="2"/>
        </w:rPr>
        <w:tab/>
        <w:t>other services determined necessary by an IDT to improve and maintain the participant's overall health status.</w:t>
      </w:r>
    </w:p>
    <w:p w14:paraId="3F4B6C0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Personal Assistance</w:t>
      </w:r>
      <w:r w:rsidRPr="006E50FF">
        <w:rPr>
          <w:kern w:val="2"/>
        </w:rPr>
        <w:t>—services that directly assist a participant with certain ADL and IADL.</w:t>
      </w:r>
    </w:p>
    <w:p w14:paraId="4B7C9C8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Personal Representative</w:t>
      </w:r>
      <w:r w:rsidRPr="006E50FF">
        <w:rPr>
          <w:kern w:val="2"/>
        </w:rPr>
        <w:t>—an adult relative, friend, or guardian of a participant who has an interest or responsibility in the participant's welfare. This individual may be designated by the participant to act on his or her behalf and should be notified in case of emergency and/or any change in the condition or care of the participant.</w:t>
      </w:r>
    </w:p>
    <w:p w14:paraId="068D487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Physician Assistant</w:t>
      </w:r>
      <w:r w:rsidRPr="006E50FF">
        <w:rPr>
          <w:kern w:val="2"/>
        </w:rPr>
        <w:t>―a licensed physician assistant in accordance with R.S. 37:1360.22, or current law.</w:t>
      </w:r>
    </w:p>
    <w:p w14:paraId="75221F9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Physical Restraint</w:t>
      </w:r>
      <w:r w:rsidRPr="006E50FF">
        <w:rPr>
          <w:kern w:val="2"/>
        </w:rPr>
        <w:t>—any manual method (e.g., therapeutic or basket holds, and prone or supine containment) or physical or mechanical device material (e.g., arm splints, leg restraints, lap trays that the participant cannot remove easily, posey belts, posey mittens, helmets). Physical restraint also includes equipment attached or adjacent to the participant's body that interferes or restricts freedom of movement or normal access to one’s body and cannot be easily removed by the participant.</w:t>
      </w:r>
    </w:p>
    <w:p w14:paraId="3923220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Primary Care Provider</w:t>
      </w:r>
      <w:r w:rsidRPr="006E50FF">
        <w:rPr>
          <w:kern w:val="2"/>
        </w:rPr>
        <w:t>—a physician, nurse practitioner, or physician assistant who is designated by the participant or his or her personal representative as responsible for the direction of the participant's overall medical care.</w:t>
      </w:r>
    </w:p>
    <w:p w14:paraId="13DD1A5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Program Director</w:t>
      </w:r>
      <w:r w:rsidRPr="006E50FF">
        <w:rPr>
          <w:kern w:val="2"/>
        </w:rPr>
        <w:t>—the person designated by the governing body of the PACE provider who is responsible for oversight and administration of the entity.</w:t>
      </w:r>
    </w:p>
    <w:p w14:paraId="244782F9"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i/>
          <w:kern w:val="2"/>
        </w:rPr>
        <w:t>Program for All-Inclusive Care of the Elderly Program Agreement—</w:t>
      </w:r>
      <w:r w:rsidRPr="006E50FF">
        <w:rPr>
          <w:kern w:val="2"/>
        </w:rPr>
        <w:t>an agreement with the PACE provider, CMS, and the Department of Health for the operation of a PACE program.</w:t>
      </w:r>
    </w:p>
    <w:p w14:paraId="6678535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Program for All-Inclusive Care of the Elderly Provider—</w:t>
      </w:r>
      <w:r w:rsidRPr="006E50FF">
        <w:rPr>
          <w:kern w:val="2"/>
        </w:rPr>
        <w:t>a facility, place, center, agency, person, institution, corporation, partnership, unincorporated association, group, organization, or other legal entity that meets the requirements of 42 CFR 460 et seq. A PACE provider shall be approved and enrolled or shall intend to be approved and enrolled as a PACE provider by the CMS and Louisiana Medicaid Programs to provide services to Medicare and Medicaid recipients, or other qualified individuals who choose PACE services. A PACE provider shall not provide services to any person that is not an approved PACE enrollee.</w:t>
      </w:r>
    </w:p>
    <w:p w14:paraId="3122E68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Progress Notes</w:t>
      </w:r>
      <w:r w:rsidRPr="006E50FF">
        <w:rPr>
          <w:kern w:val="2"/>
        </w:rPr>
        <w:t>—ongoing assessments of the participant that enable the staff to update the CPSP in a timely, effective manner.</w:t>
      </w:r>
    </w:p>
    <w:p w14:paraId="22F1ED4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Quality Improvement Coordinator—</w:t>
      </w:r>
      <w:r w:rsidRPr="006E50FF">
        <w:rPr>
          <w:kern w:val="2"/>
        </w:rPr>
        <w:t>a designated individual to coordinate and oversee implementation of quality assessment and performance improvement activities</w:t>
      </w:r>
      <w:r w:rsidRPr="006E50FF">
        <w:rPr>
          <w:i/>
          <w:kern w:val="2"/>
        </w:rPr>
        <w:t>.</w:t>
      </w:r>
    </w:p>
    <w:p w14:paraId="3627C34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Registered Nurse (RN)</w:t>
      </w:r>
      <w:r w:rsidRPr="006E50FF">
        <w:rPr>
          <w:kern w:val="2"/>
        </w:rPr>
        <w:t>—an individual currently licensed by the Louisiana State Board of Nursing to practice professional nursing in Louisiana.</w:t>
      </w:r>
    </w:p>
    <w:p w14:paraId="2E7AA35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Revocation</w:t>
      </w:r>
      <w:r w:rsidRPr="006E50FF">
        <w:rPr>
          <w:kern w:val="2"/>
        </w:rPr>
        <w:t>—action taken by the department to terminate a PACE license.</w:t>
      </w:r>
    </w:p>
    <w:p w14:paraId="31D98E8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Secretary</w:t>
      </w:r>
      <w:r w:rsidRPr="006E50FF">
        <w:rPr>
          <w:kern w:val="2"/>
        </w:rPr>
        <w:t>—secretary of the Department of Health, or his designee.</w:t>
      </w:r>
    </w:p>
    <w:p w14:paraId="023CF0C4"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i/>
          <w:kern w:val="2"/>
        </w:rPr>
        <w:t>Social Worker—</w:t>
      </w:r>
      <w:r w:rsidRPr="006E50FF">
        <w:rPr>
          <w:kern w:val="2"/>
        </w:rPr>
        <w:t>an individual responsible for arranging medical and/or social services needed by the participant.</w:t>
      </w:r>
    </w:p>
    <w:p w14:paraId="76ED330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Volunteer</w:t>
      </w:r>
      <w:r w:rsidRPr="006E50FF">
        <w:rPr>
          <w:kern w:val="2"/>
        </w:rPr>
        <w:t>—a person who provides services at a PACE center without compensation.</w:t>
      </w:r>
    </w:p>
    <w:p w14:paraId="04CB19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37" w:name="_Hlk236909195"/>
      <w:r w:rsidRPr="006E50FF">
        <w:rPr>
          <w:kern w:val="2"/>
          <w:sz w:val="18"/>
        </w:rPr>
        <w:t>AUTHORITY NOTE:</w:t>
      </w:r>
      <w:r w:rsidRPr="006E50FF">
        <w:rPr>
          <w:kern w:val="2"/>
          <w:sz w:val="18"/>
        </w:rPr>
        <w:tab/>
        <w:t>Promulgated in accordance with R.S. 36:254 and R.S. 40:2120.61 et seq.</w:t>
      </w:r>
    </w:p>
    <w:p w14:paraId="7EAE01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bookmarkStart w:id="638" w:name="_Toc314651745"/>
      <w:bookmarkStart w:id="639" w:name="_Toc317252089"/>
      <w:bookmarkStart w:id="640" w:name="_Toc409522570"/>
      <w:bookmarkStart w:id="641" w:name="_Toc152238546"/>
      <w:r w:rsidRPr="006E50FF">
        <w:rPr>
          <w:kern w:val="2"/>
          <w:sz w:val="18"/>
        </w:rPr>
        <w:tab/>
      </w:r>
    </w:p>
    <w:bookmarkEnd w:id="637"/>
    <w:p w14:paraId="747676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§4305.</w:t>
      </w:r>
      <w:r w:rsidRPr="006E50FF">
        <w:rPr>
          <w:b/>
          <w:kern w:val="2"/>
        </w:rPr>
        <w:tab/>
        <w:t>Licensure Requirements</w:t>
      </w:r>
      <w:bookmarkEnd w:id="638"/>
      <w:bookmarkEnd w:id="639"/>
      <w:bookmarkEnd w:id="640"/>
      <w:bookmarkEnd w:id="641"/>
    </w:p>
    <w:p w14:paraId="7FBCE9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PACE providers shall be licensed by LDH. LDH is the only licensing authority for PACE providers in the state. It shall be unlawful to provide PACE services without possessing a current, valid license issued by LDH. The license shall:</w:t>
      </w:r>
    </w:p>
    <w:p w14:paraId="0D4BC6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issued only for the entity or person and premises named in the license application;</w:t>
      </w:r>
    </w:p>
    <w:p w14:paraId="2F1304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be valid only for the PACE provider to which it is issued; </w:t>
      </w:r>
    </w:p>
    <w:p w14:paraId="07B251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 only for the single specific geographic service location listed on the license. If providing services in multiple geographic service locations, the PACE provider shall obtain a separate PACE provider license for each geographic service location it provides services in;</w:t>
      </w:r>
    </w:p>
    <w:p w14:paraId="5EE1C0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be valid for 12 months beginning from the month of issuance, unless:</w:t>
      </w:r>
    </w:p>
    <w:p w14:paraId="159D510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revoked; or </w:t>
      </w:r>
    </w:p>
    <w:p w14:paraId="4F3B527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otherwise suspended prior to that date;</w:t>
      </w:r>
    </w:p>
    <w:p w14:paraId="31D670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expire on the last day of the 12th month after the date of issuance, unless otherwise renewed;</w:t>
      </w:r>
    </w:p>
    <w:p w14:paraId="0A9562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not be subject to:</w:t>
      </w:r>
    </w:p>
    <w:p w14:paraId="1FF5DEB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sale;</w:t>
      </w:r>
    </w:p>
    <w:p w14:paraId="366E8BC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assignment or </w:t>
      </w:r>
    </w:p>
    <w:p w14:paraId="49F4C44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other transfer, voluntary or involuntary; and</w:t>
      </w:r>
    </w:p>
    <w:p w14:paraId="4E19DA96"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7.</w:t>
      </w:r>
      <w:r w:rsidRPr="006E50FF">
        <w:rPr>
          <w:kern w:val="2"/>
        </w:rPr>
        <w:tab/>
        <w:t>always be posted visibly in a public area of the PACE center.</w:t>
      </w:r>
      <w:r w:rsidRPr="006E50FF">
        <w:rPr>
          <w:kern w:val="2"/>
        </w:rPr>
        <w:tab/>
      </w:r>
    </w:p>
    <w:p w14:paraId="50E398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be considered operational and shall retain licensed status under the following conditions. The PACE provider shall have:</w:t>
      </w:r>
    </w:p>
    <w:p w14:paraId="46657C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at least one employee on duty at the business location during operational days and hours. Once a participant is enrolled, the PACE provider shall ensure adequate 24-hour coverage and care;</w:t>
      </w:r>
    </w:p>
    <w:p w14:paraId="3E741D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enough trained direct care and professional staff, either employed or contracted, available to provide care and services to participants at all times;</w:t>
      </w:r>
    </w:p>
    <w:p w14:paraId="07A904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provided services to at least two participants in the past 12 months prior to their re-licensure; and</w:t>
      </w:r>
    </w:p>
    <w:p w14:paraId="7A2F4A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at least one business telephone number published.</w:t>
      </w:r>
    </w:p>
    <w:p w14:paraId="0349C5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provider, place, center, agency, person, institution, corporation, partnership, unincorporated association, group, organization, or other legal entity providing PACE services may be established or operated, or be reimbursed under the Medicaid program, unless licensed as a PACE provider to perform such services by the department.</w:t>
      </w:r>
    </w:p>
    <w:p w14:paraId="40351C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a PACE provider is operating without a license issued by the department, the department shall have the authority to issue an immediate cease-and-desist order to the PACE provider. A PACE provider receiving such cease-and-desist order from the department shall immediately cease operations. The PACE provider may resume operations once a license is issued by the department.</w:t>
      </w:r>
    </w:p>
    <w:p w14:paraId="5091CB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department shall seek an injunction in the Nineteenth Judicial District Court against any PACE provider that receives a cease-and-desist order from the department under Subsection D of this Section and does not cease operations immediately. Any PACE provider against whom an injunction is granted shall be liable to the department for:</w:t>
      </w:r>
    </w:p>
    <w:p w14:paraId="043565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0F79DD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attorney fees;</w:t>
      </w:r>
    </w:p>
    <w:p w14:paraId="512615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costs; and </w:t>
      </w:r>
    </w:p>
    <w:p w14:paraId="3D00C0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damages.</w:t>
      </w:r>
    </w:p>
    <w:p w14:paraId="60E6A38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B1B69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r w:rsidRPr="006E50FF">
        <w:rPr>
          <w:kern w:val="2"/>
          <w:sz w:val="18"/>
        </w:rPr>
        <w:tab/>
      </w:r>
      <w:bookmarkStart w:id="642" w:name="_Toc314651746"/>
      <w:bookmarkStart w:id="643" w:name="_Toc317252090"/>
      <w:bookmarkStart w:id="644" w:name="_Toc409522571"/>
      <w:bookmarkStart w:id="645" w:name="_Toc152238547"/>
    </w:p>
    <w:p w14:paraId="3597F66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§4307.</w:t>
      </w:r>
      <w:r w:rsidRPr="006E50FF">
        <w:rPr>
          <w:b/>
          <w:kern w:val="2"/>
        </w:rPr>
        <w:tab/>
        <w:t>Initial License Application Process</w:t>
      </w:r>
      <w:bookmarkEnd w:id="642"/>
      <w:bookmarkEnd w:id="643"/>
      <w:bookmarkEnd w:id="644"/>
      <w:bookmarkEnd w:id="645"/>
    </w:p>
    <w:p w14:paraId="21D37E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Prior to an applicant providing PACE services, the applicant shall:</w:t>
      </w:r>
    </w:p>
    <w:p w14:paraId="49A4A1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obtain an initial application for licensing as a PACE provider;</w:t>
      </w:r>
    </w:p>
    <w:p w14:paraId="4BC2C6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submit a completed initial license application packet to the department; and</w:t>
      </w:r>
    </w:p>
    <w:p w14:paraId="0A54CC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receive approval from the department.</w:t>
      </w:r>
    </w:p>
    <w:p w14:paraId="72373D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initial licensing application packet shall include at a minimum the following:</w:t>
      </w:r>
    </w:p>
    <w:p w14:paraId="4C43C9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completed PACE licensure application. The application shall be on forms prescribed by the department that contain:</w:t>
      </w:r>
    </w:p>
    <w:p w14:paraId="5FA119B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name(s), address(es), and contact information of the:</w:t>
      </w:r>
    </w:p>
    <w:p w14:paraId="4265027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person(s);</w:t>
      </w:r>
    </w:p>
    <w:p w14:paraId="381D29F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partnership(s); </w:t>
      </w:r>
    </w:p>
    <w:p w14:paraId="51DE9C5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corporation(s);</w:t>
      </w:r>
    </w:p>
    <w:p w14:paraId="6420089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 xml:space="preserve">unincorporated association(s); or </w:t>
      </w:r>
    </w:p>
    <w:p w14:paraId="3BF5C2D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other legal entity that is the applicant;</w:t>
      </w:r>
    </w:p>
    <w:p w14:paraId="5E41CC3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applicable, the name(s) and address(es) of the:</w:t>
      </w:r>
    </w:p>
    <w:p w14:paraId="1D432B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applicant(s);</w:t>
      </w:r>
    </w:p>
    <w:p w14:paraId="34F5F89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officer(s)</w:t>
      </w:r>
    </w:p>
    <w:p w14:paraId="5B4E09F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 xml:space="preserve">iii. director(s); </w:t>
      </w:r>
    </w:p>
    <w:p w14:paraId="5BE0945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 xml:space="preserve">manager(s); and </w:t>
      </w:r>
    </w:p>
    <w:p w14:paraId="51A842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administrator(s);</w:t>
      </w:r>
    </w:p>
    <w:p w14:paraId="3EFF670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non-refundable licensing fee as established by statute;</w:t>
      </w:r>
    </w:p>
    <w:p w14:paraId="6720579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copy of the approval letter of the architectural center plans from the Office of State Fire Marshal (OSFM);</w:t>
      </w:r>
    </w:p>
    <w:p w14:paraId="5ECD838A"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copy of the on-site inspection report with approval for occupancy by the OSFM;</w:t>
      </w:r>
    </w:p>
    <w:p w14:paraId="0D3C21B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 copy of the health inspection report with approval of occupancy report of the PACE provider from OPH;</w:t>
      </w:r>
    </w:p>
    <w:p w14:paraId="56E76358"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attestation of state-wide criminal background checks conducted by the Louisiana State Police, or its authorized agent, of an owner, officer, member, manager, administrator, director, or person designated to manage or supervise participant care. Such state-wide criminal background checks shall be made available for LDH review upon request. State-wide criminal background checks shall confirm that no owner, officer, member, manager, administrator, director, or person designated to manage or supervise participant care:</w:t>
      </w:r>
    </w:p>
    <w:p w14:paraId="05DB015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has pled guilty or nolo contendere to a felony; or </w:t>
      </w:r>
    </w:p>
    <w:p w14:paraId="3DCEF5F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has been convicted of a felony, as documented by a certified copy of the record of the court;</w:t>
      </w:r>
    </w:p>
    <w:p w14:paraId="47BEE7A3"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proof of financial viability including:</w:t>
      </w:r>
    </w:p>
    <w:p w14:paraId="01C9291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LOC issued from a federally insured, licensed lending institution for at least $50,000;</w:t>
      </w:r>
    </w:p>
    <w:p w14:paraId="1D39244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compliance with the Louisiana Workers’ Compensation Law, R.S. 23:1020.1 et seq., or current law; and</w:t>
      </w:r>
    </w:p>
    <w:p w14:paraId="34318CF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general and professional liability insurance of at least $300,000;</w:t>
      </w:r>
    </w:p>
    <w:p w14:paraId="6BFAA48B"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if applicable, clinical laboratory improvement amendments (CLIA) certificate or CLIA certificate of waiver;</w:t>
      </w:r>
    </w:p>
    <w:p w14:paraId="09875226"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a completed disclosure of ownership and control information form;</w:t>
      </w:r>
    </w:p>
    <w:p w14:paraId="276733C7"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a floor sketch or drawing of the premises to be licensed;</w:t>
      </w:r>
    </w:p>
    <w:p w14:paraId="3D3A2712"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the days and hours of operation; and</w:t>
      </w:r>
    </w:p>
    <w:p w14:paraId="7AF9A5D7" w14:textId="77777777" w:rsidR="006E50FF" w:rsidRPr="006E50FF" w:rsidRDefault="006E50FF" w:rsidP="006E50FF">
      <w:pPr>
        <w:tabs>
          <w:tab w:val="left" w:pos="907"/>
        </w:tabs>
        <w:ind w:firstLine="547"/>
        <w:jc w:val="both"/>
        <w:outlineLvl w:val="5"/>
        <w:rPr>
          <w:kern w:val="2"/>
        </w:rPr>
      </w:pPr>
      <w:r w:rsidRPr="006E50FF">
        <w:rPr>
          <w:kern w:val="2"/>
        </w:rPr>
        <w:t>m.</w:t>
      </w:r>
      <w:r w:rsidRPr="006E50FF">
        <w:rPr>
          <w:kern w:val="2"/>
        </w:rPr>
        <w:tab/>
        <w:t>any other documentation or information required by the department for licensure.</w:t>
      </w:r>
    </w:p>
    <w:p w14:paraId="565C34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If the initial licensing packet is incomplete, the applicant shall be notified. Within 90 calendar days from the date of the notice letter indicating that the packet is incomplete, the applicant shall submit the additional requested information. If the additional requested information is not submitted to the department within 90 calendar days of the date of the notice letter, the application shall be closed. After an initial licensing application is closed, an applicant shall submit:</w:t>
      </w:r>
    </w:p>
    <w:p w14:paraId="2A4A5A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new initial licensing packet; and</w:t>
      </w:r>
    </w:p>
    <w:p w14:paraId="018349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new initial, non-refundable licensing fee.</w:t>
      </w:r>
    </w:p>
    <w:p w14:paraId="24962F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Once the initial licensing application packet is approved by LDH, the applicant shall receive notification. The notification shall include instructions for requesting the announced initial licensing survey.</w:t>
      </w:r>
    </w:p>
    <w:p w14:paraId="30AACD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An applicant who has received the notification with instructions for requesting the announced initial licensing survey, shall notify the department of readiness for an initial licensing survey within 90 calendar days of the date of receipt of that notification. If an applicant fails to notify the department of readiness for an initial licensing survey within 90 calendar days of submission of a completed licensing packet, the initial licensing application shall be closed. After an initial licensing application is closed, the PACE provider shall submit:</w:t>
      </w:r>
    </w:p>
    <w:p w14:paraId="23A228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new initial licensing packet; and</w:t>
      </w:r>
    </w:p>
    <w:p w14:paraId="1EE853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new initial non-refundable licensing.</w:t>
      </w:r>
    </w:p>
    <w:p w14:paraId="51D861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Before the PACE provider shall be issued an initial license to operate by LDH, the applicant shall comply with all appropriate federal, state, departmental, or local statutes, laws, ordinances, rules, regulations, and fees.</w:t>
      </w:r>
    </w:p>
    <w:p w14:paraId="7532A6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33A5C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bookmarkStart w:id="646" w:name="_Toc314651747"/>
      <w:bookmarkStart w:id="647" w:name="_Toc317252091"/>
      <w:bookmarkStart w:id="648" w:name="_Toc409522572"/>
      <w:bookmarkStart w:id="649" w:name="_Toc152238548"/>
    </w:p>
    <w:p w14:paraId="60F351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§4309.</w:t>
      </w:r>
      <w:r w:rsidRPr="006E50FF">
        <w:rPr>
          <w:b/>
          <w:kern w:val="2"/>
        </w:rPr>
        <w:tab/>
        <w:t>Initial Licensing Surveys</w:t>
      </w:r>
      <w:bookmarkEnd w:id="646"/>
      <w:bookmarkEnd w:id="647"/>
      <w:bookmarkEnd w:id="648"/>
      <w:bookmarkEnd w:id="649"/>
      <w:r w:rsidRPr="006E50FF">
        <w:rPr>
          <w:b/>
          <w:kern w:val="2"/>
        </w:rPr>
        <w:t xml:space="preserve"> </w:t>
      </w:r>
    </w:p>
    <w:p w14:paraId="71840A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Prior to the initial license being issued to a PACE provider, an initial licensing survey shall be conducted. The survey shall be conducted on-site at the PACE provider. The purpose of the survey is to ensure compliance with PACE licensing standards.</w:t>
      </w:r>
    </w:p>
    <w:p w14:paraId="71950F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Should the initial licensing survey find the PACE provider is compliant with all licensing laws, regulations, and all other required statutes, laws, ordinances, rules, regulations, and fees, the department shall issue a full license to the PACE provider. The license shall be valid until the expiration date shown on the license, unless the license is:</w:t>
      </w:r>
    </w:p>
    <w:p w14:paraId="7E89F4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modified;</w:t>
      </w:r>
    </w:p>
    <w:p w14:paraId="0D7470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revoked;</w:t>
      </w:r>
    </w:p>
    <w:p w14:paraId="471038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suspended; or</w:t>
      </w:r>
    </w:p>
    <w:p w14:paraId="544DE8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terminated.</w:t>
      </w:r>
    </w:p>
    <w:p w14:paraId="4BE8C4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The department shall deny the initial license if the initial licensing survey finds that the PACE provider is noncompliant with any licensing laws or regulations that are a threat to the:</w:t>
      </w:r>
    </w:p>
    <w:p w14:paraId="3BD025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health;</w:t>
      </w:r>
    </w:p>
    <w:p w14:paraId="3B4DE5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safety; or </w:t>
      </w:r>
    </w:p>
    <w:p w14:paraId="365DC4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welfare of the participants.</w:t>
      </w:r>
    </w:p>
    <w:p w14:paraId="46526F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department shall deny the initial license if the initial licensing survey finds that the PACE provider is noncompliant with any other required statutes, laws, ordinances, rules, or regulations that are a threat to the:</w:t>
      </w:r>
    </w:p>
    <w:p w14:paraId="63958C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health;</w:t>
      </w:r>
    </w:p>
    <w:p w14:paraId="7B292D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safety; or </w:t>
      </w:r>
    </w:p>
    <w:p w14:paraId="75C63C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welfare of the participants.</w:t>
      </w:r>
    </w:p>
    <w:p w14:paraId="50FD0A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the initial licensing survey finds that the PACE provider is noncompliant with any licensing laws, rules or regulations, but the department in its sole discretion determines that the noncompliance does not present a threat to the health, safety, or welfare of the participants, the department may issue a provisional initial license. The provisional initial license shall be for a period not to exceed six months. The provisional license may be extended at the sole discretion of the department. The PACE provider shall be required to correct all such noncompliance or deficiencies prior to the expiration of the provisional license. If all such noncompliance or deficiencies are determined by the department to be corrected on a follow-up survey, then a full license shall be issued. If all such noncompliance or deficiencies are not corrected on the follow-up survey, the provisional license shall expire. Upon expiration of the provisional license, the PACE provider shall be required to begin the initial licensing process again. The PACE provider shall be required to submit:</w:t>
      </w:r>
    </w:p>
    <w:p w14:paraId="169A64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new initial license application packet; and </w:t>
      </w:r>
    </w:p>
    <w:p w14:paraId="3C1D83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non-refundable licensing fee.</w:t>
      </w:r>
    </w:p>
    <w:p w14:paraId="53543F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Initial licensing survey of a PACE provider shall be an announced survey. Follow-up surveys to the initial licensing surveys shall be unannounced surveys.</w:t>
      </w:r>
    </w:p>
    <w:p w14:paraId="621241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Once a PACE provider has been issued an initial license, the department may conduct licensing surveys at intervals as deemed necessary by the department. The purpose of licensing surveys is to determine compliance with licensing regulations. The licensing surveys shall be unannounced. Investigations of complaints may also be conducted.</w:t>
      </w:r>
    </w:p>
    <w:p w14:paraId="715EB3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follow-up survey shall be conducted for any licensing survey where deficiencies were cited. The follow-up survey shall occur to ensure correction of deficient practices.</w:t>
      </w:r>
    </w:p>
    <w:p w14:paraId="591A3C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department may issue appropriate sanctions for any cited deficiencies and noncompliance of the state licensing requirements. Sanctions may include, but not be limited to:</w:t>
      </w:r>
    </w:p>
    <w:p w14:paraId="5E8EE6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civil monetary penalties;</w:t>
      </w:r>
    </w:p>
    <w:p w14:paraId="2B33F98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directed plans of correction;</w:t>
      </w:r>
    </w:p>
    <w:p w14:paraId="03F7730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license revocation; and/or</w:t>
      </w:r>
    </w:p>
    <w:p w14:paraId="47039620"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denial of license renewal.</w:t>
      </w:r>
    </w:p>
    <w:p w14:paraId="6FA31C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LDH surveyors and staff shall be:</w:t>
      </w:r>
    </w:p>
    <w:p w14:paraId="5F806A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given access to all areas of the PACE provider; </w:t>
      </w:r>
    </w:p>
    <w:p w14:paraId="5C7B8A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given access to all relevant files during licensing surveys; and</w:t>
      </w:r>
    </w:p>
    <w:p w14:paraId="0A8E91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allowed to interview any PACE provider staff or participant as necessary to conduct the survey.</w:t>
      </w:r>
    </w:p>
    <w:p w14:paraId="1A6534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The PACE provider shall be open at reasonable times for inspection by:</w:t>
      </w:r>
    </w:p>
    <w:p w14:paraId="3790B7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w:t>
      </w:r>
    </w:p>
    <w:p w14:paraId="45DECE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OSFM; and </w:t>
      </w:r>
    </w:p>
    <w:p w14:paraId="0FAF7C5E"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3.</w:t>
      </w:r>
      <w:r w:rsidRPr="006E50FF">
        <w:rPr>
          <w:kern w:val="2"/>
        </w:rPr>
        <w:tab/>
        <w:t>any other authorized governmental entity.</w:t>
      </w:r>
    </w:p>
    <w:p w14:paraId="5A42CD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Plan of Correction (POC). A POC shall be required from a PACE provider for any survey where deficiencies have been cited. The POC shall be filed with HSS within 10 calendar days after the PACE provider’s receipt of notification and statement of deficiencies.</w:t>
      </w:r>
    </w:p>
    <w:p w14:paraId="4FE4F9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E5736A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bookmarkStart w:id="650" w:name="_Toc314651748"/>
      <w:bookmarkStart w:id="651" w:name="_Toc317252092"/>
      <w:bookmarkStart w:id="652" w:name="_Toc409522573"/>
      <w:bookmarkStart w:id="653" w:name="_Toc152238549"/>
    </w:p>
    <w:p w14:paraId="12D8730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§4311.</w:t>
      </w:r>
      <w:r w:rsidRPr="006E50FF">
        <w:rPr>
          <w:b/>
          <w:kern w:val="2"/>
        </w:rPr>
        <w:tab/>
        <w:t>Types of Licenses</w:t>
      </w:r>
      <w:bookmarkEnd w:id="650"/>
      <w:bookmarkEnd w:id="651"/>
      <w:bookmarkEnd w:id="652"/>
      <w:bookmarkEnd w:id="653"/>
    </w:p>
    <w:p w14:paraId="14C246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department shall have the authority to issue the following types of licenses.</w:t>
      </w:r>
    </w:p>
    <w:p w14:paraId="7C1E91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initial licensing survey finds that the PACE provider is compliant with all licensing laws and regulations, and is compliant with all other required statutes, laws, ordinances, rules, regulations, and fees, the department shall issue a full license to the PACE provider. The license shall be valid until the expiration date shown on the license:</w:t>
      </w:r>
    </w:p>
    <w:p w14:paraId="3BC7551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unless the license is modified;</w:t>
      </w:r>
    </w:p>
    <w:p w14:paraId="69192D7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unless the license is revoked;</w:t>
      </w:r>
    </w:p>
    <w:p w14:paraId="05F16E8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unless the license is suspended; or</w:t>
      </w:r>
    </w:p>
    <w:p w14:paraId="1A2A953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unless the license is terminated.</w:t>
      </w:r>
    </w:p>
    <w:p w14:paraId="6EAAA3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initial licensing survey finds that the PACE provider is noncompliant with any licensing laws or regulations or any other required statutes, laws, ordinances, rules, regulations, or fees, the department is authorized to issue a provisional initial license pursuant to the requirements and provisions of §4309.E.</w:t>
      </w:r>
    </w:p>
    <w:p w14:paraId="233D84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department may issue a full renewal license to an existing licensed PACE provider who is in substantial compliance with all applicable federal, state, departmental, and local statutes, laws, ordinances, rules, regulations and fees. The license shall be valid until the expiration date shown on the license:</w:t>
      </w:r>
    </w:p>
    <w:p w14:paraId="0A10586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unless the license is modified;</w:t>
      </w:r>
    </w:p>
    <w:p w14:paraId="301C023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unless the license is revoked;</w:t>
      </w:r>
    </w:p>
    <w:p w14:paraId="3D8EDF6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unless the license suspended; or </w:t>
      </w:r>
    </w:p>
    <w:p w14:paraId="2D1DA5A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unless the license is terminated.</w:t>
      </w:r>
    </w:p>
    <w:p w14:paraId="656897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department in its sole discretion may issue a provisional license to an existing licensed PACE provider. The provisional license may be for a period not to exceed six months, unless extended by the department in its sole discretion. A provisional license may be issued if the existing PACE provider:</w:t>
      </w:r>
    </w:p>
    <w:p w14:paraId="78839E4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has more than five deficient practices or deficiencies cited during any one survey;</w:t>
      </w:r>
    </w:p>
    <w:p w14:paraId="6C5B0AC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has more than three validated complaints in one licensed year period;</w:t>
      </w:r>
    </w:p>
    <w:p w14:paraId="7BB9C5D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has been issued a deficiency that involved placing a participant:</w:t>
      </w:r>
    </w:p>
    <w:p w14:paraId="20E8B1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at risk of serious harm; or </w:t>
      </w:r>
    </w:p>
    <w:p w14:paraId="19EBDCC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at risk for death;</w:t>
      </w:r>
    </w:p>
    <w:p w14:paraId="0882400D"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has failed to correct deficient practices:</w:t>
      </w:r>
    </w:p>
    <w:p w14:paraId="07DFE03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within 60 calendar days of being cited for such deficient practices; or</w:t>
      </w:r>
    </w:p>
    <w:p w14:paraId="32A90E8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at the time of a follow-up survey;</w:t>
      </w:r>
    </w:p>
    <w:p w14:paraId="1A9FDAAB" w14:textId="77777777" w:rsidR="006E50FF" w:rsidRPr="006E50FF" w:rsidRDefault="006E50FF" w:rsidP="006E50FF">
      <w:pPr>
        <w:tabs>
          <w:tab w:val="left" w:pos="907"/>
        </w:tabs>
        <w:ind w:firstLine="547"/>
        <w:jc w:val="both"/>
        <w:outlineLvl w:val="5"/>
        <w:rPr>
          <w:kern w:val="2"/>
        </w:rPr>
      </w:pPr>
      <w:r w:rsidRPr="006E50FF">
        <w:rPr>
          <w:kern w:val="2"/>
        </w:rPr>
        <w:br w:type="page"/>
      </w:r>
    </w:p>
    <w:p w14:paraId="01948261" w14:textId="77777777" w:rsidR="006E50FF" w:rsidRPr="006E50FF" w:rsidRDefault="006E50FF" w:rsidP="006E50FF">
      <w:pPr>
        <w:tabs>
          <w:tab w:val="left" w:pos="907"/>
        </w:tabs>
        <w:ind w:firstLine="547"/>
        <w:jc w:val="both"/>
        <w:outlineLvl w:val="5"/>
        <w:rPr>
          <w:kern w:val="2"/>
        </w:rPr>
      </w:pPr>
      <w:r w:rsidRPr="006E50FF">
        <w:rPr>
          <w:kern w:val="2"/>
        </w:rPr>
        <w:lastRenderedPageBreak/>
        <w:t>e.</w:t>
      </w:r>
      <w:r w:rsidRPr="006E50FF">
        <w:rPr>
          <w:kern w:val="2"/>
        </w:rPr>
        <w:tab/>
        <w:t>is not in substantial compliance at the time of renewal of the license with all applicable:</w:t>
      </w:r>
    </w:p>
    <w:p w14:paraId="395A75D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federal, state, departmental, and local statutes, laws, ordinances, rules, regulations; and</w:t>
      </w:r>
    </w:p>
    <w:p w14:paraId="5E669DB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fees.</w:t>
      </w:r>
    </w:p>
    <w:p w14:paraId="21BCF2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When the department issues a provisional license to an existing licensed PACE provider, the department shall conduct an on-site follow-up survey at the PACE provider. The on-site follow-up survey shall be prior to the expiration of the provisional license. If that on-site follow-up survey determines that the PACE provider has corrected the deficient practices and has maintained compliance during the period of the provisional license, the department may issue a full license for the remainder of the year until the anniversary date of the PACE provider license. A provisional license may be extended at the discretion of the department.</w:t>
      </w:r>
    </w:p>
    <w:p w14:paraId="68A98E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If an existing licensed PACE provider has been issued a notice of license revocation, suspension, modification, or termination, and the PACE provider’s license is due for annual renewal, the department shall deny a license renewal subject to the pending license revocation, suspension, modification, or termination. The denial of renewal of such a license does not affect in any manner the:</w:t>
      </w:r>
    </w:p>
    <w:p w14:paraId="4BDE0BF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license revocation;</w:t>
      </w:r>
    </w:p>
    <w:p w14:paraId="207D0C9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suspension;</w:t>
      </w:r>
    </w:p>
    <w:p w14:paraId="785805B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modification; or </w:t>
      </w:r>
    </w:p>
    <w:p w14:paraId="63E0450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termination.</w:t>
      </w:r>
    </w:p>
    <w:p w14:paraId="2DC4E7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denial of renewal of a license does not affect in any manner:</w:t>
      </w:r>
    </w:p>
    <w:p w14:paraId="75F797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sanction;</w:t>
      </w:r>
    </w:p>
    <w:p w14:paraId="367945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civil monetary penalty; or</w:t>
      </w:r>
    </w:p>
    <w:p w14:paraId="6576D6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other action imposed by the department against the PACE provider.</w:t>
      </w:r>
    </w:p>
    <w:p w14:paraId="1AFCE8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license for a PACE provider shall be valid for 12 months from the date of issuance unless:</w:t>
      </w:r>
    </w:p>
    <w:p w14:paraId="73607A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revoked;</w:t>
      </w:r>
    </w:p>
    <w:p w14:paraId="573F80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suspended;</w:t>
      </w:r>
    </w:p>
    <w:p w14:paraId="3A34B3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modified; or </w:t>
      </w:r>
    </w:p>
    <w:p w14:paraId="12E8CA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terminated prior to that time.</w:t>
      </w:r>
    </w:p>
    <w:p w14:paraId="07AA53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C5F71A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4986B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§4313.</w:t>
      </w:r>
      <w:r w:rsidRPr="006E50FF">
        <w:rPr>
          <w:b/>
          <w:kern w:val="2"/>
        </w:rPr>
        <w:tab/>
        <w:t>Accredited Status</w:t>
      </w:r>
    </w:p>
    <w:p w14:paraId="46680C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After initial licensure, a PACE provider may request accreditation. To achieve accredited status, the PACE provider shall submit a copy of its current PACE program agreement and provide proof of meeting initial and continual compliance with PACE requirements and for each annual renewal of licensure.</w:t>
      </w:r>
    </w:p>
    <w:p w14:paraId="20A591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department may accept accreditation in lieu of periodic on-site licensing surveys when the center provides documentation to the department that shows:</w:t>
      </w:r>
    </w:p>
    <w:p w14:paraId="0AD804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program agreement is current; and</w:t>
      </w:r>
    </w:p>
    <w:p w14:paraId="1C353D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provider remains in substantial compliance with all PACE program agreement requirements.</w:t>
      </w:r>
    </w:p>
    <w:p w14:paraId="417A6C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may conduct unannounced complaint investigations on all PACE providers, including those with accredited status.</w:t>
      </w:r>
    </w:p>
    <w:p w14:paraId="10ACDE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There is no waiver of licensure fees for a PACE provider that is granted accredited status by the department. A PACE provider that is granted accredited status shall pay:</w:t>
      </w:r>
    </w:p>
    <w:p w14:paraId="52CF49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all initial licensing fees;</w:t>
      </w:r>
    </w:p>
    <w:p w14:paraId="754676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renewal of licensure fees pursuant to §4315;</w:t>
      </w:r>
    </w:p>
    <w:p w14:paraId="2B458D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other required fees to achieve or maintain accredited status; and</w:t>
      </w:r>
    </w:p>
    <w:p w14:paraId="265B99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any civil monetary penalties imposed by the department or may forfeit accredited status.</w:t>
      </w:r>
    </w:p>
    <w:p w14:paraId="232257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department may rescind accredited status and may conduct a licensing survey for the following:</w:t>
      </w:r>
    </w:p>
    <w:p w14:paraId="7776A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substantiated complaint within the preceding 12 months;</w:t>
      </w:r>
    </w:p>
    <w:p w14:paraId="1D3C44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CHOW;</w:t>
      </w:r>
    </w:p>
    <w:p w14:paraId="2C1235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issuance of a provisional license in the preceding 12-month period;</w:t>
      </w:r>
    </w:p>
    <w:p w14:paraId="5188D3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deficiencies identified in the preceding 12-month period that placed participants at risk of harm;</w:t>
      </w:r>
    </w:p>
    <w:p w14:paraId="09225D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treatment or service resulting in death or serious injury;</w:t>
      </w:r>
    </w:p>
    <w:p w14:paraId="066023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change in geographic location; or</w:t>
      </w:r>
    </w:p>
    <w:p w14:paraId="313A5D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when CMS issues any penalties or sanctions against the PACE provider.</w:t>
      </w:r>
    </w:p>
    <w:p w14:paraId="2716CF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submit written notification to HSS upon change in accredited status. The notification shall be submitted within two business days of receiving notice of the changed accreditation status.</w:t>
      </w:r>
    </w:p>
    <w:p w14:paraId="311268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department shall rescind accredited status if the PACE provider’s program agreement is terminated.</w:t>
      </w:r>
    </w:p>
    <w:p w14:paraId="2A4413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PACE providers that receive approval for accredited status are subject to and shall comply with all provisions of this Chapter.</w:t>
      </w:r>
    </w:p>
    <w:p w14:paraId="10B36F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4ECEF5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74B45E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54" w:name="_Toc152238551"/>
      <w:r w:rsidRPr="006E50FF">
        <w:rPr>
          <w:b/>
          <w:kern w:val="2"/>
        </w:rPr>
        <w:t>§4315.</w:t>
      </w:r>
      <w:r w:rsidRPr="006E50FF">
        <w:rPr>
          <w:b/>
          <w:kern w:val="2"/>
        </w:rPr>
        <w:tab/>
        <w:t>Renewal of License</w:t>
      </w:r>
      <w:bookmarkEnd w:id="654"/>
    </w:p>
    <w:p w14:paraId="469DB8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licensee shall continue to be approved and enrolled as a PACE provider by CMS. This shall be a condition for renewal of license.</w:t>
      </w:r>
    </w:p>
    <w:p w14:paraId="2BAE55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 least 30 calendar days prior to the expiration of the current license, the PACE provider shall:</w:t>
      </w:r>
    </w:p>
    <w:p w14:paraId="5A209A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submit a completed PACE license renewal application on forms prescribed by the department;</w:t>
      </w:r>
    </w:p>
    <w:p w14:paraId="2FD07E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include the days and hours of operation on the application;</w:t>
      </w:r>
    </w:p>
    <w:p w14:paraId="6C9370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submit a copy of the current on-site inspection report with approval for occupancy by the OSFM;</w:t>
      </w:r>
    </w:p>
    <w:p w14:paraId="6F503F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submit a copy of the current health inspection report from the OPH;</w:t>
      </w:r>
    </w:p>
    <w:p w14:paraId="74A14A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submit the required non-refundable license renewal fee as established by statute;</w:t>
      </w:r>
    </w:p>
    <w:p w14:paraId="6AA296E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PACE provider shall be assessed a non-refundable delinquent fee as provided in R.S. 40:2120.68, or current law. The delinquent fee shall be for failure to timely renew its license. The assessed delinquent fee shall become due and payable to the department at 12:0l a.m. on the first day following the expiration date of the license;</w:t>
      </w:r>
    </w:p>
    <w:p w14:paraId="7A8344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proof of continuous financial viability, including:</w:t>
      </w:r>
    </w:p>
    <w:p w14:paraId="18F8165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maintenance of a LOC that shall be:</w:t>
      </w:r>
    </w:p>
    <w:p w14:paraId="007E8E6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issued from a federally insured, licensed lending institution; and</w:t>
      </w:r>
    </w:p>
    <w:p w14:paraId="1228F99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 the amount of at least $50,000;</w:t>
      </w:r>
    </w:p>
    <w:p w14:paraId="48FC650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compliance with the Louisiana Workers’ Compensation Law, R.S. 23:1020.1 et seq., or current law; and</w:t>
      </w:r>
    </w:p>
    <w:p w14:paraId="15BCD251" w14:textId="77777777" w:rsidR="006E50FF" w:rsidRPr="006E50FF" w:rsidRDefault="006E50FF" w:rsidP="006E50FF">
      <w:pPr>
        <w:tabs>
          <w:tab w:val="left" w:pos="907"/>
        </w:tabs>
        <w:ind w:firstLine="547"/>
        <w:jc w:val="both"/>
        <w:outlineLvl w:val="5"/>
        <w:rPr>
          <w:kern w:val="2"/>
        </w:rPr>
      </w:pPr>
      <w:r w:rsidRPr="006E50FF">
        <w:rPr>
          <w:kern w:val="2"/>
        </w:rPr>
        <w:lastRenderedPageBreak/>
        <w:t>c.</w:t>
      </w:r>
      <w:r w:rsidRPr="006E50FF">
        <w:rPr>
          <w:kern w:val="2"/>
        </w:rPr>
        <w:tab/>
        <w:t>general and professional liability insurance of at least $300,000.</w:t>
      </w:r>
    </w:p>
    <w:p w14:paraId="07DD26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proof of PACE program agreement, if accredited; and</w:t>
      </w:r>
    </w:p>
    <w:p w14:paraId="4A1BA5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any other documentation or information required by the department for licensure renewal.</w:t>
      </w:r>
    </w:p>
    <w:p w14:paraId="21B7F3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shall determine if the PACE provider meets the requirements established herein. The following shall be submitted by the PACE provider:</w:t>
      </w:r>
    </w:p>
    <w:p w14:paraId="28F3D7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completed annual renewal application packet;</w:t>
      </w:r>
    </w:p>
    <w:p w14:paraId="2D9834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annual non-refundable renewal fee; and</w:t>
      </w:r>
    </w:p>
    <w:p w14:paraId="4334A8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applicable delinquent fee.</w:t>
      </w:r>
    </w:p>
    <w:p w14:paraId="563E3A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To ensure compliance with the licensing standards established herein, the department may perform an on-site survey and inspection:</w:t>
      </w:r>
    </w:p>
    <w:p w14:paraId="2C52D2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upon renewal of a license; and</w:t>
      </w:r>
    </w:p>
    <w:p w14:paraId="0065B0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other reasonable times as necessary.</w:t>
      </w:r>
    </w:p>
    <w:p w14:paraId="58327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the provider continues to meet the requirements established herein, a license shall be issued. The license shall be valid for up to 12 months, unless otherwise revoked or suspended.</w:t>
      </w:r>
    </w:p>
    <w:p w14:paraId="22C422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95AE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FF31AE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§4317.</w:t>
      </w:r>
      <w:r w:rsidRPr="006E50FF">
        <w:rPr>
          <w:b/>
          <w:kern w:val="2"/>
        </w:rPr>
        <w:tab/>
        <w:t>Reporting Requirements</w:t>
      </w:r>
    </w:p>
    <w:p w14:paraId="7C5CE2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Changes shall be reported in writing to the department within five working days of the occurrence. Changes shall include:</w:t>
      </w:r>
    </w:p>
    <w:p w14:paraId="127C1B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name of the PACE provider;</w:t>
      </w:r>
    </w:p>
    <w:p w14:paraId="3E2510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geographic or mailing address;</w:t>
      </w:r>
    </w:p>
    <w:p w14:paraId="2EF85E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contact information (e.g., telephone number, fax number, or email address); or</w:t>
      </w:r>
    </w:p>
    <w:p w14:paraId="095951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key administrative staff (e.g., director, center manager, social worker, RN, etc.).</w:t>
      </w:r>
    </w:p>
    <w:p w14:paraId="429318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Change of Ownership (CHOW)</w:t>
      </w:r>
    </w:p>
    <w:p w14:paraId="201CFD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license shall not be sold, transferred, or assigned.</w:t>
      </w:r>
    </w:p>
    <w:p w14:paraId="1345DE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PACE provider may be sold, or its ownership may be transferred so long as it complies with all requirements in 42 CFR 460.60 and 42 CFR part 422, subpart L. For a CHOW, the new owner shall:</w:t>
      </w:r>
    </w:p>
    <w:p w14:paraId="7A780B0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notify the HSS in writing; and </w:t>
      </w:r>
    </w:p>
    <w:p w14:paraId="6A4B3D9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apply for a new license at least 45 business days prior to the effective date of the CHOW.</w:t>
      </w:r>
    </w:p>
    <w:p w14:paraId="6387B3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transferor shall remain responsible for the operation of the PACE provider until a license has been issued to the transferee.</w:t>
      </w:r>
    </w:p>
    <w:p w14:paraId="680ADF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signed copy of the legal transfer of ownership document shall be provided to HSS.</w:t>
      </w:r>
    </w:p>
    <w:p w14:paraId="0431D0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Within 45 business days of the effective date of the CHOW, the following shall be submitted:</w:t>
      </w:r>
    </w:p>
    <w:p w14:paraId="06195E8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CHOW application; and</w:t>
      </w:r>
    </w:p>
    <w:p w14:paraId="164C1D3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other documents requested by HSS.</w:t>
      </w:r>
    </w:p>
    <w:p w14:paraId="010974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new owner shall submit:</w:t>
      </w:r>
    </w:p>
    <w:p w14:paraId="62D9D59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license application identifying all new information; and</w:t>
      </w:r>
    </w:p>
    <w:p w14:paraId="59E4E1B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appropriate CHOW non-refundable licensing fee.</w:t>
      </w:r>
    </w:p>
    <w:p w14:paraId="3CB434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PACE provider shall not undergo a CHOW, if the PACE provider is under:</w:t>
      </w:r>
    </w:p>
    <w:p w14:paraId="6850BD7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license revocation;</w:t>
      </w:r>
    </w:p>
    <w:p w14:paraId="7C82746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renewal of licensure; or</w:t>
      </w:r>
    </w:p>
    <w:p w14:paraId="33B9316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provisional license.</w:t>
      </w:r>
    </w:p>
    <w:p w14:paraId="62A9BC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CHOW of the PACE provider shall not be submitted at the time of annual renewal of the PACE provider’s license.</w:t>
      </w:r>
    </w:p>
    <w:p w14:paraId="24A3D5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non-refundable fee shall be submitted when:</w:t>
      </w:r>
    </w:p>
    <w:p w14:paraId="3C3B8A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there’s a change in the license; or</w:t>
      </w:r>
    </w:p>
    <w:p w14:paraId="5341DB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duplicate license has been requested.</w:t>
      </w:r>
    </w:p>
    <w:p w14:paraId="209AA3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780AA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E2BAA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§4319.</w:t>
      </w:r>
      <w:r w:rsidRPr="006E50FF">
        <w:rPr>
          <w:b/>
          <w:kern w:val="2"/>
        </w:rPr>
        <w:tab/>
        <w:t>Denial of Initial Licensure, Revocation of License, Denial of License Renewal</w:t>
      </w:r>
    </w:p>
    <w:p w14:paraId="7C3EE2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the provisions of the Administrative Procedure Act (APA), the department:</w:t>
      </w:r>
    </w:p>
    <w:p w14:paraId="1386D8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may deny an application for an initial license or a license renewal; or </w:t>
      </w:r>
    </w:p>
    <w:p w14:paraId="3725C7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may revoke a license.</w:t>
      </w:r>
    </w:p>
    <w:p w14:paraId="3F64B5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Denial of an Initial License</w:t>
      </w:r>
    </w:p>
    <w:p w14:paraId="158EFF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 shall deny an initial license if the initial licensing survey finds that the PACE provider applicant is noncompliant with any licensing laws or regulations, or any other required statutes or regulations that present a potential threat to the:</w:t>
      </w:r>
    </w:p>
    <w:p w14:paraId="29E1A49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health;</w:t>
      </w:r>
    </w:p>
    <w:p w14:paraId="5073225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safety; or </w:t>
      </w:r>
    </w:p>
    <w:p w14:paraId="6BFA6C3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welfare of the participants.</w:t>
      </w:r>
    </w:p>
    <w:p w14:paraId="0116E5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department may deny an initial license for any of the reasons a license may be revoked or denied renewal pursuant to these licensing provisions.</w:t>
      </w:r>
    </w:p>
    <w:p w14:paraId="666E75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If a provider fails to renew its license timely, the license expires on its face. Once expired, the license is considered voluntarily surrendered. There are no appeal rights for such surrender or non-renewal of the license. This is a voluntary action on the part of the provider.</w:t>
      </w:r>
    </w:p>
    <w:p w14:paraId="36A362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Revocation of License or Denial of License Renewal</w:t>
      </w:r>
    </w:p>
    <w:p w14:paraId="34F66E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license may be revoked or denied renewal for any of the following reasons, including but not limited to:</w:t>
      </w:r>
    </w:p>
    <w:p w14:paraId="6CEFCCE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failure to be in substantial compliance with the PACE licensing:</w:t>
      </w:r>
    </w:p>
    <w:p w14:paraId="4693F92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laws;</w:t>
      </w:r>
    </w:p>
    <w:p w14:paraId="35CB35F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rules; and </w:t>
      </w:r>
    </w:p>
    <w:p w14:paraId="4FE175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regulations;</w:t>
      </w:r>
    </w:p>
    <w:p w14:paraId="176F5C1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failure to be in substantial compliance with other required:</w:t>
      </w:r>
    </w:p>
    <w:p w14:paraId="262C6BD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statutes;</w:t>
      </w:r>
    </w:p>
    <w:p w14:paraId="11320B9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laws;</w:t>
      </w:r>
    </w:p>
    <w:p w14:paraId="47F4978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ordinances;</w:t>
      </w:r>
    </w:p>
    <w:p w14:paraId="0D66A5F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 xml:space="preserve">rules; or </w:t>
      </w:r>
    </w:p>
    <w:p w14:paraId="35F9888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regulations;</w:t>
      </w:r>
    </w:p>
    <w:p w14:paraId="40F6E1A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failure to comply with the terms and provisions of a settlement agreement;</w:t>
      </w:r>
    </w:p>
    <w:p w14:paraId="5A3AC7B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failure to uphold participant rights whereby deficient practices result in:</w:t>
      </w:r>
    </w:p>
    <w:p w14:paraId="1C0D66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harm;</w:t>
      </w:r>
    </w:p>
    <w:p w14:paraId="493017E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injury; or </w:t>
      </w:r>
    </w:p>
    <w:p w14:paraId="55110CA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death of a participant;</w:t>
      </w:r>
    </w:p>
    <w:p w14:paraId="0A1F041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failure to protect a participant from a harmful act of an employee, either contracted or staff, or by another participant including, but not limited to:</w:t>
      </w:r>
    </w:p>
    <w:p w14:paraId="62EC9A4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mental or physical abuse;</w:t>
      </w:r>
    </w:p>
    <w:p w14:paraId="29E7914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neglect exploitation, or extortion;</w:t>
      </w:r>
    </w:p>
    <w:p w14:paraId="33BD117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iii.</w:t>
      </w:r>
      <w:r w:rsidRPr="006E50FF">
        <w:rPr>
          <w:kern w:val="2"/>
        </w:rPr>
        <w:tab/>
        <w:t>any action posing a threat to a participant’s health and safety;</w:t>
      </w:r>
    </w:p>
    <w:p w14:paraId="775385F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coercion;</w:t>
      </w:r>
    </w:p>
    <w:p w14:paraId="5A47A4C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threat or intimidation;</w:t>
      </w:r>
    </w:p>
    <w:p w14:paraId="098A5C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harassment; or</w:t>
      </w:r>
    </w:p>
    <w:p w14:paraId="1C137E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criminal activity;</w:t>
      </w:r>
    </w:p>
    <w:p w14:paraId="32F5FE4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failure to notify proper authorities, as required by federal or state law or regulations, of all suspected cases of acts outlined in §4317.D.;</w:t>
      </w:r>
    </w:p>
    <w:p w14:paraId="2229EE60"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knowingly making a false statement in any of the following areas, including but not limited to:</w:t>
      </w:r>
    </w:p>
    <w:p w14:paraId="3DAA8B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application for initial license or renewal of license;</w:t>
      </w:r>
    </w:p>
    <w:p w14:paraId="52C5EB2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clinical records, participant records, or provider records;</w:t>
      </w:r>
    </w:p>
    <w:p w14:paraId="0DDAB63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matters under investigation by the department or the Office of the Attorney General; or</w:t>
      </w:r>
    </w:p>
    <w:p w14:paraId="1A8C682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information submitted for reimbursement from any payment source;</w:t>
      </w:r>
    </w:p>
    <w:p w14:paraId="17840DF7"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knowingly making a false statement or providing false, forged, or altered information or documentation:</w:t>
      </w:r>
    </w:p>
    <w:p w14:paraId="40186AE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to LDH employees; or </w:t>
      </w:r>
    </w:p>
    <w:p w14:paraId="03C95C1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to law enforcement agencies;</w:t>
      </w:r>
    </w:p>
    <w:p w14:paraId="5EDF6940"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using false, fraudulent, or misleading advertising; or</w:t>
      </w:r>
    </w:p>
    <w:p w14:paraId="3BD5963D"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an owner, officer, member, manager, administrator, director, or person designated to manage or supervise participant care has pled guilty or nolo contendere to a felony, or has been convicted of a felony, as documented by a certified copy of the record of the court;</w:t>
      </w:r>
    </w:p>
    <w:p w14:paraId="0BF181C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for purposes of these provisions, conviction of a felony involves any felony conviction relating to:</w:t>
      </w:r>
    </w:p>
    <w:p w14:paraId="4B0C33B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violence, abuse, or negligence of a person;</w:t>
      </w:r>
    </w:p>
    <w:p w14:paraId="2E28C275"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misappropriation of property belonging to another person;</w:t>
      </w:r>
    </w:p>
    <w:p w14:paraId="6CB8C73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cruelty, exploitation, or the sexual battery of the infirmed;</w:t>
      </w:r>
    </w:p>
    <w:p w14:paraId="07BF521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a drug offense;</w:t>
      </w:r>
    </w:p>
    <w:p w14:paraId="51BDE0C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crimes of a sexual nature;</w:t>
      </w:r>
    </w:p>
    <w:p w14:paraId="7C65F02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(f).</w:t>
      </w:r>
      <w:r w:rsidRPr="006E50FF">
        <w:rPr>
          <w:kern w:val="2"/>
        </w:rPr>
        <w:tab/>
        <w:t>a firearm or deadly weapon; or</w:t>
      </w:r>
    </w:p>
    <w:p w14:paraId="6DBA5C7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(g).</w:t>
      </w:r>
      <w:r w:rsidRPr="006E50FF">
        <w:rPr>
          <w:kern w:val="2"/>
        </w:rPr>
        <w:tab/>
        <w:t>fraud or misappropriation of federal or state funds;</w:t>
      </w:r>
    </w:p>
    <w:p w14:paraId="217ADEEF"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failure to comply with all reporting requirements in a timely manner, as required by the department;</w:t>
      </w:r>
    </w:p>
    <w:p w14:paraId="01C7413B"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failure to allow or refusal to allow the department to:</w:t>
      </w:r>
    </w:p>
    <w:p w14:paraId="541E361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conduct an investigation or survey;</w:t>
      </w:r>
    </w:p>
    <w:p w14:paraId="260D2EE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interview provider staff or participants; or</w:t>
      </w:r>
    </w:p>
    <w:p w14:paraId="62CC2C2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have access to provider, facility, or participant records by authorized departmental personnel;</w:t>
      </w:r>
    </w:p>
    <w:p w14:paraId="4DC6B9C5" w14:textId="77777777" w:rsidR="006E50FF" w:rsidRPr="006E50FF" w:rsidRDefault="006E50FF" w:rsidP="006E50FF">
      <w:pPr>
        <w:tabs>
          <w:tab w:val="left" w:pos="907"/>
        </w:tabs>
        <w:ind w:firstLine="547"/>
        <w:jc w:val="both"/>
        <w:outlineLvl w:val="5"/>
        <w:rPr>
          <w:kern w:val="2"/>
        </w:rPr>
      </w:pPr>
      <w:r w:rsidRPr="006E50FF">
        <w:rPr>
          <w:kern w:val="2"/>
        </w:rPr>
        <w:t>m.</w:t>
      </w:r>
      <w:r w:rsidRPr="006E50FF">
        <w:rPr>
          <w:kern w:val="2"/>
        </w:rPr>
        <w:tab/>
        <w:t>interference with the survey process, including but not limited to:</w:t>
      </w:r>
    </w:p>
    <w:p w14:paraId="5BD1A01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harassment;</w:t>
      </w:r>
    </w:p>
    <w:p w14:paraId="13F7974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intimidation; or </w:t>
      </w:r>
    </w:p>
    <w:p w14:paraId="1C73617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threats against the survey staff;</w:t>
      </w:r>
    </w:p>
    <w:p w14:paraId="116F4144" w14:textId="77777777" w:rsidR="006E50FF" w:rsidRPr="006E50FF" w:rsidRDefault="006E50FF" w:rsidP="006E50FF">
      <w:pPr>
        <w:tabs>
          <w:tab w:val="left" w:pos="907"/>
        </w:tabs>
        <w:ind w:firstLine="547"/>
        <w:jc w:val="both"/>
        <w:outlineLvl w:val="5"/>
        <w:rPr>
          <w:kern w:val="2"/>
        </w:rPr>
      </w:pPr>
      <w:r w:rsidRPr="006E50FF">
        <w:rPr>
          <w:kern w:val="2"/>
        </w:rPr>
        <w:t>n.</w:t>
      </w:r>
      <w:r w:rsidRPr="006E50FF">
        <w:rPr>
          <w:kern w:val="2"/>
        </w:rPr>
        <w:tab/>
        <w:t>failure to repay an identified overpayment to the department or failure to enter into a payment agreement to repay such overpayment;</w:t>
      </w:r>
    </w:p>
    <w:p w14:paraId="74278D2A" w14:textId="77777777" w:rsidR="006E50FF" w:rsidRPr="006E50FF" w:rsidRDefault="006E50FF" w:rsidP="006E50FF">
      <w:pPr>
        <w:tabs>
          <w:tab w:val="left" w:pos="907"/>
        </w:tabs>
        <w:ind w:firstLine="547"/>
        <w:jc w:val="both"/>
        <w:outlineLvl w:val="5"/>
        <w:rPr>
          <w:kern w:val="2"/>
        </w:rPr>
      </w:pPr>
      <w:r w:rsidRPr="006E50FF">
        <w:rPr>
          <w:kern w:val="2"/>
        </w:rPr>
        <w:t>o.</w:t>
      </w:r>
      <w:r w:rsidRPr="006E50FF">
        <w:rPr>
          <w:kern w:val="2"/>
        </w:rPr>
        <w:tab/>
        <w:t>failure to timely pay to the department:</w:t>
      </w:r>
    </w:p>
    <w:p w14:paraId="2C5F7EB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outstanding fees;</w:t>
      </w:r>
    </w:p>
    <w:p w14:paraId="668C1EA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fines;</w:t>
      </w:r>
    </w:p>
    <w:p w14:paraId="288091A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 xml:space="preserve">iii. sanctions; or </w:t>
      </w:r>
    </w:p>
    <w:p w14:paraId="6761B61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other debts;</w:t>
      </w:r>
    </w:p>
    <w:p w14:paraId="2A92C607" w14:textId="77777777" w:rsidR="006E50FF" w:rsidRPr="006E50FF" w:rsidRDefault="006E50FF" w:rsidP="006E50FF">
      <w:pPr>
        <w:tabs>
          <w:tab w:val="left" w:pos="907"/>
        </w:tabs>
        <w:ind w:firstLine="547"/>
        <w:jc w:val="both"/>
        <w:outlineLvl w:val="5"/>
        <w:rPr>
          <w:kern w:val="2"/>
        </w:rPr>
      </w:pPr>
      <w:r w:rsidRPr="006E50FF">
        <w:rPr>
          <w:kern w:val="2"/>
        </w:rPr>
        <w:t>p.</w:t>
      </w:r>
      <w:r w:rsidRPr="006E50FF">
        <w:rPr>
          <w:kern w:val="2"/>
        </w:rPr>
        <w:tab/>
        <w:t>failure to maintain current, and in effect, required insurance policies in accordance with the provisions of this Chapter; or</w:t>
      </w:r>
    </w:p>
    <w:p w14:paraId="5BC3CD30" w14:textId="77777777" w:rsidR="006E50FF" w:rsidRPr="006E50FF" w:rsidRDefault="006E50FF" w:rsidP="006E50FF">
      <w:pPr>
        <w:tabs>
          <w:tab w:val="left" w:pos="907"/>
        </w:tabs>
        <w:ind w:firstLine="547"/>
        <w:jc w:val="both"/>
        <w:outlineLvl w:val="5"/>
        <w:rPr>
          <w:kern w:val="2"/>
        </w:rPr>
      </w:pPr>
      <w:r w:rsidRPr="006E50FF">
        <w:rPr>
          <w:kern w:val="2"/>
        </w:rPr>
        <w:t>q.</w:t>
      </w:r>
      <w:r w:rsidRPr="006E50FF">
        <w:rPr>
          <w:kern w:val="2"/>
        </w:rPr>
        <w:tab/>
        <w:t>failure to:</w:t>
      </w:r>
    </w:p>
    <w:p w14:paraId="01A391B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enter into a PACE program agreement; or </w:t>
      </w:r>
    </w:p>
    <w:p w14:paraId="7B18F25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terminate the PACE program agreement.</w:t>
      </w:r>
    </w:p>
    <w:p w14:paraId="0714DE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 PACE provider license is revoked, renewal is denied, or the license is surrendered in lieu of an adverse action, any owner, board member, director, or administrator, or any other person named on the license application of such PACE provider shall be prohibited from owning, managing, directing, operating another PACE provider for a period of two years. The two-year period begins on the date of the final disposition of the:</w:t>
      </w:r>
    </w:p>
    <w:p w14:paraId="469768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revocation;</w:t>
      </w:r>
    </w:p>
    <w:p w14:paraId="399D20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denial action; or </w:t>
      </w:r>
    </w:p>
    <w:p w14:paraId="5C000A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surrender.</w:t>
      </w:r>
    </w:p>
    <w:p w14:paraId="08923E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D6368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9A4CA7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§4321.</w:t>
      </w:r>
      <w:r w:rsidRPr="006E50FF">
        <w:rPr>
          <w:b/>
          <w:kern w:val="2"/>
        </w:rPr>
        <w:tab/>
        <w:t>Notice and Appeal of Initial License Denial, License Revocation, and Denial of License Renewal</w:t>
      </w:r>
    </w:p>
    <w:p w14:paraId="61F8A4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Notice of the following shall be given to the provider in writing:</w:t>
      </w:r>
    </w:p>
    <w:p w14:paraId="1AC133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initial license denial;</w:t>
      </w:r>
    </w:p>
    <w:p w14:paraId="00D69F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license revocation; or </w:t>
      </w:r>
    </w:p>
    <w:p w14:paraId="44A8EF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denial of license renewal.</w:t>
      </w:r>
    </w:p>
    <w:p w14:paraId="1FECC5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has a right to an administrative reconsideration (AR) of the initial license denial, license revocation, or denial of license renewal. There is no right to an AR of a voluntary non-renewal or surrender of a license by the provider.</w:t>
      </w:r>
    </w:p>
    <w:p w14:paraId="595252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request the AR within 15 calendar days of receipt of the notice of the initial license denial, license revocation, or denial of license renewal. The request for AR shall be in writing and shall be forwarded to the department’s HSS. The request for AR shall be considered timely if received by the HSS within 15 calendar days from the provider’s receipt of the notice.</w:t>
      </w:r>
    </w:p>
    <w:p w14:paraId="462F4E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request for AR shall include any documentation that shows the determination was made in error.</w:t>
      </w:r>
    </w:p>
    <w:p w14:paraId="1FE610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 timely request for an AR is received by HSS:</w:t>
      </w:r>
    </w:p>
    <w:p w14:paraId="58059AB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 AR shall be scheduled; and </w:t>
      </w:r>
    </w:p>
    <w:p w14:paraId="6A0CC7A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provider shall receive written notification of the date of the AR.</w:t>
      </w:r>
    </w:p>
    <w:p w14:paraId="075335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provider shall have the right to:</w:t>
      </w:r>
    </w:p>
    <w:p w14:paraId="1E4A33B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appear in person at the AR; and </w:t>
      </w:r>
    </w:p>
    <w:p w14:paraId="1FAE343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represented by counsel.</w:t>
      </w:r>
    </w:p>
    <w:p w14:paraId="7916FC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Correction of a violation or deficiency that is the basis for the initial license denial, revocation, or denial of license renewal shall not be a basis for reconsideration.</w:t>
      </w:r>
    </w:p>
    <w:p w14:paraId="01E83D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AR process is not in lieu of the administrative appeals process.</w:t>
      </w:r>
    </w:p>
    <w:p w14:paraId="459140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provider shall be notified in writing of the results of the AR.</w:t>
      </w:r>
    </w:p>
    <w:p w14:paraId="7054ED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has a right to an administrative appeal (AA) of the initial license denial, license revocation, or denial of license renewal. There is no right to an AA of a voluntary non-renewal or surrender of a license by the PACE provider.</w:t>
      </w:r>
    </w:p>
    <w:p w14:paraId="05293A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The PACE provider shall request the AA within 30 calendar days of receipt of the results of the AR.</w:t>
      </w:r>
    </w:p>
    <w:p w14:paraId="19C3526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PACE provider may forego its rights to an AR, and if so, shall request AA within 30 calendar days of receipt of the written notice of the initial license:</w:t>
      </w:r>
    </w:p>
    <w:p w14:paraId="753CFC6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denial;</w:t>
      </w:r>
    </w:p>
    <w:p w14:paraId="3FABE41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revocation; or </w:t>
      </w:r>
    </w:p>
    <w:p w14:paraId="405A3D1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denial of license renewal.</w:t>
      </w:r>
    </w:p>
    <w:p w14:paraId="60E77D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request for AA shall be in writing. The request shall be submitted to the Division of Administrative Law (DAL), or its successor. The request shall include:</w:t>
      </w:r>
    </w:p>
    <w:p w14:paraId="2BD667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any documentation that shows the determination was made in error; and </w:t>
      </w:r>
    </w:p>
    <w:p w14:paraId="5B5DDAD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basis and specific reasons for the appeal.</w:t>
      </w:r>
    </w:p>
    <w:p w14:paraId="3AA171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 timely request for an AA is received by the DAL, or its successor, the AA of the initial license denial, license revocation, or denial of license renewal shall be suspensive. The provider shall be allowed to continue operations and provide services until such time as the department issues a final administrative decision.</w:t>
      </w:r>
    </w:p>
    <w:p w14:paraId="5E9D5D2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If the secretary of the department determines that the violations of the provider pose an imminent or immediate threat to the health, welfare, or safety of a participant, the imposition of the license revocation or denial of license renewal may be immediate and may be enforced during the pendency of the AA. If the secretary of the department makes such a determination, the provider shall be notified in writing.</w:t>
      </w:r>
    </w:p>
    <w:p w14:paraId="560C88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Correction of a violation or a deficiency that is the basis for the initial license denial, license revocation, or denial of license renewal shall not be a basis for an AA.</w:t>
      </w:r>
    </w:p>
    <w:p w14:paraId="39E6FB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an existing licensed PACE provider has been issued a notice of license revocation and the provider’s license is due for annual renewal, the department shall deny the license renewal application. The denial of the license renewal application does not affect, in any manner, the license revocation.</w:t>
      </w:r>
    </w:p>
    <w:p w14:paraId="6D57B1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 timely AA has been filed by the provider on an initial license denial, denial of license renewal, or license revocation, the DAL, or its successor, shall conduct the hearing in accordance with the APA.</w:t>
      </w:r>
    </w:p>
    <w:p w14:paraId="584E0C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final decision of the DAL, or its successor, is to reverse the initial license denial, denial of license renewal, or license revocation, the provider’s license shall be re-instated or granted upon the payment of any licensing fees, outstanding sanctions, or other fees due to the department.</w:t>
      </w:r>
    </w:p>
    <w:p w14:paraId="45462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final decision of the DAL, or its successor, is to affirm the initial license denial, denial of license renewal, or license revocation, the provider shall ensure a safe and orderly discharge of any and all participants receiving services according to the provisions of this Chapter.</w:t>
      </w:r>
    </w:p>
    <w:p w14:paraId="2FBB2D0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Within 10 calendar days of the final decision of the DAL, or its successor, the provider shall notify HSS, in writing, of:</w:t>
      </w:r>
    </w:p>
    <w:p w14:paraId="3ABBD77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the secure and confidential location where the participant records shall be stored; and </w:t>
      </w:r>
    </w:p>
    <w:p w14:paraId="53469DB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name and contact information of the person(s) responsible for the participant records.</w:t>
      </w:r>
    </w:p>
    <w:p w14:paraId="571E58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4244042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65F4A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§4323.</w:t>
      </w:r>
      <w:r w:rsidRPr="006E50FF">
        <w:rPr>
          <w:b/>
          <w:kern w:val="2"/>
        </w:rPr>
        <w:tab/>
        <w:t>Complaint Surveys</w:t>
      </w:r>
    </w:p>
    <w:p w14:paraId="50C426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department shall conduct complaint surveys in accordance with R.S. 40:2009.13 et seq., or current law.</w:t>
      </w:r>
    </w:p>
    <w:p w14:paraId="101192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Complaint surveys shall be unannounced surveys.</w:t>
      </w:r>
    </w:p>
    <w:p w14:paraId="0D28D8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A follow-up survey may be conducted for any complaint survey where deficiencies have been cited. </w:t>
      </w:r>
    </w:p>
    <w:p w14:paraId="73008A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department may issue appropriate sanctions for deficiencies and noncompliance with any complaint survey, including, but not limited to:</w:t>
      </w:r>
    </w:p>
    <w:p w14:paraId="76D3E4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civil monetary penalties;</w:t>
      </w:r>
    </w:p>
    <w:p w14:paraId="39F61A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directed plans of correction; and</w:t>
      </w:r>
    </w:p>
    <w:p w14:paraId="316374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license revocations.</w:t>
      </w:r>
    </w:p>
    <w:p w14:paraId="4F7EB7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During any complaint survey, LDH surveyors and staff shall:</w:t>
      </w:r>
    </w:p>
    <w:p w14:paraId="4B4366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be given access to all areas of the center and all relevant files; and </w:t>
      </w:r>
    </w:p>
    <w:p w14:paraId="73BFC7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allowed to interview any PACE center staff and participants as required to conduct the survey.</w:t>
      </w:r>
    </w:p>
    <w:p w14:paraId="1F6440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cooperate in all surveys or investigations conducted by the department. Failure to cooperate with the survey or investigation may result in action up to and including license revocation.</w:t>
      </w:r>
    </w:p>
    <w:p w14:paraId="64123E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 xml:space="preserve">The department may assess a PACE provider with a survey or investigation fee. The fee shall be in accordance with R.S. 40:2120.69, or current law for any complaint survey or investigation conducted by the department at which deficiencies are substantiated. </w:t>
      </w:r>
    </w:p>
    <w:p w14:paraId="2AFD7E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This survey or inspection fee shall be imposed by the department only after the:</w:t>
      </w:r>
    </w:p>
    <w:p w14:paraId="59F9234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PACE provider has completed the administrative process that has upheld the deficiencies; or </w:t>
      </w:r>
    </w:p>
    <w:p w14:paraId="45CB34B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time for filing any administrative process or appeal has expired. </w:t>
      </w:r>
    </w:p>
    <w:p w14:paraId="1FB1DC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survey or investigation fee shall:</w:t>
      </w:r>
    </w:p>
    <w:p w14:paraId="0560E3F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not exceed the cost of performing the survey or inspection; and</w:t>
      </w:r>
    </w:p>
    <w:p w14:paraId="711622F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in addition to any other sanctions.</w:t>
      </w:r>
    </w:p>
    <w:p w14:paraId="79484C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5A4E9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2AD8C4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§4325.</w:t>
      </w:r>
      <w:r w:rsidRPr="006E50FF">
        <w:rPr>
          <w:b/>
          <w:kern w:val="2"/>
        </w:rPr>
        <w:tab/>
        <w:t>Statement of Deficiencies (SOD)</w:t>
      </w:r>
    </w:p>
    <w:p w14:paraId="56EC09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SOD issued by the department to the PACE provider shall be posted visibly in a public area of the PACE center:</w:t>
      </w:r>
    </w:p>
    <w:p w14:paraId="3834DE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most recent annual survey SOD; and</w:t>
      </w:r>
    </w:p>
    <w:p w14:paraId="5F356B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subsequent complaint SOD.</w:t>
      </w:r>
    </w:p>
    <w:p w14:paraId="1F684F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SOD issued by the department to a PACE provider shall be available for disclosure to the public:</w:t>
      </w:r>
    </w:p>
    <w:p w14:paraId="7FD025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30 calendar days after the PACE provider submits an acceptable POC to the deficiencies; or </w:t>
      </w:r>
    </w:p>
    <w:p w14:paraId="6F387B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90 calendar days after the SOD is issued to the PACE provider, whichever occurs first.</w:t>
      </w:r>
    </w:p>
    <w:p w14:paraId="64EC59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Unless otherwise provided in statute or in these licensing provisions, a PACE provider shall have the right to an informal dispute resolution (IDR). This right applies to any deficiencies cited because of a survey or investigation.</w:t>
      </w:r>
    </w:p>
    <w:p w14:paraId="5A401C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Correction of the violation, noncompliance, or deficiency shall not be the basis for the reconsideration.</w:t>
      </w:r>
    </w:p>
    <w:p w14:paraId="6894EA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IDR shall be submitted in writing within 10 calendar days of the PACE provider’s receipt of the SOD, unless otherwise provided within these standards.</w:t>
      </w:r>
    </w:p>
    <w:p w14:paraId="33E5B1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request for IDR shall be made to HSS. The request shall be considered timely if received by HSS within 10 calendar days of the PACE provider’s receipt of the statement of deficiencies.</w:t>
      </w:r>
    </w:p>
    <w:p w14:paraId="0DE4B9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department shall schedule and conduct the IDR. Informal reconsiderations of the results of a complaint investigation are conducted as desk reviews.</w:t>
      </w:r>
    </w:p>
    <w:p w14:paraId="1AB9FE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PACE provider shall be notified in writing of the results of the IDR.</w:t>
      </w:r>
    </w:p>
    <w:p w14:paraId="6C6D80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decision of the IDR team shall be the final administrative decision regarding the deficiencies except:</w:t>
      </w:r>
    </w:p>
    <w:p w14:paraId="3FDE2C4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as provided for complaint surveys pursuant to R.S. 40:2009.13 et seq., or current law; and </w:t>
      </w:r>
    </w:p>
    <w:p w14:paraId="4955AAE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as provided in these licensing provisions for initial license denials, revocations, and denial of license renewals.</w:t>
      </w:r>
    </w:p>
    <w:p w14:paraId="768B78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request for an IDR cited because of a survey or investigation, does not delay submission of the required POC within the prescribed timeframe.</w:t>
      </w:r>
    </w:p>
    <w:p w14:paraId="5F97D3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E8B51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1B93AA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§4327.</w:t>
      </w:r>
      <w:r w:rsidRPr="006E50FF">
        <w:rPr>
          <w:b/>
          <w:kern w:val="2"/>
        </w:rPr>
        <w:tab/>
        <w:t>Cessation of Business</w:t>
      </w:r>
    </w:p>
    <w:p w14:paraId="5A0AEA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Except as provided in §4329 and §4331 of these licensing regulations, a license shall be immediately null and void if a PACE provider becomes non-operational.</w:t>
      </w:r>
    </w:p>
    <w:p w14:paraId="6FCBBE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cessation of business (COB) is deemed to be effective:</w:t>
      </w:r>
    </w:p>
    <w:p w14:paraId="766774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date on which the PACE provider ceased offering or providing services to the community; and/or </w:t>
      </w:r>
    </w:p>
    <w:p w14:paraId="79EBDD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is considered non-operational in accordance with the requirements of §4305.</w:t>
      </w:r>
    </w:p>
    <w:p w14:paraId="689419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Cessation of business is deemed to be a voluntary action on the part of the PACE provider. The PACE provider does not have a right to appeal a COB.</w:t>
      </w:r>
    </w:p>
    <w:p w14:paraId="14AAB1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Prior to the effective date of the closure or COB, the PACE provider shall:</w:t>
      </w:r>
    </w:p>
    <w:p w14:paraId="735850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give 30 calendar days advance written notice to:</w:t>
      </w:r>
    </w:p>
    <w:p w14:paraId="1E0D02AC"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each participant or participant’s legal representative, if applicable;</w:t>
      </w:r>
    </w:p>
    <w:p w14:paraId="742C479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Health Standards Section;</w:t>
      </w:r>
    </w:p>
    <w:p w14:paraId="61C35427" w14:textId="77777777" w:rsidR="006E50FF" w:rsidRPr="006E50FF" w:rsidRDefault="006E50FF" w:rsidP="006E50FF">
      <w:pPr>
        <w:tabs>
          <w:tab w:val="left" w:pos="907"/>
        </w:tabs>
        <w:ind w:firstLine="547"/>
        <w:jc w:val="both"/>
        <w:outlineLvl w:val="5"/>
        <w:rPr>
          <w:strike/>
          <w:kern w:val="2"/>
        </w:rPr>
      </w:pPr>
      <w:r w:rsidRPr="006E50FF">
        <w:rPr>
          <w:kern w:val="2"/>
        </w:rPr>
        <w:t>c.</w:t>
      </w:r>
      <w:r w:rsidRPr="006E50FF">
        <w:rPr>
          <w:kern w:val="2"/>
        </w:rPr>
        <w:tab/>
        <w:t>Office of Aging and Adult Services; and</w:t>
      </w:r>
    </w:p>
    <w:p w14:paraId="1D80566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provide for a safe and orderly discharge and transition of all the PACE provider’s participants;</w:t>
      </w:r>
    </w:p>
    <w:p w14:paraId="5F7E84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submit a written plan for the disposition of participant(s)’ medical records. </w:t>
      </w:r>
    </w:p>
    <w:p w14:paraId="13AF1F3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written plan shall be approved by the department and shall include the following:</w:t>
      </w:r>
    </w:p>
    <w:p w14:paraId="404D313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effective date of the closure;</w:t>
      </w:r>
    </w:p>
    <w:p w14:paraId="6C66A3B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provisions for the closed PACE provider’s participant’s medical records. Provisions shall comply with federal and state laws on medical records:</w:t>
      </w:r>
    </w:p>
    <w:p w14:paraId="38A4547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storage;</w:t>
      </w:r>
    </w:p>
    <w:p w14:paraId="1348315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maintenance;</w:t>
      </w:r>
    </w:p>
    <w:p w14:paraId="5398C81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access; and</w:t>
      </w:r>
    </w:p>
    <w:p w14:paraId="2741082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confidentiality;</w:t>
      </w:r>
    </w:p>
    <w:p w14:paraId="04E191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name and contact information for the appointed custodian(s). The appointed custodian shall provide the following:</w:t>
      </w:r>
    </w:p>
    <w:p w14:paraId="5C95390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access to records and copies of records to the participant or authorized representative, upon presentation of proper authorization(s); and</w:t>
      </w:r>
    </w:p>
    <w:p w14:paraId="63BA668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physical and environmental security that protects the records against:</w:t>
      </w:r>
    </w:p>
    <w:p w14:paraId="00FB91AD" w14:textId="77777777" w:rsidR="006E50FF" w:rsidRPr="006E50FF" w:rsidRDefault="006E50FF" w:rsidP="006E50FF">
      <w:pPr>
        <w:tabs>
          <w:tab w:val="decimal" w:pos="1440"/>
          <w:tab w:val="left" w:pos="1728"/>
        </w:tabs>
        <w:jc w:val="both"/>
        <w:outlineLvl w:val="8"/>
        <w:rPr>
          <w:kern w:val="2"/>
        </w:rPr>
      </w:pPr>
      <w:r w:rsidRPr="006E50FF">
        <w:rPr>
          <w:kern w:val="2"/>
        </w:rPr>
        <w:tab/>
        <w:t>(i).</w:t>
      </w:r>
      <w:r w:rsidRPr="006E50FF">
        <w:rPr>
          <w:kern w:val="2"/>
        </w:rPr>
        <w:tab/>
        <w:t>fire;</w:t>
      </w:r>
    </w:p>
    <w:p w14:paraId="4E104468" w14:textId="77777777" w:rsidR="006E50FF" w:rsidRPr="006E50FF" w:rsidRDefault="006E50FF" w:rsidP="006E50FF">
      <w:pPr>
        <w:tabs>
          <w:tab w:val="decimal" w:pos="1440"/>
          <w:tab w:val="left" w:pos="1728"/>
        </w:tabs>
        <w:jc w:val="both"/>
        <w:outlineLvl w:val="8"/>
        <w:rPr>
          <w:kern w:val="2"/>
        </w:rPr>
      </w:pPr>
      <w:r w:rsidRPr="006E50FF">
        <w:rPr>
          <w:kern w:val="2"/>
        </w:rPr>
        <w:tab/>
        <w:t>(ii).</w:t>
      </w:r>
      <w:r w:rsidRPr="006E50FF">
        <w:rPr>
          <w:kern w:val="2"/>
        </w:rPr>
        <w:tab/>
        <w:t>water;</w:t>
      </w:r>
    </w:p>
    <w:p w14:paraId="611D2A37" w14:textId="77777777" w:rsidR="006E50FF" w:rsidRPr="006E50FF" w:rsidRDefault="006E50FF" w:rsidP="006E50FF">
      <w:pPr>
        <w:tabs>
          <w:tab w:val="decimal" w:pos="1440"/>
          <w:tab w:val="left" w:pos="1728"/>
        </w:tabs>
        <w:jc w:val="both"/>
        <w:outlineLvl w:val="8"/>
        <w:rPr>
          <w:kern w:val="2"/>
        </w:rPr>
      </w:pPr>
      <w:r w:rsidRPr="006E50FF">
        <w:rPr>
          <w:kern w:val="2"/>
        </w:rPr>
        <w:tab/>
        <w:t>(iii).</w:t>
      </w:r>
      <w:r w:rsidRPr="006E50FF">
        <w:rPr>
          <w:kern w:val="2"/>
        </w:rPr>
        <w:tab/>
        <w:t>intrusion;</w:t>
      </w:r>
    </w:p>
    <w:p w14:paraId="36E95C85" w14:textId="77777777" w:rsidR="006E50FF" w:rsidRPr="006E50FF" w:rsidRDefault="006E50FF" w:rsidP="006E50FF">
      <w:pPr>
        <w:tabs>
          <w:tab w:val="decimal" w:pos="1440"/>
          <w:tab w:val="left" w:pos="1728"/>
        </w:tabs>
        <w:jc w:val="both"/>
        <w:outlineLvl w:val="8"/>
        <w:rPr>
          <w:kern w:val="2"/>
        </w:rPr>
      </w:pPr>
      <w:r w:rsidRPr="006E50FF">
        <w:rPr>
          <w:kern w:val="2"/>
        </w:rPr>
        <w:tab/>
        <w:t>(iv).</w:t>
      </w:r>
      <w:r w:rsidRPr="006E50FF">
        <w:rPr>
          <w:kern w:val="2"/>
        </w:rPr>
        <w:tab/>
        <w:t>unauthorized access;</w:t>
      </w:r>
    </w:p>
    <w:p w14:paraId="318F1A4E" w14:textId="77777777" w:rsidR="006E50FF" w:rsidRPr="006E50FF" w:rsidRDefault="006E50FF" w:rsidP="006E50FF">
      <w:pPr>
        <w:tabs>
          <w:tab w:val="decimal" w:pos="1440"/>
          <w:tab w:val="left" w:pos="1728"/>
        </w:tabs>
        <w:jc w:val="both"/>
        <w:outlineLvl w:val="8"/>
        <w:rPr>
          <w:kern w:val="2"/>
        </w:rPr>
      </w:pPr>
      <w:r w:rsidRPr="006E50FF">
        <w:rPr>
          <w:kern w:val="2"/>
        </w:rPr>
        <w:tab/>
        <w:t>(v).</w:t>
      </w:r>
      <w:r w:rsidRPr="006E50FF">
        <w:rPr>
          <w:kern w:val="2"/>
        </w:rPr>
        <w:tab/>
        <w:t>loss; and</w:t>
      </w:r>
    </w:p>
    <w:p w14:paraId="59F100D2" w14:textId="77777777" w:rsidR="006E50FF" w:rsidRPr="006E50FF" w:rsidRDefault="006E50FF" w:rsidP="006E50FF">
      <w:pPr>
        <w:tabs>
          <w:tab w:val="decimal" w:pos="1440"/>
          <w:tab w:val="left" w:pos="1728"/>
        </w:tabs>
        <w:jc w:val="both"/>
        <w:outlineLvl w:val="8"/>
        <w:rPr>
          <w:kern w:val="2"/>
        </w:rPr>
      </w:pPr>
      <w:r w:rsidRPr="006E50FF">
        <w:rPr>
          <w:kern w:val="2"/>
        </w:rPr>
        <w:tab/>
        <w:t>(vi).</w:t>
      </w:r>
      <w:r w:rsidRPr="006E50FF">
        <w:rPr>
          <w:kern w:val="2"/>
        </w:rPr>
        <w:tab/>
        <w:t>destruction;</w:t>
      </w:r>
    </w:p>
    <w:p w14:paraId="0DB954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public notice regarding access to records, which shall be:</w:t>
      </w:r>
    </w:p>
    <w:p w14:paraId="19D86A6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published in the newspaper with the largest circulation near the closing center; and</w:t>
      </w:r>
    </w:p>
    <w:p w14:paraId="1E77BD0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given at least 15 calendar days prior to the effective date of closure.</w:t>
      </w:r>
    </w:p>
    <w:p w14:paraId="729C73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 PACE provider fails to follow these procedures, the owners, managers, officers, directors, and administrators may be prohibited from opening, managing, directing, operating or owning a licensed PACE provider for a period of two years.</w:t>
      </w:r>
    </w:p>
    <w:p w14:paraId="7700AA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Once any PACE provider has ceased doing business, the PACE provider shall not provide services. The PACE provider may resume providing services after obtaining a new initial PACE provider license.</w:t>
      </w:r>
    </w:p>
    <w:p w14:paraId="6FA7C2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1D2A1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886DC2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§4329.</w:t>
      </w:r>
      <w:r w:rsidRPr="006E50FF">
        <w:rPr>
          <w:b/>
          <w:kern w:val="2"/>
        </w:rPr>
        <w:tab/>
        <w:t>Inactivation of License due to a Declared Disaster or Emergency</w:t>
      </w:r>
    </w:p>
    <w:p w14:paraId="48B7FD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licensed in a parish that is the subject of an executive order or proclamation of emergency or disaster issued in accordance with R.S. 29:724 or current law, or R.S. 29:766 or current law, may seek to inactivate its license for a period not to exceed one year, provided that the following conditions are met. The licensed PACE provider shall:</w:t>
      </w:r>
    </w:p>
    <w:p w14:paraId="5593B8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submit written notification to HSS within 60 calendar days of the date of the executive order or proclamation of emergency or disaster that the licensed PACE provider:</w:t>
      </w:r>
    </w:p>
    <w:p w14:paraId="1F24261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has experienced an interruption in the provisions of services because of events that are the subject of such executive order or proclamation of emergency or disaster issued in accordance with R.S. 29:724 or current law, or R.S. 29:766 or current law;</w:t>
      </w:r>
    </w:p>
    <w:p w14:paraId="48D660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intends to resume operation as a PACE provider in the same geographic service location;</w:t>
      </w:r>
    </w:p>
    <w:p w14:paraId="633A48C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includes an attestation that:</w:t>
      </w:r>
    </w:p>
    <w:p w14:paraId="4E0731C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emergency or disaster is the sole causal factor in the interruption of service provision;</w:t>
      </w:r>
    </w:p>
    <w:p w14:paraId="050E0C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has properly discharged or transferred all participants to another PACE provider; and</w:t>
      </w:r>
    </w:p>
    <w:p w14:paraId="06FD40E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has provided a list of each participant and where that participant has been discharged or transferred to;</w:t>
      </w:r>
    </w:p>
    <w:p w14:paraId="3CAF8D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resume operating as a PACE provider in the same geographic service location within one year of the issuance of an executive order or proclamation of emergency or disaster in accordance with R.S. 29:724 or current law, or R.S. 29:766 or current law;</w:t>
      </w:r>
    </w:p>
    <w:p w14:paraId="35DCC7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continue to submit to the department:</w:t>
      </w:r>
    </w:p>
    <w:p w14:paraId="71E6018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fees and costs due and owed to the department including, but not limited to:</w:t>
      </w:r>
    </w:p>
    <w:p w14:paraId="1FD5A0A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annual licensing fees; and</w:t>
      </w:r>
    </w:p>
    <w:p w14:paraId="61806C2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br w:type="page"/>
      </w:r>
    </w:p>
    <w:p w14:paraId="16C1CCF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ii.</w:t>
      </w:r>
      <w:r w:rsidRPr="006E50FF">
        <w:rPr>
          <w:kern w:val="2"/>
        </w:rPr>
        <w:tab/>
        <w:t>outstanding civil monetary penalties;</w:t>
      </w:r>
    </w:p>
    <w:p w14:paraId="23E0ED6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all required annual licensing documentation and information.</w:t>
      </w:r>
    </w:p>
    <w:p w14:paraId="07017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receiving a completed written request to inactivate a PACE provider license, the department shall issue a notice of inactivation of license to the PACE provider.</w:t>
      </w:r>
    </w:p>
    <w:p w14:paraId="5F1848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Upon completion of repairs, renovations, rebuilding, or replacement, a PACE provider that has received notice of inactivation of its license from the department shall be allowed to reinstate its license upon the following conditions being met.</w:t>
      </w:r>
    </w:p>
    <w:p w14:paraId="41976A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w:t>
      </w:r>
    </w:p>
    <w:p w14:paraId="68E1831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submit a written license reinstatement request to the licensing agency of the department;</w:t>
      </w:r>
    </w:p>
    <w:p w14:paraId="2E6FE25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license reinstatement request shall:</w:t>
      </w:r>
    </w:p>
    <w:p w14:paraId="154A6E7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be submitted at least 60 days prior to the anticipated date of reopening;</w:t>
      </w:r>
    </w:p>
    <w:p w14:paraId="637D46D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inform the department of the anticipated date of opening;</w:t>
      </w:r>
    </w:p>
    <w:p w14:paraId="58137DF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include a completed licensing application with appropriate non-refundable fees; and</w:t>
      </w:r>
    </w:p>
    <w:p w14:paraId="7ED57BF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request scheduling of a licensing survey.</w:t>
      </w:r>
    </w:p>
    <w:p w14:paraId="5F00EA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provider resumes operating as a PACE provider in the same geographic service location within one year.</w:t>
      </w:r>
    </w:p>
    <w:p w14:paraId="4139A6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Upon receiving a completed written request to reinstate a PACE provider license, the department shall conduct an onsite licensing survey. If the PACE provider meets the requirements for licensure and the requirements under this Section, the department shall issue a notice of reinstatement of the PACE provider license.</w:t>
      </w:r>
    </w:p>
    <w:p w14:paraId="5BA721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licensed capacity of the reinstated license shall not exceed the licensed capacity of the PACE provider at the time of the request to inactivate the license.</w:t>
      </w:r>
    </w:p>
    <w:p w14:paraId="35BEBE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 CHOW in the PACE provider shall occur until such PACE provider has:</w:t>
      </w:r>
    </w:p>
    <w:p w14:paraId="7199F3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completed repairs, renovations, rebuilding, or replacement construction; and </w:t>
      </w:r>
    </w:p>
    <w:p w14:paraId="3A0EA1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resumed operations as a PACE provider.</w:t>
      </w:r>
    </w:p>
    <w:p w14:paraId="5E5B57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provisions of this Section shall not apply to a PACE provider that has voluntarily surrendered its license and ceased operation.</w:t>
      </w:r>
    </w:p>
    <w:p w14:paraId="714659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Failure to comply with any of the provisions of this Section shall be deemed a voluntary surrender of:</w:t>
      </w:r>
    </w:p>
    <w:p w14:paraId="32E487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PACE provider license; and </w:t>
      </w:r>
    </w:p>
    <w:p w14:paraId="04389B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applicable facility need review approval for licensure.</w:t>
      </w:r>
    </w:p>
    <w:p w14:paraId="0AA50F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943C2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79AFE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§4331.</w:t>
      </w:r>
      <w:r w:rsidRPr="006E50FF">
        <w:rPr>
          <w:b/>
          <w:kern w:val="2"/>
        </w:rPr>
        <w:tab/>
        <w:t>Inactivation of License due to a Non-Declared Disaster or Emergency</w:t>
      </w:r>
    </w:p>
    <w:p w14:paraId="502D07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licensed PACE provider in an area(s) that has been affected by a non-declared emergency or disaster may seek to inactivate its license. The following conditions shall be met. The licensed PACE provider shall:</w:t>
      </w:r>
    </w:p>
    <w:p w14:paraId="6A76AF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submit written notification to HSS within 30 calendar days of the date of the non-declared emergency or disaster stating that the licensed PACE provider:</w:t>
      </w:r>
    </w:p>
    <w:p w14:paraId="664394F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has experienced an interruption in the provisions of services because of events that are due to a non-declared emergency or disaster;</w:t>
      </w:r>
    </w:p>
    <w:p w14:paraId="49B63F0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intends to resume operation as a PACE provider in the same geographic service location;</w:t>
      </w:r>
    </w:p>
    <w:p w14:paraId="6F9D39C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attests that the non-declared emergency or disaster is the sole causal factor in the interruption of the provision of services; and</w:t>
      </w:r>
    </w:p>
    <w:p w14:paraId="7DBE444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initial request to inactivate does not exceed one year for the completion of:</w:t>
      </w:r>
    </w:p>
    <w:p w14:paraId="074E78F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repairs;</w:t>
      </w:r>
    </w:p>
    <w:p w14:paraId="68836A7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renovations;</w:t>
      </w:r>
    </w:p>
    <w:p w14:paraId="1498C6D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 xml:space="preserve">iii. rebuilding; or </w:t>
      </w:r>
    </w:p>
    <w:p w14:paraId="44116EB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replacement of the PACE center;</w:t>
      </w:r>
    </w:p>
    <w:p w14:paraId="6BD03971" w14:textId="77777777" w:rsidR="006E50FF" w:rsidRPr="006E50FF" w:rsidRDefault="006E50FF" w:rsidP="006E50FF">
      <w:pPr>
        <w:tabs>
          <w:tab w:val="left" w:pos="1080"/>
        </w:tabs>
        <w:ind w:left="432" w:right="432"/>
        <w:jc w:val="both"/>
        <w:rPr>
          <w:noProof/>
          <w:sz w:val="16"/>
          <w:szCs w:val="16"/>
        </w:rPr>
      </w:pPr>
      <w:r w:rsidRPr="006E50FF">
        <w:rPr>
          <w:noProof/>
          <w:sz w:val="16"/>
          <w:szCs w:val="16"/>
        </w:rPr>
        <w:t>NOTE:</w:t>
      </w:r>
      <w:r w:rsidRPr="006E50FF">
        <w:rPr>
          <w:noProof/>
          <w:sz w:val="16"/>
          <w:szCs w:val="16"/>
        </w:rPr>
        <w:tab/>
        <w:t>Pursuant to these provisions, an extension of the 30-calendar day deadline for initiation of request may be granted at the discretion of the department.</w:t>
      </w:r>
    </w:p>
    <w:p w14:paraId="2E3886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continue to pay all fees and costs due and owed to the department including, but not limited to:</w:t>
      </w:r>
    </w:p>
    <w:p w14:paraId="498457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annual licensing fees; and </w:t>
      </w:r>
    </w:p>
    <w:p w14:paraId="750DEC8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outstanding civil monetary penalties, and/or civil fines; and</w:t>
      </w:r>
    </w:p>
    <w:p w14:paraId="323751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continue to submit all required annual licensing documentation and information to the department.</w:t>
      </w:r>
    </w:p>
    <w:p w14:paraId="0F445B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receiving a completed written request to temporarily inactivate a PACE provider’s license, the department shall issue a notice of inactivation of license to the PACE provider.</w:t>
      </w:r>
    </w:p>
    <w:p w14:paraId="4C74ED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Upon the PACE provider’s receipt of the department’s approval of request to inactivate the PACE provider’s license, the PACE provider shall have 90 calendar days to submit plans for the repairs, renovations, rebuilding, or replacement of the PACE center, if applicable, to OSFM and OPH as required.</w:t>
      </w:r>
    </w:p>
    <w:p w14:paraId="3CD551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licensed PACE provider shall resume operating as a PACE provider in the same geographic service location within one year of the approval of renovation/construction plans by OSFM and OPH as required.</w:t>
      </w:r>
    </w:p>
    <w:p w14:paraId="5EA894DA" w14:textId="77777777" w:rsidR="006E50FF" w:rsidRPr="006E50FF" w:rsidRDefault="006E50FF" w:rsidP="006E50FF">
      <w:pPr>
        <w:ind w:left="432" w:right="432"/>
        <w:jc w:val="both"/>
        <w:rPr>
          <w:noProof/>
          <w:sz w:val="16"/>
          <w:szCs w:val="16"/>
        </w:rPr>
      </w:pPr>
      <w:r w:rsidRPr="006E50FF">
        <w:rPr>
          <w:noProof/>
          <w:sz w:val="16"/>
          <w:szCs w:val="16"/>
        </w:rPr>
        <w:t>EXCEPTION:</w:t>
      </w:r>
      <w:r w:rsidRPr="006E50FF">
        <w:rPr>
          <w:noProof/>
          <w:sz w:val="16"/>
          <w:szCs w:val="16"/>
        </w:rPr>
        <w:tab/>
        <w:t>If the PACE provider requires an extension of this timeframe due to circumstances beyond the PACE provider’s control, the department shall consider an extended time period to complete construction or repairs. Such written request for extension shall show the PACE provider’s active efforts to complete construction or repairs and the reasons for request for extension of PACE provider’s inactive license. Any approval for extension is at the sole discretion of the department.</w:t>
      </w:r>
    </w:p>
    <w:p w14:paraId="04635E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Upon completion of repairs, renovations, rebuilding, or replacement of the center, a PACE provider that has received notice of inactivation of its license from the department shall be allowed to reinstate its license upon the following conditions being met:</w:t>
      </w:r>
    </w:p>
    <w:p w14:paraId="732BCA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submit a written license reinstatement request to the licensing agency of the department;</w:t>
      </w:r>
    </w:p>
    <w:p w14:paraId="7215D6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license reinstatement request shall:</w:t>
      </w:r>
    </w:p>
    <w:p w14:paraId="4AD94AD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inform the department of the anticipated date of opening; </w:t>
      </w:r>
    </w:p>
    <w:p w14:paraId="0D19098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request scheduling of a licensing or physical environment survey, where applicable; and</w:t>
      </w:r>
    </w:p>
    <w:p w14:paraId="148F375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include a completed licensing application with the required non-refundable licensing fees.</w:t>
      </w:r>
    </w:p>
    <w:p w14:paraId="554AE0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Upon receiving a completed written request to reinstate a PACE provider license, the department may conduct an onsite survey. The survey may be an onsite licensing or physical environment survey. The department may issue a notice of reinstatement if the PACE provider has met the </w:t>
      </w:r>
      <w:r w:rsidRPr="006E50FF">
        <w:rPr>
          <w:kern w:val="2"/>
        </w:rPr>
        <w:lastRenderedPageBreak/>
        <w:t>requirements for licensure including the requirements of this Section.</w:t>
      </w:r>
    </w:p>
    <w:p w14:paraId="348F49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No CHOW in the PACE provider shall occur until such PACE provider:</w:t>
      </w:r>
    </w:p>
    <w:p w14:paraId="780C1F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has completed repairs, renovations, rebuilding, or replacement construction; and </w:t>
      </w:r>
    </w:p>
    <w:p w14:paraId="0422C9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has resumed operations as a PACE center.</w:t>
      </w:r>
    </w:p>
    <w:p w14:paraId="4589A78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provisions of this Section shall not apply to a PACE provider that has:</w:t>
      </w:r>
    </w:p>
    <w:p w14:paraId="4CEC27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voluntarily surrendered its license; and </w:t>
      </w:r>
    </w:p>
    <w:p w14:paraId="1AC1B9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ceased operation.</w:t>
      </w:r>
    </w:p>
    <w:p w14:paraId="14E9CB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Failure to comply with any of the provisions of this Section shall be deemed a voluntary surrender of the PACE provider license.</w:t>
      </w:r>
    </w:p>
    <w:p w14:paraId="6823DF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55" w:name="TOC_SubC53"/>
      <w:bookmarkStart w:id="656" w:name="_Toc314651755"/>
      <w:bookmarkStart w:id="657" w:name="_Toc317252099"/>
      <w:bookmarkStart w:id="658" w:name="_Toc409522580"/>
      <w:bookmarkStart w:id="659" w:name="_Toc152238560"/>
      <w:r w:rsidRPr="006E50FF">
        <w:rPr>
          <w:kern w:val="2"/>
          <w:sz w:val="18"/>
        </w:rPr>
        <w:t>AUTHORITY NOTE:</w:t>
      </w:r>
      <w:r w:rsidRPr="006E50FF">
        <w:rPr>
          <w:kern w:val="2"/>
          <w:sz w:val="18"/>
        </w:rPr>
        <w:tab/>
        <w:t>Promulgated in accordance with R.S. 36:254 and R.S. 40:2120.61 et seq.</w:t>
      </w:r>
    </w:p>
    <w:p w14:paraId="4345EC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C8F481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B.</w:t>
      </w:r>
      <w:bookmarkEnd w:id="655"/>
      <w:r w:rsidRPr="006E50FF">
        <w:rPr>
          <w:b/>
          <w:kern w:val="2"/>
        </w:rPr>
        <w:tab/>
      </w:r>
      <w:bookmarkStart w:id="660" w:name="TOCT_SubC53"/>
      <w:r w:rsidRPr="006E50FF">
        <w:rPr>
          <w:b/>
          <w:kern w:val="2"/>
        </w:rPr>
        <w:t>Administration and Organization</w:t>
      </w:r>
      <w:bookmarkEnd w:id="656"/>
      <w:bookmarkEnd w:id="657"/>
      <w:bookmarkEnd w:id="658"/>
      <w:bookmarkEnd w:id="659"/>
      <w:bookmarkEnd w:id="660"/>
    </w:p>
    <w:p w14:paraId="4FCC6B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61" w:name="_Toc314651756"/>
      <w:bookmarkStart w:id="662" w:name="_Toc317252100"/>
      <w:bookmarkStart w:id="663" w:name="_Toc409522581"/>
      <w:bookmarkStart w:id="664" w:name="_Toc152238561"/>
      <w:r w:rsidRPr="006E50FF">
        <w:rPr>
          <w:b/>
          <w:kern w:val="2"/>
        </w:rPr>
        <w:t>§4337.</w:t>
      </w:r>
      <w:r w:rsidRPr="006E50FF">
        <w:rPr>
          <w:b/>
          <w:kern w:val="2"/>
        </w:rPr>
        <w:tab/>
        <w:t>Governing Body</w:t>
      </w:r>
      <w:bookmarkEnd w:id="661"/>
      <w:bookmarkEnd w:id="662"/>
      <w:bookmarkEnd w:id="663"/>
      <w:bookmarkEnd w:id="664"/>
    </w:p>
    <w:p w14:paraId="70551B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have an identifiable governing body. The governing body shall be responsible for and have authority over the policies and activities of the center.</w:t>
      </w:r>
    </w:p>
    <w:p w14:paraId="0C1ECD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have documents identifying the following information regarding the governing body:</w:t>
      </w:r>
    </w:p>
    <w:p w14:paraId="14C8959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names and addresses of all members;</w:t>
      </w:r>
    </w:p>
    <w:p w14:paraId="6E1ED2C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terms of membership, if applicable;</w:t>
      </w:r>
    </w:p>
    <w:p w14:paraId="2F8A480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officers of the governing body, if applicable; and</w:t>
      </w:r>
    </w:p>
    <w:p w14:paraId="66FB40D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terms of office of all officers, if applicable.</w:t>
      </w:r>
    </w:p>
    <w:p w14:paraId="4FF346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When the governing body is composed of more than one-person, formal meetings shall be held at least twice a year.</w:t>
      </w:r>
    </w:p>
    <w:p w14:paraId="42DDF6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governing body shall have by-laws specifying frequency of meetings. The by-laws shall also specify quorum requirements.</w:t>
      </w:r>
    </w:p>
    <w:p w14:paraId="584B70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provider shall have written minutes of all formal meetings of the governing body.</w:t>
      </w:r>
    </w:p>
    <w:p w14:paraId="613455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PACE provider shall be operating under the control of an identifiable governing body (for example, a board of directors) or a designated person functioning as a governing body with full legal authority and responsibility. At least twice a year, the PACE provider shall have documentation of reviewing and meeting the requirements pursuant to §4337.B.</w:t>
      </w:r>
    </w:p>
    <w:p w14:paraId="2FD02D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Governing Body Responsibilities. The governing body of a PACE provider shall:</w:t>
      </w:r>
    </w:p>
    <w:p w14:paraId="605E07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ensure governance and overall operation of the PACE provider;</w:t>
      </w:r>
    </w:p>
    <w:p w14:paraId="125450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ensure the PACE provider’s continual compliance and conformity with all relevant federal, state, parish, and municipal laws and regulations. These shall include but not be limited to:</w:t>
      </w:r>
    </w:p>
    <w:p w14:paraId="47B1E12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preventing;</w:t>
      </w:r>
    </w:p>
    <w:p w14:paraId="0E185AF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responding to;</w:t>
      </w:r>
    </w:p>
    <w:p w14:paraId="57663A2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reporting; and </w:t>
      </w:r>
    </w:p>
    <w:p w14:paraId="07D1B92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mitigating instances of healthcare workplace violence;</w:t>
      </w:r>
    </w:p>
    <w:p w14:paraId="13B885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ensure the PACE provider is adequately funded and fiscally sound;</w:t>
      </w:r>
    </w:p>
    <w:p w14:paraId="28D8F2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review and approve the PACE provider’s annual budget;</w:t>
      </w:r>
    </w:p>
    <w:p w14:paraId="25D432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ensure that considering the nature of the program, the PACE provider is appropriately:</w:t>
      </w:r>
    </w:p>
    <w:p w14:paraId="589825D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housed;</w:t>
      </w:r>
    </w:p>
    <w:p w14:paraId="5FEFFD6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maintained;</w:t>
      </w:r>
    </w:p>
    <w:p w14:paraId="14D9F60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staffed; and </w:t>
      </w:r>
    </w:p>
    <w:p w14:paraId="08C0EDB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equipped;</w:t>
      </w:r>
    </w:p>
    <w:p w14:paraId="6C6C90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designate a person to act as the program director and delegate sufficient authority to this person to:</w:t>
      </w:r>
    </w:p>
    <w:p w14:paraId="1C0368B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manage the center; and </w:t>
      </w:r>
    </w:p>
    <w:p w14:paraId="49D52BD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ensure that all services provided are consistent with accepted standards of practice;</w:t>
      </w:r>
    </w:p>
    <w:p w14:paraId="11FFBE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annually evaluate the program director's performance;</w:t>
      </w:r>
    </w:p>
    <w:p w14:paraId="1B3C4E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have the authority to dismiss the program director;</w:t>
      </w:r>
    </w:p>
    <w:p w14:paraId="739003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formulate and review annually, in consultation with the program director, written policies concerning:</w:t>
      </w:r>
    </w:p>
    <w:p w14:paraId="76D3750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PACE provider’s:</w:t>
      </w:r>
    </w:p>
    <w:p w14:paraId="293D682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philosophy;</w:t>
      </w:r>
    </w:p>
    <w:p w14:paraId="33D0AB0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mission;</w:t>
      </w:r>
    </w:p>
    <w:p w14:paraId="673F159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goals;</w:t>
      </w:r>
    </w:p>
    <w:p w14:paraId="7A2C5C6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current services;</w:t>
      </w:r>
    </w:p>
    <w:p w14:paraId="12E2DD9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 xml:space="preserve">personnel practices; and </w:t>
      </w:r>
    </w:p>
    <w:p w14:paraId="245C175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 xml:space="preserve">fiscal management; and </w:t>
      </w:r>
    </w:p>
    <w:p w14:paraId="7BF7450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participant health and safety, including a comprehensive, systemic operational plan to ensure the participant's:</w:t>
      </w:r>
    </w:p>
    <w:p w14:paraId="581F3B9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health;</w:t>
      </w:r>
    </w:p>
    <w:p w14:paraId="413EC0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safety; and </w:t>
      </w:r>
    </w:p>
    <w:p w14:paraId="1F6970B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welfare.</w:t>
      </w:r>
    </w:p>
    <w:p w14:paraId="2B14EE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meet with designated representatives of the department whenever required to do so;</w:t>
      </w:r>
    </w:p>
    <w:p w14:paraId="5D05C1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inform OAAS prior to initiating any substantial changes in the center’s program or services;</w:t>
      </w:r>
    </w:p>
    <w:p w14:paraId="40D1D68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inform OAAS and the department’s HSS prior to initiating any substantial change in the physical plant;</w:t>
      </w:r>
    </w:p>
    <w:p w14:paraId="4D2110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ensure statewide criminal background checks on all non-licensed and contracted persons providing direct care and services to participants in accordance with R.S. 40:1203.1 et seq., or current law, or other applicable law upon hire; and</w:t>
      </w:r>
    </w:p>
    <w:p w14:paraId="0888B54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ensure that the provider does not hire or enter into a contractual agreement with non-licensed persons that have a conviction that bars employment in accordance with R.S. 40:1203.1 et seq., or current law, or other applicable state law;</w:t>
      </w:r>
    </w:p>
    <w:p w14:paraId="7FA034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provider shall maintain documentation on the final disposition of all charges that bars employment pursuant to applicable state law.</w:t>
      </w:r>
    </w:p>
    <w:p w14:paraId="400F95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65" w:name="_Toc314651757"/>
      <w:bookmarkStart w:id="666" w:name="_Toc317252101"/>
      <w:bookmarkStart w:id="667" w:name="_Toc409522582"/>
      <w:bookmarkStart w:id="668" w:name="_Toc152238562"/>
      <w:r w:rsidRPr="006E50FF">
        <w:rPr>
          <w:kern w:val="2"/>
          <w:sz w:val="18"/>
        </w:rPr>
        <w:t>AUTHORITY NOTE:</w:t>
      </w:r>
      <w:r w:rsidRPr="006E50FF">
        <w:rPr>
          <w:kern w:val="2"/>
          <w:sz w:val="18"/>
        </w:rPr>
        <w:tab/>
        <w:t>Promulgated in accordance with R.S. 36:254 and R.S. 40:2120.61 et seq.</w:t>
      </w:r>
    </w:p>
    <w:p w14:paraId="30F84B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0696E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§4339.</w:t>
      </w:r>
      <w:r w:rsidRPr="006E50FF">
        <w:rPr>
          <w:b/>
          <w:kern w:val="2"/>
        </w:rPr>
        <w:tab/>
        <w:t>Quality Improvement</w:t>
      </w:r>
    </w:p>
    <w:p w14:paraId="27B9F9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develop, implement, maintain, and evaluate an effective, data-driven quality improvement program (QIP). The QIP shall meet the requirements of the PACE program agreement.</w:t>
      </w:r>
    </w:p>
    <w:p w14:paraId="249C3F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QIP shall reflect the full range of services furnished by the PACE provider.</w:t>
      </w:r>
    </w:p>
    <w:p w14:paraId="192AD8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PACE provider shall take actions that result in improvements in its performance in all types of care.</w:t>
      </w:r>
    </w:p>
    <w:p w14:paraId="1BC12C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PACE provider shall meet external quality assessment and reporting requirements, as specified by CMS or LDH. The requirements shall be in accordance with the PACE program agreement requirements.</w:t>
      </w:r>
    </w:p>
    <w:p w14:paraId="5CC792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A PACE provider shall have a written QIP that is collaborative and interdisciplinary in nature. The QIP shall meet the PACE program agreement requirements.</w:t>
      </w:r>
    </w:p>
    <w:p w14:paraId="6F5503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governing body shall review the QIP annually and revise it, if necessary.</w:t>
      </w:r>
    </w:p>
    <w:p w14:paraId="2B7316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92927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AECD1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§4341.</w:t>
      </w:r>
      <w:r w:rsidRPr="006E50FF">
        <w:rPr>
          <w:b/>
          <w:kern w:val="2"/>
        </w:rPr>
        <w:tab/>
        <w:t>Policy and Procedures</w:t>
      </w:r>
      <w:bookmarkEnd w:id="665"/>
      <w:bookmarkEnd w:id="666"/>
      <w:bookmarkEnd w:id="667"/>
      <w:bookmarkEnd w:id="668"/>
    </w:p>
    <w:p w14:paraId="2A3CCC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written policies and procedures approved by the governing body. Written policies and procedures shall at a minimum address the following:</w:t>
      </w:r>
    </w:p>
    <w:p w14:paraId="7989BE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safeguarding all data, documents, and records against:</w:t>
      </w:r>
    </w:p>
    <w:p w14:paraId="345B08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loss;</w:t>
      </w:r>
    </w:p>
    <w:p w14:paraId="2372684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destruction;</w:t>
      </w:r>
    </w:p>
    <w:p w14:paraId="77165EA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unauthorized use and access; or</w:t>
      </w:r>
    </w:p>
    <w:p w14:paraId="3039183D"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inappropriate alteration;</w:t>
      </w:r>
    </w:p>
    <w:p w14:paraId="196396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confidentiality of health information;</w:t>
      </w:r>
    </w:p>
    <w:p w14:paraId="1C8726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retention of records;</w:t>
      </w:r>
    </w:p>
    <w:p w14:paraId="07DD11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participant’s rights;</w:t>
      </w:r>
    </w:p>
    <w:p w14:paraId="46EAF3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grievance procedures;</w:t>
      </w:r>
    </w:p>
    <w:p w14:paraId="3E9130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emergency preparedness;</w:t>
      </w:r>
    </w:p>
    <w:p w14:paraId="62F4A2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abuse and neglect;</w:t>
      </w:r>
    </w:p>
    <w:p w14:paraId="5E118C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incidents and accidents;</w:t>
      </w:r>
    </w:p>
    <w:p w14:paraId="6251B4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medication administration;</w:t>
      </w:r>
    </w:p>
    <w:p w14:paraId="7373A0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smoking;</w:t>
      </w:r>
    </w:p>
    <w:p w14:paraId="35D389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infection control, including at least the standard precautions developed by the Centers for Disease Control and Prevention (CDC);</w:t>
      </w:r>
    </w:p>
    <w:p w14:paraId="0F3F86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statewide criminal history background checks;</w:t>
      </w:r>
    </w:p>
    <w:p w14:paraId="131332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checks of the Louisiana certified nurse aide registry (LCNAR), the Louisiana adverse actions list (LAAL), and the Office of Inspector General’s (OIG) List of Excluded Individuals/Entities (LEIE), These checks shall be conducted upon hire and monthly thereafter. These checks are necessary to determine if there is a finding that a prospective hire or currently employed or contracted non-licensed person has been determined to have committed. A finding includes exploitation, extortion, abuse, or neglect of an individual in the care of the non-licensed person, or if there has been misappropriation of the individual’s property or funds. If there is such a finding on the LCNAR, the LAAL, or the OIG LEIE, the prospective non-licensed person shall not be hired as a certified nurse aide (CNA) or direct service worker (DSW), nor shall a current or contracted employee have continued employment as a CNA or DSW with the PACE provider;</w:t>
      </w:r>
    </w:p>
    <w:p w14:paraId="6287E4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the process for participants to file a grievance with the center and/or register a complaint with the department.</w:t>
      </w:r>
    </w:p>
    <w:p w14:paraId="12479EB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LDH toll-free telephone number for registering complaints shall be posted visibly in public areas of the PACE center;</w:t>
      </w:r>
    </w:p>
    <w:p w14:paraId="60A03B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the reporting of abuse, neglect, extortion, or exploitation of participants pursuant to the provisions of R.S. 15:1504-1505, R.S. 40:2009.20, and any subsequently enacted laws. Providers shall ensure that staff comply with these regulations;</w:t>
      </w:r>
    </w:p>
    <w:p w14:paraId="7E1C59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any other area required in accordance with memorandums issued by the department’s HSS, OAAS, and CMS.</w:t>
      </w:r>
    </w:p>
    <w:p w14:paraId="20B447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have personnel policies approved by the governing body that include:</w:t>
      </w:r>
    </w:p>
    <w:p w14:paraId="3F2F78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orientation for each employee and all contracted persons that includes, at a minimum:</w:t>
      </w:r>
    </w:p>
    <w:p w14:paraId="1B2790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provider’s mission, philosophy, policies on participant’s rights, emergency plan, ethics, the PACE benefit; and</w:t>
      </w:r>
    </w:p>
    <w:p w14:paraId="57E10B8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policies related to job duties of specific staff;</w:t>
      </w:r>
    </w:p>
    <w:p w14:paraId="6F83E4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written job descriptions for each employee and all contracted staff;</w:t>
      </w:r>
    </w:p>
    <w:p w14:paraId="31D489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risk assessment in accordance with 42 CFR Part 460;</w:t>
      </w:r>
    </w:p>
    <w:p w14:paraId="419E87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abuse and neglect reporting procedures that require all employees to report any incidents of abuse or neglect in accordance with state law, whether the abuse or mistreatment is committed by:</w:t>
      </w:r>
    </w:p>
    <w:p w14:paraId="79AF7DB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another staff member;</w:t>
      </w:r>
    </w:p>
    <w:p w14:paraId="5C76FC0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 family member; or </w:t>
      </w:r>
    </w:p>
    <w:p w14:paraId="5BB02A1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any other person;</w:t>
      </w:r>
    </w:p>
    <w:p w14:paraId="104C2E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that all persons, either contracted or directly employed, receive training relative to the restrictive use of social media and include, at a minimum:</w:t>
      </w:r>
    </w:p>
    <w:p w14:paraId="5593F1B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ensuring confidentiality of participant information; and </w:t>
      </w:r>
    </w:p>
    <w:p w14:paraId="27AD38B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preservation of participant dignity and respect, including protection of participant privacy and personal and property rights; and</w:t>
      </w:r>
    </w:p>
    <w:p w14:paraId="3B64F3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discrimination.</w:t>
      </w:r>
    </w:p>
    <w:p w14:paraId="2ADDA8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Policies and procedures shall be revised as needed. Policies and procedures shall be reviewed by the PACE provider’s key personnel at least annually.</w:t>
      </w:r>
    </w:p>
    <w:p w14:paraId="148F4E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8C514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BBF6C5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§4343.</w:t>
      </w:r>
      <w:r w:rsidRPr="006E50FF">
        <w:rPr>
          <w:b/>
          <w:kern w:val="2"/>
        </w:rPr>
        <w:tab/>
        <w:t>Administrative Records</w:t>
      </w:r>
    </w:p>
    <w:p w14:paraId="19ABDC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administrative records that include:</w:t>
      </w:r>
    </w:p>
    <w:p w14:paraId="712CBE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documents identifying the governing body including:</w:t>
      </w:r>
    </w:p>
    <w:p w14:paraId="5C855F7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list of the officers and members of the governing body;</w:t>
      </w:r>
    </w:p>
    <w:p w14:paraId="03ABE2F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officers and members’ contact information, including but not limited to:</w:t>
      </w:r>
    </w:p>
    <w:p w14:paraId="742E36C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physical address;</w:t>
      </w:r>
    </w:p>
    <w:p w14:paraId="2BF85A7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email address;</w:t>
      </w:r>
    </w:p>
    <w:p w14:paraId="71B36F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 xml:space="preserve">telephone number; and </w:t>
      </w:r>
    </w:p>
    <w:p w14:paraId="0BD8E79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terms of the governing body’s membership, if applicable;</w:t>
      </w:r>
    </w:p>
    <w:p w14:paraId="1B39F4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by-laws of the governing body and minutes of formal meetings, if applicable;</w:t>
      </w:r>
    </w:p>
    <w:p w14:paraId="196039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documentation of the PACE provider's authority to operate under state law;</w:t>
      </w:r>
    </w:p>
    <w:p w14:paraId="1B7B5F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 organizational chart for the PACE provider;</w:t>
      </w:r>
    </w:p>
    <w:p w14:paraId="6709CA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all leases, contracts, and purchase-of-service agreements to which the PACE provider is a party;</w:t>
      </w:r>
    </w:p>
    <w:p w14:paraId="7D9CC1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insurance policies;</w:t>
      </w:r>
    </w:p>
    <w:p w14:paraId="01BB70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annual budgets and audit reports; and</w:t>
      </w:r>
    </w:p>
    <w:p w14:paraId="0EDDBC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master list of all contracted programs and services used by the PACE provider.</w:t>
      </w:r>
    </w:p>
    <w:p w14:paraId="6BA350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34DF3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0788E7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§4345.</w:t>
      </w:r>
      <w:r w:rsidRPr="006E50FF">
        <w:rPr>
          <w:b/>
          <w:kern w:val="2"/>
        </w:rPr>
        <w:tab/>
        <w:t>Participant Medical Records</w:t>
      </w:r>
    </w:p>
    <w:p w14:paraId="7BFE9D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Maintenance of participant medical records.</w:t>
      </w:r>
    </w:p>
    <w:p w14:paraId="71F7FC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shall maintain a single, comprehensive medical record for each participant. The medical record shall be in accordance with accepted professional standards.</w:t>
      </w:r>
    </w:p>
    <w:p w14:paraId="518ED0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medical record for each participant shall meet the following requirements:</w:t>
      </w:r>
    </w:p>
    <w:p w14:paraId="6EE954D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 complete;</w:t>
      </w:r>
    </w:p>
    <w:p w14:paraId="0868B8F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accurately documented;</w:t>
      </w:r>
    </w:p>
    <w:p w14:paraId="348B9A5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be readily accessible;</w:t>
      </w:r>
    </w:p>
    <w:p w14:paraId="6AACDC8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be systematically organized;</w:t>
      </w:r>
    </w:p>
    <w:p w14:paraId="04965BCE"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be available to all staff, as appropriate; and</w:t>
      </w:r>
    </w:p>
    <w:p w14:paraId="174C98F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be maintained and housed at the PACE center where the participant receives services.</w:t>
      </w:r>
    </w:p>
    <w:p w14:paraId="70963A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 a minimum, the medical record shall contain the following:</w:t>
      </w:r>
    </w:p>
    <w:p w14:paraId="4E3F5A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appropriate identifying information;</w:t>
      </w:r>
    </w:p>
    <w:p w14:paraId="6F8C1BC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documentation of all services furnished, including the following:</w:t>
      </w:r>
    </w:p>
    <w:p w14:paraId="6D138EC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summary of emergency care and other inpatient or long-term care services; and</w:t>
      </w:r>
    </w:p>
    <w:p w14:paraId="2259DD6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services furnished by employees and/or contractors of the PACE center;</w:t>
      </w:r>
    </w:p>
    <w:p w14:paraId="6C8ED8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interdisciplinary team assessments, reassessments, plans of care, treatment, and progress notes that include the participant's response to treatment;</w:t>
      </w:r>
    </w:p>
    <w:p w14:paraId="3F0680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all recommendations for services made by employees or contractors of the PACE provider, including specialists;</w:t>
      </w:r>
    </w:p>
    <w:p w14:paraId="778BA4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documentation that a service recommended by an employee or contractor of the PACE provider, including a specialist, is not approved or provided. Documentation shall include the reason(s) for not approving or providing that service;</w:t>
      </w:r>
    </w:p>
    <w:p w14:paraId="43302E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original documentation, or an unaltered electronic copy, of any written communication as described in 42 CFR 460.200(d)(2), unless the following requirements are met:</w:t>
      </w:r>
    </w:p>
    <w:p w14:paraId="2A8657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medical record contains a thorough and accurate summary of all relevant communication;</w:t>
      </w:r>
    </w:p>
    <w:p w14:paraId="7EE800A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original documentation of the communication is maintained outside of the medical record. Original documentation shall be accessible by employees and contractors of the PACE provider:</w:t>
      </w:r>
    </w:p>
    <w:p w14:paraId="256DF38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when necessary; and </w:t>
      </w:r>
    </w:p>
    <w:p w14:paraId="0624CC2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 accordance with 42 CFR 460.200(e); and</w:t>
      </w:r>
    </w:p>
    <w:p w14:paraId="4CB7BD0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original documentation of the communication is available to CMS and the department upon request;</w:t>
      </w:r>
    </w:p>
    <w:p w14:paraId="3FDC2B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laboratory, radiological, and other test reports;</w:t>
      </w:r>
    </w:p>
    <w:p w14:paraId="7C7EE6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medication records;</w:t>
      </w:r>
    </w:p>
    <w:p w14:paraId="2B677E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hospital discharge summaries, if applicable;</w:t>
      </w:r>
    </w:p>
    <w:p w14:paraId="3C7E7F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reports of contact with informal support (for example, caregiver, legal guardian, or next of kin);</w:t>
      </w:r>
    </w:p>
    <w:p w14:paraId="5BE0E8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enrollment agreement;</w:t>
      </w:r>
    </w:p>
    <w:p w14:paraId="5E46BD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primary care provider orders;</w:t>
      </w:r>
    </w:p>
    <w:p w14:paraId="5AE63A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discharge summary and disenrollment justification, if applicable;</w:t>
      </w:r>
    </w:p>
    <w:p w14:paraId="4D6EB9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advance directives, if applicable; and</w:t>
      </w:r>
    </w:p>
    <w:p w14:paraId="2BD196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a signed release permitting disclosure of personal information.</w:t>
      </w:r>
    </w:p>
    <w:p w14:paraId="228CD6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promptly transfer copies of appropriate sections of the medical record between treatment facilities.</w:t>
      </w:r>
    </w:p>
    <w:p w14:paraId="100B5D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Authentication of medical records</w:t>
      </w:r>
    </w:p>
    <w:p w14:paraId="1F1891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entries shall be:</w:t>
      </w:r>
    </w:p>
    <w:p w14:paraId="0C92B3E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legible;</w:t>
      </w:r>
    </w:p>
    <w:p w14:paraId="730CFEB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clear;</w:t>
      </w:r>
    </w:p>
    <w:p w14:paraId="54954D4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complete; and </w:t>
      </w:r>
    </w:p>
    <w:p w14:paraId="7EC1CA9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appropriately authenticated and dated.</w:t>
      </w:r>
    </w:p>
    <w:p w14:paraId="6B861F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Authentication shall include signatures or a secured computer entry by a unique identifier of the primary author who has reviewed and approved the entry.</w:t>
      </w:r>
    </w:p>
    <w:p w14:paraId="137197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7C48B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A16736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§4347.</w:t>
      </w:r>
      <w:r w:rsidRPr="006E50FF">
        <w:rPr>
          <w:b/>
          <w:kern w:val="2"/>
        </w:rPr>
        <w:tab/>
        <w:t>Retention of Records</w:t>
      </w:r>
    </w:p>
    <w:p w14:paraId="6A55BA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retain records for the longest of the following periods:</w:t>
      </w:r>
    </w:p>
    <w:p w14:paraId="75D0DA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period of time specified in state law;</w:t>
      </w:r>
    </w:p>
    <w:p w14:paraId="68565C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10 years from the last entry date; or</w:t>
      </w:r>
    </w:p>
    <w:p w14:paraId="5424D3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for medical records of disenrolled participants, 10 years after the date of disenrollment.</w:t>
      </w:r>
    </w:p>
    <w:p w14:paraId="23DD881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4BB55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1CF5D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§4349.</w:t>
      </w:r>
      <w:r w:rsidRPr="006E50FF">
        <w:rPr>
          <w:b/>
          <w:kern w:val="2"/>
        </w:rPr>
        <w:tab/>
        <w:t>Confidentiality and Security of Records</w:t>
      </w:r>
    </w:p>
    <w:p w14:paraId="2B39EA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do the following:</w:t>
      </w:r>
    </w:p>
    <w:p w14:paraId="67EAA5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establish written policies and implement procedures to safeguard all data, documents, and records against:</w:t>
      </w:r>
    </w:p>
    <w:p w14:paraId="2FD5AA5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loss</w:t>
      </w:r>
    </w:p>
    <w:p w14:paraId="32F473C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destruction;</w:t>
      </w:r>
    </w:p>
    <w:p w14:paraId="670A0DD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unauthorized use; or</w:t>
      </w:r>
    </w:p>
    <w:p w14:paraId="07C15FE0"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inappropriate alteration;</w:t>
      </w:r>
    </w:p>
    <w:p w14:paraId="2087D0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maintain all written communications received in any format (for example, emails, faxes, letters, etc.) from participants or other parties in their original form when the communications relate to a participant's care, health, or safety. This includes but is not limited to the following:</w:t>
      </w:r>
    </w:p>
    <w:p w14:paraId="1552792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communications from the participant, his or her designated representative, a family member, a caregiver, or any other individual who provides information pertinent to a participant's:</w:t>
      </w:r>
    </w:p>
    <w:p w14:paraId="17FD909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health;</w:t>
      </w:r>
    </w:p>
    <w:p w14:paraId="75A029F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safety; or </w:t>
      </w:r>
    </w:p>
    <w:p w14:paraId="1C7715B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welfare; or</w:t>
      </w:r>
    </w:p>
    <w:p w14:paraId="1F89DD3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communications from an advocacy or governmental agency such as Adult Protective Services.</w:t>
      </w:r>
    </w:p>
    <w:p w14:paraId="06F91E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Confidentiality of Health Information</w:t>
      </w:r>
    </w:p>
    <w:p w14:paraId="1E0143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shall establish written policies and implement procedures to do the following:</w:t>
      </w:r>
    </w:p>
    <w:p w14:paraId="318409A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safeguard the privacy of any information that identifies a particular participant;</w:t>
      </w:r>
    </w:p>
    <w:p w14:paraId="31743FB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Information from or copies of records may be released only to authorized individuals.</w:t>
      </w:r>
    </w:p>
    <w:p w14:paraId="53BC16D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original medical records shall be released only in accordance with:</w:t>
      </w:r>
    </w:p>
    <w:p w14:paraId="71C5BA2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federal or state laws;</w:t>
      </w:r>
    </w:p>
    <w:p w14:paraId="498462C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court orders; or </w:t>
      </w:r>
    </w:p>
    <w:p w14:paraId="76CD839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subpoenas;</w:t>
      </w:r>
    </w:p>
    <w:p w14:paraId="453F27C1" w14:textId="77777777" w:rsidR="006E50FF" w:rsidRPr="006E50FF" w:rsidRDefault="006E50FF" w:rsidP="006E50FF">
      <w:pPr>
        <w:tabs>
          <w:tab w:val="left" w:pos="907"/>
        </w:tabs>
        <w:ind w:firstLine="547"/>
        <w:jc w:val="both"/>
        <w:outlineLvl w:val="5"/>
        <w:rPr>
          <w:kern w:val="2"/>
        </w:rPr>
      </w:pPr>
      <w:r w:rsidRPr="006E50FF">
        <w:rPr>
          <w:kern w:val="2"/>
        </w:rPr>
        <w:br w:type="page"/>
      </w:r>
    </w:p>
    <w:p w14:paraId="22E4EB8F" w14:textId="77777777" w:rsidR="006E50FF" w:rsidRPr="006E50FF" w:rsidRDefault="006E50FF" w:rsidP="006E50FF">
      <w:pPr>
        <w:tabs>
          <w:tab w:val="left" w:pos="907"/>
        </w:tabs>
        <w:ind w:firstLine="547"/>
        <w:jc w:val="both"/>
        <w:outlineLvl w:val="5"/>
        <w:rPr>
          <w:kern w:val="2"/>
        </w:rPr>
      </w:pPr>
      <w:r w:rsidRPr="006E50FF">
        <w:rPr>
          <w:kern w:val="2"/>
        </w:rPr>
        <w:lastRenderedPageBreak/>
        <w:t>b.</w:t>
      </w:r>
      <w:r w:rsidRPr="006E50FF">
        <w:rPr>
          <w:kern w:val="2"/>
        </w:rPr>
        <w:tab/>
        <w:t>maintain complete records and relevant information in an accurate and timely manner;</w:t>
      </w:r>
    </w:p>
    <w:p w14:paraId="432D9BA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grant each participant:</w:t>
      </w:r>
    </w:p>
    <w:p w14:paraId="47B8185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timely access, upon request, to review; and copy his or her own medical records; and </w:t>
      </w:r>
    </w:p>
    <w:p w14:paraId="7C8A01C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to request amendments to those records; and</w:t>
      </w:r>
    </w:p>
    <w:p w14:paraId="55729F5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abide by all federal and state laws regarding confidentiality and disclosure of:</w:t>
      </w:r>
    </w:p>
    <w:p w14:paraId="295765B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mental health records;</w:t>
      </w:r>
    </w:p>
    <w:p w14:paraId="18E5A4D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medical records; and </w:t>
      </w:r>
    </w:p>
    <w:p w14:paraId="3CF104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other participant health information.</w:t>
      </w:r>
    </w:p>
    <w:p w14:paraId="0553DC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D4430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C16F5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C.</w:t>
      </w:r>
      <w:r w:rsidRPr="006E50FF">
        <w:rPr>
          <w:b/>
          <w:kern w:val="2"/>
        </w:rPr>
        <w:tab/>
        <w:t>Participant Rights</w:t>
      </w:r>
    </w:p>
    <w:p w14:paraId="57D0641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§4353.</w:t>
      </w:r>
      <w:r w:rsidRPr="006E50FF">
        <w:rPr>
          <w:b/>
          <w:kern w:val="2"/>
        </w:rPr>
        <w:tab/>
        <w:t>Statement of Rights</w:t>
      </w:r>
    </w:p>
    <w:p w14:paraId="709C24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a written participant bill of rights (PBR). The PBR shall be designed to protect and promote the participants' rights. The PBR shall include at a minimum:</w:t>
      </w:r>
    </w:p>
    <w:p w14:paraId="3141E4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explanation of rights;</w:t>
      </w:r>
    </w:p>
    <w:p w14:paraId="47EAD0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protection of rights;</w:t>
      </w:r>
    </w:p>
    <w:p w14:paraId="163CEEE6"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3.</w:t>
      </w:r>
      <w:r w:rsidRPr="006E50FF">
        <w:rPr>
          <w:color w:val="000000"/>
          <w:kern w:val="2"/>
        </w:rPr>
        <w:tab/>
        <w:t>r</w:t>
      </w:r>
      <w:r w:rsidRPr="006E50FF">
        <w:rPr>
          <w:kern w:val="2"/>
        </w:rPr>
        <w:t>ight to treatment;</w:t>
      </w:r>
    </w:p>
    <w:p w14:paraId="3AA5B569"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4.</w:t>
      </w:r>
      <w:r w:rsidRPr="006E50FF">
        <w:rPr>
          <w:kern w:val="2"/>
        </w:rPr>
        <w:tab/>
        <w:t>respect and nondiscrimination;</w:t>
      </w:r>
    </w:p>
    <w:p w14:paraId="022D5E68"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5.</w:t>
      </w:r>
      <w:r w:rsidRPr="006E50FF">
        <w:rPr>
          <w:kern w:val="2"/>
        </w:rPr>
        <w:tab/>
        <w:t>information disclosure;</w:t>
      </w:r>
    </w:p>
    <w:p w14:paraId="218B666B"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6.</w:t>
      </w:r>
      <w:r w:rsidRPr="006E50FF">
        <w:rPr>
          <w:kern w:val="2"/>
        </w:rPr>
        <w:tab/>
        <w:t>choice of providers;</w:t>
      </w:r>
    </w:p>
    <w:p w14:paraId="7BE4D7E8"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7.</w:t>
      </w:r>
      <w:r w:rsidRPr="006E50FF">
        <w:rPr>
          <w:kern w:val="2"/>
        </w:rPr>
        <w:tab/>
        <w:t>participation in treatment decisions;</w:t>
      </w:r>
    </w:p>
    <w:p w14:paraId="153BE99A"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8.</w:t>
      </w:r>
      <w:r w:rsidRPr="006E50FF">
        <w:rPr>
          <w:kern w:val="2"/>
        </w:rPr>
        <w:tab/>
        <w:t>confidentiality of health information;</w:t>
      </w:r>
    </w:p>
    <w:p w14:paraId="367D7869"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9.</w:t>
      </w:r>
      <w:r w:rsidRPr="006E50FF">
        <w:rPr>
          <w:kern w:val="2"/>
        </w:rPr>
        <w:tab/>
        <w:t>complaints, requests, appeals; and</w:t>
      </w:r>
    </w:p>
    <w:p w14:paraId="068128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LDH HSS complaint telephone number.</w:t>
      </w:r>
    </w:p>
    <w:p w14:paraId="23F098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Each PACE participant shall be informed of his or her rights and responsibilities regarding the PACE provider. The regulations of the PACE provider and all rules governing participant conduct and behavior shall be fully explained to the participant. Before or upon enrollment, the PACE provider shall provide the participant with a copy of the PBR. A copy of the PBR shall be available in large print for those with vision impairments. A signed and dated written acknowledgment of the PBR shall be filed in each participant's record.</w:t>
      </w:r>
    </w:p>
    <w:p w14:paraId="600ADA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If the PACE provider changes its PBR policies, a signed and dated acknowledgment shall be filed in each participant's record.</w:t>
      </w:r>
    </w:p>
    <w:p w14:paraId="1B5FE1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Explanation of Rights</w:t>
      </w:r>
    </w:p>
    <w:p w14:paraId="486A76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Cs/>
          <w:kern w:val="2"/>
        </w:rPr>
        <w:t>Written Policies.</w:t>
      </w:r>
      <w:r w:rsidRPr="006E50FF">
        <w:rPr>
          <w:i/>
          <w:iCs/>
          <w:kern w:val="2"/>
        </w:rPr>
        <w:t xml:space="preserve"> </w:t>
      </w:r>
      <w:r w:rsidRPr="006E50FF">
        <w:rPr>
          <w:kern w:val="2"/>
        </w:rPr>
        <w:t>A PACE provider shall have written policies and implement procedures to ensure that the participant, his or her representative, if any, and staff understand these rights.</w:t>
      </w:r>
    </w:p>
    <w:p w14:paraId="373E77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r>
      <w:r w:rsidRPr="006E50FF">
        <w:rPr>
          <w:iCs/>
          <w:kern w:val="2"/>
        </w:rPr>
        <w:t>Explanation of Rights.</w:t>
      </w:r>
      <w:r w:rsidRPr="006E50FF">
        <w:rPr>
          <w:i/>
          <w:iCs/>
          <w:kern w:val="2"/>
        </w:rPr>
        <w:t xml:space="preserve"> </w:t>
      </w:r>
      <w:r w:rsidRPr="006E50FF">
        <w:rPr>
          <w:kern w:val="2"/>
        </w:rPr>
        <w:t>The PACE provider shall fully explain the rights to the participant and his or her representative, if any, at the time of enrollment. The explanation shall be understood by the participant.</w:t>
      </w:r>
    </w:p>
    <w:p w14:paraId="727B79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r>
      <w:r w:rsidRPr="006E50FF">
        <w:rPr>
          <w:iCs/>
          <w:kern w:val="2"/>
        </w:rPr>
        <w:t>Display</w:t>
      </w:r>
      <w:r w:rsidRPr="006E50FF">
        <w:rPr>
          <w:i/>
          <w:iCs/>
          <w:kern w:val="2"/>
        </w:rPr>
        <w:t xml:space="preserve">. </w:t>
      </w:r>
      <w:r w:rsidRPr="006E50FF">
        <w:rPr>
          <w:kern w:val="2"/>
        </w:rPr>
        <w:t>The PACE provider shall meet the following requirements:</w:t>
      </w:r>
    </w:p>
    <w:p w14:paraId="0602B40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write the participant rights in English, and in any other principal languages of the community, as determined by statute. In the absence of a state standard, the principal language of the community shall be any language that is spoken by at least five percent of the participants in the PACE provider's geographic service location; and</w:t>
      </w:r>
    </w:p>
    <w:p w14:paraId="30C0318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display the PACE participant rights visibly in a public area of the PACE center.</w:t>
      </w:r>
    </w:p>
    <w:p w14:paraId="5839C7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provider shall have a written policy on participant's civil rights. This policy shall give assurances that:</w:t>
      </w:r>
    </w:p>
    <w:p w14:paraId="3BB9FF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participant's civil rights are not changed or voided solely because of placement in the PACE provider’s program; and</w:t>
      </w:r>
    </w:p>
    <w:p w14:paraId="699007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participant is not denied enrollment, segregated into programs or otherwise subjected to discrimination based on:</w:t>
      </w:r>
    </w:p>
    <w:p w14:paraId="557E53B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race;</w:t>
      </w:r>
    </w:p>
    <w:p w14:paraId="6A5E3C6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ethnicity;</w:t>
      </w:r>
    </w:p>
    <w:p w14:paraId="3C3FA8E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national origin;</w:t>
      </w:r>
    </w:p>
    <w:p w14:paraId="713FD1A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religion;</w:t>
      </w:r>
    </w:p>
    <w:p w14:paraId="385AD9C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sex;</w:t>
      </w:r>
    </w:p>
    <w:p w14:paraId="106230C4"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age;</w:t>
      </w:r>
    </w:p>
    <w:p w14:paraId="21F597E3"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mental or physical disability;</w:t>
      </w:r>
    </w:p>
    <w:p w14:paraId="65D09A48"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 xml:space="preserve">sexual orientation; or </w:t>
      </w:r>
    </w:p>
    <w:p w14:paraId="0EBBAC8D"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source of payment.</w:t>
      </w:r>
    </w:p>
    <w:p w14:paraId="50D762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participant rights document shall include at least the following items:</w:t>
      </w:r>
    </w:p>
    <w:p w14:paraId="71E616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right to be informed in writing, of:</w:t>
      </w:r>
    </w:p>
    <w:p w14:paraId="22EDAE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services available through the PACE provider;</w:t>
      </w:r>
    </w:p>
    <w:p w14:paraId="1350970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charges for those services; and</w:t>
      </w:r>
    </w:p>
    <w:p w14:paraId="15BEA0C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PACE provider’s days and hours of operation;</w:t>
      </w:r>
    </w:p>
    <w:p w14:paraId="4D2B36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right to participate in each IDT staffing meeting and any other meeting involving the care of the participant;</w:t>
      </w:r>
    </w:p>
    <w:p w14:paraId="0DD7CE62"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3.</w:t>
      </w:r>
      <w:r w:rsidRPr="006E50FF">
        <w:rPr>
          <w:kern w:val="2"/>
        </w:rPr>
        <w:tab/>
        <w:t>the right to refuse any service provided at the PACE center;</w:t>
      </w:r>
    </w:p>
    <w:p w14:paraId="2B154A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right to present complaints or recommend changes regarding the PACE provider’s policies and services to staff or to outside representatives without fear of:</w:t>
      </w:r>
    </w:p>
    <w:p w14:paraId="6AD0A8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restraint;</w:t>
      </w:r>
    </w:p>
    <w:p w14:paraId="61D1446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interference;</w:t>
      </w:r>
    </w:p>
    <w:p w14:paraId="343B07B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coercion;</w:t>
      </w:r>
    </w:p>
    <w:p w14:paraId="57A352C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discrimination; or </w:t>
      </w:r>
    </w:p>
    <w:p w14:paraId="2FAB02E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reprisal;</w:t>
      </w:r>
    </w:p>
    <w:p w14:paraId="4E9ACE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right to be free from mental, physical, or verbal abuse;</w:t>
      </w:r>
    </w:p>
    <w:p w14:paraId="24013B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right to be free from coercion;</w:t>
      </w:r>
    </w:p>
    <w:p w14:paraId="5E5D42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right to be free from restraints, except when determined by the PACE provider’s IDT;</w:t>
      </w:r>
    </w:p>
    <w:p w14:paraId="3AC988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the right to privacy during the provision of personal needs services;</w:t>
      </w:r>
    </w:p>
    <w:p w14:paraId="609754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right to communicate, associate, and meet privately with individuals of his or her choice, unless this infringes on the rights of another participant; and</w:t>
      </w:r>
    </w:p>
    <w:p w14:paraId="288CC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right not to be required to perform services for the PACE provider, except when the performance of a specific service is identified in the CPSP as an appropriate approach to meeting the needs of the participant.</w:t>
      </w:r>
    </w:p>
    <w:p w14:paraId="3B4878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 friendly, supportive, comfortable, and safe atmosphere shall always be maintained. All participants shall be treated equitably with:</w:t>
      </w:r>
    </w:p>
    <w:p w14:paraId="66422A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respect;</w:t>
      </w:r>
    </w:p>
    <w:p w14:paraId="136EC0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kindness; and </w:t>
      </w:r>
    </w:p>
    <w:p w14:paraId="1ACC49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patience.</w:t>
      </w:r>
    </w:p>
    <w:p w14:paraId="2A2642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Each participant shall be encouraged and assisted in exercising his or her rights as:</w:t>
      </w:r>
    </w:p>
    <w:p w14:paraId="18CA90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participant at the PACE center; and </w:t>
      </w:r>
    </w:p>
    <w:p w14:paraId="2E262E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as a citizen.</w:t>
      </w:r>
    </w:p>
    <w:p w14:paraId="09C0DE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 xml:space="preserve">If the participant's rights have been transferred to the personal representative or next of kin, that party shall receive </w:t>
      </w:r>
      <w:r w:rsidRPr="006E50FF">
        <w:rPr>
          <w:kern w:val="2"/>
        </w:rPr>
        <w:lastRenderedPageBreak/>
        <w:t>the explanation of and sign the participant rights and any other documents described in these standards. Under the following conditions, the PACE provider shall ensure that participant rights are transferred to the personal representative or next of kin.</w:t>
      </w:r>
    </w:p>
    <w:p w14:paraId="47293A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participant has been interdicted in a court of law. In such cases, the PACE provider shall ensure that the participant's rights transfer to the curator or curatrix of record. The PACE provider shall obtain a legal judgment of interdiction verifying that the participant is currently interdicted.</w:t>
      </w:r>
    </w:p>
    <w:p w14:paraId="13C7572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interdiction shall be documented on the inside front cover of the participant's record.</w:t>
      </w:r>
    </w:p>
    <w:p w14:paraId="6167CCC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6271A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53FBD0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§4355.</w:t>
      </w:r>
      <w:r w:rsidRPr="006E50FF">
        <w:rPr>
          <w:b/>
          <w:kern w:val="2"/>
        </w:rPr>
        <w:tab/>
        <w:t>Grievances</w:t>
      </w:r>
    </w:p>
    <w:p w14:paraId="794376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a formal written process to promptly identify, document, investigate, and resolve all medical and non-medical grievances. The process shall be in accordance with the requirements in this part.</w:t>
      </w:r>
    </w:p>
    <w:p w14:paraId="2C205F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enrollment, and at least annually thereafter, the PACE provider shall give a participant written information on the grievance process. The information shall be in understandable language, including all the following:</w:t>
      </w:r>
    </w:p>
    <w:p w14:paraId="70FB53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that any of the following individuals have the right to voice grievances without discrimination or reprisal, and without fear of discrimination or reprisal:</w:t>
      </w:r>
    </w:p>
    <w:p w14:paraId="74B8F4C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participant;</w:t>
      </w:r>
    </w:p>
    <w:p w14:paraId="7693CE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participant’s family member;</w:t>
      </w:r>
    </w:p>
    <w:p w14:paraId="1F6A1FC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participant’s designated representative; or</w:t>
      </w:r>
    </w:p>
    <w:p w14:paraId="4552A8F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participant’s caregiver.</w:t>
      </w:r>
    </w:p>
    <w:p w14:paraId="0F287C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that the following methods may be utilized for submitting a grievance:</w:t>
      </w:r>
    </w:p>
    <w:p w14:paraId="1F35396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grievance may be filed with the PACE provider either orally or in writing.</w:t>
      </w:r>
    </w:p>
    <w:p w14:paraId="57E86E2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 may not require a written grievance to be submitted on a specific form.</w:t>
      </w:r>
    </w:p>
    <w:p w14:paraId="0AD59A9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grievance may be made to any employee or contractor of the PACE provider that provides care to a participant:</w:t>
      </w:r>
    </w:p>
    <w:p w14:paraId="3F97777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in the participant's residence;</w:t>
      </w:r>
    </w:p>
    <w:p w14:paraId="30CE819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 the PACE center; or</w:t>
      </w:r>
    </w:p>
    <w:p w14:paraId="7D4F7A7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while transporting participants.</w:t>
      </w:r>
    </w:p>
    <w:p w14:paraId="6D1B03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conduct a thorough investigation of all distinct issues within the grievance. This shall occur when the cause of the issue is not already known.</w:t>
      </w:r>
    </w:p>
    <w:p w14:paraId="405F23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do the following:</w:t>
      </w:r>
    </w:p>
    <w:p w14:paraId="1CDCC4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Take action to resolve the grievance based on the results of its investigation. Action shall be taken as quickly as the case requires. Action shall be no later than 30 calendar days after the date the PACE provider receives the oral or written grievance.</w:t>
      </w:r>
    </w:p>
    <w:p w14:paraId="5C7CD5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Notify the individual who submitted the grievance of the grievance resolution. Notification shall occur as quickly as the case requires. Notification shall be no later than three calendar days after the date the PACE provider resolves the grievance.</w:t>
      </w:r>
    </w:p>
    <w:p w14:paraId="3C24E6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provider shall inform the individual who submitted the grievance of the resolutions follows:</w:t>
      </w:r>
    </w:p>
    <w:p w14:paraId="6EB677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either orally or in writing, based on the individual's preference for notification;</w:t>
      </w:r>
    </w:p>
    <w:p w14:paraId="6918F1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a minimum, oral or written notification of grievance resolutions shall include the following, if applicable:</w:t>
      </w:r>
    </w:p>
    <w:p w14:paraId="7D02E3E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summary statement of the individual's grievance including all distinct issues;</w:t>
      </w:r>
    </w:p>
    <w:p w14:paraId="72ED049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summary of the pertinent findings or conclusions regarding the concerns for each distinct issue that requires investigation; and</w:t>
      </w:r>
    </w:p>
    <w:p w14:paraId="09D68E7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a grievance that requires corrective action, the corrective action(s) taken are to be taken by the PACE provider because of the grievance, and when the individual may expect corrective action(s) to occur;</w:t>
      </w:r>
    </w:p>
    <w:p w14:paraId="072360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grievances related to quality of care, regardless of how the grievance is filed, shall be responded to in writing;</w:t>
      </w:r>
    </w:p>
    <w:p w14:paraId="73411F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provider may withhold notification of the grievance resolution if:</w:t>
      </w:r>
    </w:p>
    <w:p w14:paraId="245E4F4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individual who submitted the grievance specifically requests not to receive the notification; and </w:t>
      </w:r>
    </w:p>
    <w:p w14:paraId="5113BAF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 has documented this request in writing. The PACE provider is still responsible for Paragraphs E.1.-3 of this Subsection.</w:t>
      </w:r>
    </w:p>
    <w:p w14:paraId="7CF993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continue to furnish all required services to the participant during the grievance process.</w:t>
      </w:r>
    </w:p>
    <w:p w14:paraId="0D9EED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develop and implement procedures to maintain the confidentiality of grievances. The procedures shall include protecting the identity of all individuals involved in grievances from other employees and contractors when appropriate.</w:t>
      </w:r>
    </w:p>
    <w:p w14:paraId="2512E0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PACE provider shall establish and implement a process to document, track, and maintain records related to all processing requirements for grievances. Grievances may be received both orally and in writing. These records, except for information deemed confidential as a part of Subsection G of this Section, shall be available to the IDT to ensure that all members remain alert to pertinent participant information.</w:t>
      </w:r>
    </w:p>
    <w:p w14:paraId="603B3F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C0009C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88345C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§4357.</w:t>
      </w:r>
      <w:r w:rsidRPr="006E50FF">
        <w:rPr>
          <w:b/>
          <w:kern w:val="2"/>
        </w:rPr>
        <w:tab/>
        <w:t>Restraints</w:t>
      </w:r>
    </w:p>
    <w:p w14:paraId="2F187E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limit use of restraints to the least restrictive and most effective method available. The term restraint includes either:</w:t>
      </w:r>
    </w:p>
    <w:p w14:paraId="59C4FE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physical restraint; or </w:t>
      </w:r>
    </w:p>
    <w:p w14:paraId="756901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chemical restraint.</w:t>
      </w:r>
    </w:p>
    <w:p w14:paraId="586CD4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IDT determines that a restraint is needed to ensure the participant's physical safety or the safety of others, the use shall meet the following conditions:</w:t>
      </w:r>
    </w:p>
    <w:p w14:paraId="622372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imposed for a defined, limited period of time, based upon the assessed needs of the participant;</w:t>
      </w:r>
    </w:p>
    <w:p w14:paraId="04EA93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imposed in accordance with safe and appropriate restraining techniques;</w:t>
      </w:r>
    </w:p>
    <w:p w14:paraId="3622A0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be imposed only when other less restrictive measures have been found to be ineffective to protect the participant or others from harm; </w:t>
      </w:r>
    </w:p>
    <w:p w14:paraId="69632F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be removed or ended at the earliest possible time; and</w:t>
      </w:r>
    </w:p>
    <w:p w14:paraId="1D158F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be imposed by qualified staff with documented training on the use of restraints in accordance with the PACE provider’s policies and procedures.</w:t>
      </w:r>
    </w:p>
    <w:p w14:paraId="5F1C52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The condition of the restrained participant shall be continually assessed, monitored, and reevaluated to ensure staff has continued competency in the use of restraints.</w:t>
      </w:r>
    </w:p>
    <w:p w14:paraId="5C9EDE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5D147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8A90E2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D.</w:t>
      </w:r>
      <w:r w:rsidRPr="006E50FF">
        <w:rPr>
          <w:b/>
          <w:kern w:val="2"/>
        </w:rPr>
        <w:tab/>
        <w:t>PACE Services</w:t>
      </w:r>
    </w:p>
    <w:p w14:paraId="68906B9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§4361.</w:t>
      </w:r>
      <w:r w:rsidRPr="006E50FF">
        <w:rPr>
          <w:b/>
          <w:kern w:val="2"/>
        </w:rPr>
        <w:tab/>
        <w:t>PACE Services Delivery</w:t>
      </w:r>
    </w:p>
    <w:p w14:paraId="077D85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Access to Services</w:t>
      </w:r>
    </w:p>
    <w:p w14:paraId="75850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At a minimum, a PACE provider shall provide care that meets the needs of each participant. The care shall be in all care settings and 24 hours a day. The care shall be every day of the year. The PACE provider shall establish and implement a written plan to ensure that care is appropriately furnished.</w:t>
      </w:r>
    </w:p>
    <w:p w14:paraId="0C5A69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PACE services shall only be provided in the approved geographic service location.</w:t>
      </w:r>
    </w:p>
    <w:p w14:paraId="039318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Provision of Services</w:t>
      </w:r>
    </w:p>
    <w:p w14:paraId="3D1D37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furnish comprehensive medical, health, and social services that integrate acute and long-term care.</w:t>
      </w:r>
    </w:p>
    <w:p w14:paraId="24D71B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PACE services shall be provided:</w:t>
      </w:r>
    </w:p>
    <w:p w14:paraId="6B55A59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 the PACE center;</w:t>
      </w:r>
    </w:p>
    <w:p w14:paraId="4FBE48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in the home; or </w:t>
      </w:r>
    </w:p>
    <w:p w14:paraId="51E99A7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 the community.</w:t>
      </w:r>
    </w:p>
    <w:p w14:paraId="09D729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PACE provider may not discriminate against any participant in the delivery of required PACE services based on:</w:t>
      </w:r>
    </w:p>
    <w:p w14:paraId="1E50F04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race;</w:t>
      </w:r>
    </w:p>
    <w:p w14:paraId="221E130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ethnicity;</w:t>
      </w:r>
    </w:p>
    <w:p w14:paraId="76CDDC5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national origin;</w:t>
      </w:r>
    </w:p>
    <w:p w14:paraId="528A26A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religion;</w:t>
      </w:r>
    </w:p>
    <w:p w14:paraId="18F8DD9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sex;</w:t>
      </w:r>
    </w:p>
    <w:p w14:paraId="1E5A6B7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age;</w:t>
      </w:r>
    </w:p>
    <w:p w14:paraId="0DD953C7"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mental or physical disability;</w:t>
      </w:r>
    </w:p>
    <w:p w14:paraId="656FBED3"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 xml:space="preserve">sexual orientation; or </w:t>
      </w:r>
    </w:p>
    <w:p w14:paraId="0AF89413"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source of payment.</w:t>
      </w:r>
    </w:p>
    <w:p w14:paraId="7D5554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provider shall document, track, and monitor the provision of services across all care settings. Such action shall ensure that regardless of whether services are part of the participant's plan of care, the IDT remains alert to the participant's:</w:t>
      </w:r>
    </w:p>
    <w:p w14:paraId="4D8C045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medical needs; </w:t>
      </w:r>
    </w:p>
    <w:p w14:paraId="0F8E5E8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physical needs;</w:t>
      </w:r>
    </w:p>
    <w:p w14:paraId="63CD6FB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emotional needs; and </w:t>
      </w:r>
    </w:p>
    <w:p w14:paraId="5B43469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social needs.</w:t>
      </w:r>
    </w:p>
    <w:p w14:paraId="3EF83F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Timeframes for Arranging and Providing Services</w:t>
      </w:r>
    </w:p>
    <w:p w14:paraId="549ED0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arrange and schedule the dispensing of medications as quickly as the participant's condition requires. Dispensing shall occur no later than 24 hours after a primary care provider orders the medication.</w:t>
      </w:r>
    </w:p>
    <w:p w14:paraId="6BC36A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provider shall arrange or schedule the delivery of IDT approved services, other than medications, as identified in Clauses C.2.a.i.-iv of this Subsection, as quickly as the participant's health condition requires. Services shall be delivered no later than seven calendar days after the date the IDT or member of the IDT first approves the service. Exceptions are identified in Subparagraphs C.3.a.-c of this Subsection.</w:t>
      </w:r>
    </w:p>
    <w:p w14:paraId="42D3B14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IDT approved services include:</w:t>
      </w:r>
    </w:p>
    <w:p w14:paraId="4E44954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services approved by the full IDT;</w:t>
      </w:r>
    </w:p>
    <w:p w14:paraId="381FD69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services approved by a member of the IDT;</w:t>
      </w:r>
    </w:p>
    <w:p w14:paraId="3878BDE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services ordered by a member of the IDT; and</w:t>
      </w:r>
    </w:p>
    <w:p w14:paraId="0B1AB06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care planned services.</w:t>
      </w:r>
    </w:p>
    <w:p w14:paraId="19EDEC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Routine or preventative services are excluded from the requirement in Paragraph C.2 of this Section when all the following requirements are met:</w:t>
      </w:r>
    </w:p>
    <w:p w14:paraId="578C6F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PACE provider documents that they were unable to schedule the appointment due to circumstances beyond the control of the PACE provider;</w:t>
      </w:r>
    </w:p>
    <w:p w14:paraId="41A2041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participant does not have a change in status that requires the service to be provided more quickly; and</w:t>
      </w:r>
    </w:p>
    <w:p w14:paraId="7F83D97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PACE provider provides the service as quickly as the participant's condition requires.</w:t>
      </w:r>
    </w:p>
    <w:p w14:paraId="0039C4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Services shall be provided as quickly as the participant's health condition requires, considering: </w:t>
      </w:r>
    </w:p>
    <w:p w14:paraId="432AC35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participant's medical needs;</w:t>
      </w:r>
    </w:p>
    <w:p w14:paraId="5A9580C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participant’s physical needs;</w:t>
      </w:r>
    </w:p>
    <w:p w14:paraId="347A512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the participant’s social needs; and </w:t>
      </w:r>
    </w:p>
    <w:p w14:paraId="5387E62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participant’s emotional needs.</w:t>
      </w:r>
    </w:p>
    <w:p w14:paraId="1F94A3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At a minimum, the following services shall be furnished at each PACE center:</w:t>
      </w:r>
    </w:p>
    <w:p w14:paraId="24536C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primary care, including services furnished by a primary care provider and nursing services;</w:t>
      </w:r>
    </w:p>
    <w:p w14:paraId="2F739C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social services;</w:t>
      </w:r>
    </w:p>
    <w:p w14:paraId="0150E4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restorative therapies, including physical therapy and occupational therapy;</w:t>
      </w:r>
    </w:p>
    <w:p w14:paraId="1751C3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personal care and supportive services;</w:t>
      </w:r>
    </w:p>
    <w:p w14:paraId="36D3FA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nutritional counseling;</w:t>
      </w:r>
    </w:p>
    <w:p w14:paraId="7D32B1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recreational therapy; and</w:t>
      </w:r>
    </w:p>
    <w:p w14:paraId="1CCDE0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meals.</w:t>
      </w:r>
    </w:p>
    <w:p w14:paraId="212359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PACE Center Operation</w:t>
      </w:r>
    </w:p>
    <w:p w14:paraId="643F51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shall operate at least one PACE center in its defined geographic service location listed on the license. Operation shall be sufficient capacity to allow routine attendance by participants.</w:t>
      </w:r>
    </w:p>
    <w:p w14:paraId="6C15C8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PACE provider shall ensure accessible and adequate services to meet the needs of its participants. If necessary, a PACE provider shall increase the number of:</w:t>
      </w:r>
    </w:p>
    <w:p w14:paraId="1AA9650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PACE centers;</w:t>
      </w:r>
    </w:p>
    <w:p w14:paraId="6F94CAF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PACE staff; or </w:t>
      </w:r>
    </w:p>
    <w:p w14:paraId="3A3BBD1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other PACE services.</w:t>
      </w:r>
    </w:p>
    <w:p w14:paraId="20D15D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 PACE provider operates more than one center, each PACE center shall:</w:t>
      </w:r>
    </w:p>
    <w:p w14:paraId="1AF2D71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offer the full range of services; and </w:t>
      </w:r>
    </w:p>
    <w:p w14:paraId="713320D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have sufficient staff to meet the needs of participants.</w:t>
      </w:r>
    </w:p>
    <w:p w14:paraId="5180BA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frequency of a participant's attendance at a center is determined by the IDT. The frequency is based on the participant's needs and preferences.</w:t>
      </w:r>
    </w:p>
    <w:p w14:paraId="527A7A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FAEA6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A2460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§4363.</w:t>
      </w:r>
      <w:r w:rsidRPr="006E50FF">
        <w:rPr>
          <w:b/>
          <w:kern w:val="2"/>
        </w:rPr>
        <w:tab/>
        <w:t>Contracted Services</w:t>
      </w:r>
    </w:p>
    <w:p w14:paraId="50A5D8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r>
      <w:r w:rsidRPr="006E50FF">
        <w:rPr>
          <w:iCs/>
          <w:kern w:val="2"/>
        </w:rPr>
        <w:t>General Rule.</w:t>
      </w:r>
      <w:r w:rsidRPr="006E50FF">
        <w:rPr>
          <w:i/>
          <w:iCs/>
          <w:kern w:val="2"/>
        </w:rPr>
        <w:t xml:space="preserve"> </w:t>
      </w:r>
      <w:r w:rsidRPr="006E50FF">
        <w:rPr>
          <w:kern w:val="2"/>
        </w:rPr>
        <w:t>The PACE provider shall have a written contract with each outside entity, agency, or individual that furnishes administrative or care-related services not furnished directly by the PACE provider. At a minimum, the following medical specialties shall be included:</w:t>
      </w:r>
    </w:p>
    <w:p w14:paraId="056DBA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anesthesiology;</w:t>
      </w:r>
    </w:p>
    <w:p w14:paraId="5DA6E9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audiology;</w:t>
      </w:r>
    </w:p>
    <w:p w14:paraId="676A39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cardiology;</w:t>
      </w:r>
    </w:p>
    <w:p w14:paraId="713BAA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dentistry;</w:t>
      </w:r>
    </w:p>
    <w:p w14:paraId="18FBA1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dermatology;</w:t>
      </w:r>
    </w:p>
    <w:p w14:paraId="0871F3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6.</w:t>
      </w:r>
      <w:r w:rsidRPr="006E50FF">
        <w:rPr>
          <w:kern w:val="2"/>
        </w:rPr>
        <w:tab/>
        <w:t>gastroenterology;</w:t>
      </w:r>
    </w:p>
    <w:p w14:paraId="16A479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gynecology;</w:t>
      </w:r>
    </w:p>
    <w:p w14:paraId="3EE2F4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internal medicine;</w:t>
      </w:r>
    </w:p>
    <w:p w14:paraId="23D6A2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nephrology;</w:t>
      </w:r>
    </w:p>
    <w:p w14:paraId="7C3391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neurosurgery;</w:t>
      </w:r>
    </w:p>
    <w:p w14:paraId="615B9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oncology;</w:t>
      </w:r>
    </w:p>
    <w:p w14:paraId="12ACC1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ophthalmology;</w:t>
      </w:r>
    </w:p>
    <w:p w14:paraId="08799B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oral surgery;</w:t>
      </w:r>
    </w:p>
    <w:p w14:paraId="3C4C84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orthopedic surgery;</w:t>
      </w:r>
    </w:p>
    <w:p w14:paraId="5E7B96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otorhinolaryngology;</w:t>
      </w:r>
    </w:p>
    <w:p w14:paraId="4640C6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palliative medicine;</w:t>
      </w:r>
    </w:p>
    <w:p w14:paraId="3E03A3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plastic surgery;</w:t>
      </w:r>
    </w:p>
    <w:p w14:paraId="2CA836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18.</w:t>
      </w:r>
      <w:r w:rsidRPr="006E50FF">
        <w:rPr>
          <w:kern w:val="2"/>
        </w:rPr>
        <w:tab/>
        <w:t>pharmacy consulting services;</w:t>
      </w:r>
    </w:p>
    <w:p w14:paraId="4C4FA5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podiatry;</w:t>
      </w:r>
    </w:p>
    <w:p w14:paraId="2688ED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psychiatry;</w:t>
      </w:r>
    </w:p>
    <w:p w14:paraId="6E01CC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pulmonology;</w:t>
      </w:r>
    </w:p>
    <w:p w14:paraId="5612CD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22.</w:t>
      </w:r>
      <w:r w:rsidRPr="006E50FF">
        <w:rPr>
          <w:kern w:val="2"/>
        </w:rPr>
        <w:tab/>
        <w:t>radiology;</w:t>
      </w:r>
    </w:p>
    <w:p w14:paraId="2A52DE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23.</w:t>
      </w:r>
      <w:r w:rsidRPr="006E50FF">
        <w:rPr>
          <w:kern w:val="2"/>
        </w:rPr>
        <w:tab/>
        <w:t>rheumatology;</w:t>
      </w:r>
    </w:p>
    <w:p w14:paraId="482F75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24.</w:t>
      </w:r>
      <w:r w:rsidRPr="006E50FF">
        <w:rPr>
          <w:kern w:val="2"/>
        </w:rPr>
        <w:tab/>
        <w:t>general surgery;</w:t>
      </w:r>
    </w:p>
    <w:p w14:paraId="5FAD1A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25.</w:t>
      </w:r>
      <w:r w:rsidRPr="006E50FF">
        <w:rPr>
          <w:kern w:val="2"/>
        </w:rPr>
        <w:tab/>
        <w:t>thoracic and vascular surgery; and</w:t>
      </w:r>
    </w:p>
    <w:p w14:paraId="0ED20A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26.</w:t>
      </w:r>
      <w:r w:rsidRPr="006E50FF">
        <w:rPr>
          <w:kern w:val="2"/>
        </w:rPr>
        <w:tab/>
        <w:t>urology.</w:t>
      </w:r>
    </w:p>
    <w:p w14:paraId="2ADAC53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Contracts with medical specialists shall be executed prior to enrollment of participants. The contracts shall be maintained on an ongoing basis to ensure participants receive appropriate and timely access to all medically necessary care and services.</w:t>
      </w:r>
    </w:p>
    <w:p w14:paraId="25CD92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contract with the PACE provider shall comply with the requirements of R.S.40:2120.66 C, or current law. The contract shall also comply with the following requirements:</w:t>
      </w:r>
    </w:p>
    <w:p w14:paraId="5A809E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Any contracts with the PACE provider shall: </w:t>
      </w:r>
    </w:p>
    <w:p w14:paraId="1347188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meet all applicable federal and state requirements including, but not limited to:</w:t>
      </w:r>
    </w:p>
    <w:p w14:paraId="2984608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hospital services;</w:t>
      </w:r>
    </w:p>
    <w:p w14:paraId="567846C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nursing facility services; or </w:t>
      </w:r>
    </w:p>
    <w:p w14:paraId="5F40266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hospice services;</w:t>
      </w:r>
    </w:p>
    <w:p w14:paraId="3B0EC6D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meet Medicare or Medicaid participation requirements;</w:t>
      </w:r>
    </w:p>
    <w:p w14:paraId="40EE01A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meet Medicare or Medicaid requirements applicable to the services furnished by any practitioner or supplier; and</w:t>
      </w:r>
    </w:p>
    <w:p w14:paraId="05C1AF8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comply with service delivery, participants and quality improvement activities.</w:t>
      </w:r>
    </w:p>
    <w:p w14:paraId="72774A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contractor shall be accessible to participants, located either within or near the PACE provider’s geographic service location.</w:t>
      </w:r>
    </w:p>
    <w:p w14:paraId="6583FB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PACE provider shall designate an official contact person to coordinate activities between:</w:t>
      </w:r>
    </w:p>
    <w:p w14:paraId="13464F0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contractors; and </w:t>
      </w:r>
    </w:p>
    <w:p w14:paraId="0B5357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w:t>
      </w:r>
    </w:p>
    <w:p w14:paraId="1749EE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Each contract shall be in writing and include the following:</w:t>
      </w:r>
    </w:p>
    <w:p w14:paraId="0A4CE5A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name of contractor;</w:t>
      </w:r>
    </w:p>
    <w:p w14:paraId="4312FC8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services furnished;</w:t>
      </w:r>
    </w:p>
    <w:p w14:paraId="4A6E9E1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payment rate and method; and</w:t>
      </w:r>
    </w:p>
    <w:p w14:paraId="10B47490"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terms of the contract, including:</w:t>
      </w:r>
    </w:p>
    <w:p w14:paraId="75E86A5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beginning and ending dates; and</w:t>
      </w:r>
    </w:p>
    <w:p w14:paraId="7045588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methods of extension, renegotiation, and termination.</w:t>
      </w:r>
    </w:p>
    <w:p w14:paraId="2F6174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 current list of contractors shall be kept on file at the PACE provider. The contractor list shall be provided to anyone upon request. The PACE provider shall ensure that all </w:t>
      </w:r>
      <w:r w:rsidRPr="006E50FF">
        <w:rPr>
          <w:kern w:val="2"/>
        </w:rPr>
        <w:t>contractors meet the requirements of R.S. 40:2120.66, or current law.</w:t>
      </w:r>
    </w:p>
    <w:p w14:paraId="48C412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50BE2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3F7D9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§4365.</w:t>
      </w:r>
      <w:r w:rsidRPr="006E50FF">
        <w:rPr>
          <w:b/>
          <w:kern w:val="2"/>
        </w:rPr>
        <w:tab/>
        <w:t>Nutrition Services</w:t>
      </w:r>
    </w:p>
    <w:p w14:paraId="666E93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ensure, through the assessment and care planning process, that each participant receives nourishing, palatable, well-balanced meals at the PACE Center. The meals shall meet the participant's daily nutritional and special dietary needs. Each meal shall meet the following requirements:</w:t>
      </w:r>
    </w:p>
    <w:p w14:paraId="3B219F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prepared by methods that conserve nutritive value, flavor, and appearance;</w:t>
      </w:r>
    </w:p>
    <w:p w14:paraId="13F8F3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prepared in a form designed to meet individual needs; and</w:t>
      </w:r>
    </w:p>
    <w:p w14:paraId="509D26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 prepared and served at the proper temperature.</w:t>
      </w:r>
    </w:p>
    <w:p w14:paraId="37D536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center shall provide substitute foods or nutritional supplements that meet the daily nutritional and special dietary needs of any participant who:</w:t>
      </w:r>
    </w:p>
    <w:p w14:paraId="0990AE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refuses the food served; or </w:t>
      </w:r>
    </w:p>
    <w:p w14:paraId="0E8E69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cannot tolerate the food served.</w:t>
      </w:r>
    </w:p>
    <w:p w14:paraId="08733A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C.</w:t>
      </w:r>
      <w:r w:rsidRPr="006E50FF">
        <w:rPr>
          <w:color w:val="000000"/>
          <w:kern w:val="2"/>
        </w:rPr>
        <w:tab/>
      </w:r>
      <w:r w:rsidRPr="006E50FF">
        <w:rPr>
          <w:kern w:val="2"/>
        </w:rPr>
        <w:t>The PACE provider shall provide nutritional support to meet the daily nutritional needs of a participant, if indicated by his or her medical condition or diagnosis. Nutrition support consists of:</w:t>
      </w:r>
    </w:p>
    <w:p w14:paraId="4791A3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tube feedings;</w:t>
      </w:r>
    </w:p>
    <w:p w14:paraId="394D54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total parenteral nutrition; or </w:t>
      </w:r>
    </w:p>
    <w:p w14:paraId="66B5CE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peripheral parenteral nutrition.</w:t>
      </w:r>
    </w:p>
    <w:p w14:paraId="67B58A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Drinking water shall be readily available. If a water fountain is not available, single-use disposable cups shall be used.</w:t>
      </w:r>
    </w:p>
    <w:p w14:paraId="3A8C14AC"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E.</w:t>
      </w:r>
      <w:r w:rsidRPr="006E50FF">
        <w:rPr>
          <w:kern w:val="2"/>
        </w:rPr>
        <w:tab/>
        <w:t>Food preparation and/or serving areas and utensil cleaning procedures shall comply with the State Sanitary Code.</w:t>
      </w:r>
      <w:r w:rsidRPr="006E50FF">
        <w:rPr>
          <w:i/>
          <w:iCs/>
          <w:color w:val="000000"/>
          <w:kern w:val="2"/>
        </w:rPr>
        <w:t xml:space="preserve"> </w:t>
      </w:r>
      <w:r w:rsidRPr="006E50FF">
        <w:rPr>
          <w:color w:val="000000"/>
          <w:kern w:val="2"/>
        </w:rPr>
        <w:t>The PACE center shall do the following, in accordance with the State Sanitary Code:</w:t>
      </w:r>
    </w:p>
    <w:p w14:paraId="2B01D0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procure foods (including nutritional supplements and nutrition support items) from sources approved, or considered satisfactory, by Federal, State, Tribal, or local authorities with jurisdiction over the geographic service location of the PACE provider;</w:t>
      </w:r>
    </w:p>
    <w:p w14:paraId="7F9EB8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store, prepare, distribute, and serve beverages and foods (including nutritional supplements and nutrition support items);</w:t>
      </w:r>
    </w:p>
    <w:p w14:paraId="07183E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keep utensils clean and sanitary; and</w:t>
      </w:r>
    </w:p>
    <w:p w14:paraId="481C92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dispose of garbage.</w:t>
      </w:r>
    </w:p>
    <w:p w14:paraId="0B3E84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provider’s refrigerator(s) shall be maintained at a temperature of 41 degrees Fahrenheit or below. The PACE provider shall maintain daily temperature logs for all refrigerators and freezers. Any food stored in the refrigerator shall be covered, labeled, and dated.</w:t>
      </w:r>
    </w:p>
    <w:p w14:paraId="786BA8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Menus shall provide a variety of nutritional foods. Menus shall be planned and approved well in advance by a licensed registered dietician.</w:t>
      </w:r>
    </w:p>
    <w:p w14:paraId="5537EB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 licensed registered dietitian shall:</w:t>
      </w:r>
    </w:p>
    <w:p w14:paraId="5D4555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review all primary care providers' orders for special diets;</w:t>
      </w:r>
    </w:p>
    <w:p w14:paraId="47E7D5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prepare menus as needed; and</w:t>
      </w:r>
    </w:p>
    <w:p w14:paraId="23F49D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provide in-service training to staff and, as appropriate, participants.</w:t>
      </w:r>
    </w:p>
    <w:p w14:paraId="7A53D9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DCE3F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I.</w:t>
      </w:r>
      <w:r w:rsidRPr="006E50FF">
        <w:rPr>
          <w:kern w:val="2"/>
        </w:rPr>
        <w:tab/>
        <w:t>Documentation shall be available in the participant’s case record of:</w:t>
      </w:r>
    </w:p>
    <w:p w14:paraId="6C7486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participant meal substitutions;</w:t>
      </w:r>
    </w:p>
    <w:p w14:paraId="4D5CBE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refusal of meals;</w:t>
      </w:r>
    </w:p>
    <w:p w14:paraId="79FB84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any food allergies; and </w:t>
      </w:r>
    </w:p>
    <w:p w14:paraId="410E68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any recommendations from the licensed dietician.</w:t>
      </w:r>
    </w:p>
    <w:p w14:paraId="60C2D5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D926A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50BAE3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§4367.</w:t>
      </w:r>
      <w:r w:rsidRPr="006E50FF">
        <w:rPr>
          <w:b/>
          <w:kern w:val="2"/>
        </w:rPr>
        <w:tab/>
        <w:t>Transportation Services</w:t>
      </w:r>
    </w:p>
    <w:p w14:paraId="0C26B9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provider's transportation services shall be:</w:t>
      </w:r>
    </w:p>
    <w:p w14:paraId="449D23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safe;</w:t>
      </w:r>
    </w:p>
    <w:p w14:paraId="5B6473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accessible; and </w:t>
      </w:r>
    </w:p>
    <w:p w14:paraId="37B28E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equipped to meet the needs of the participant population.</w:t>
      </w:r>
    </w:p>
    <w:p w14:paraId="581610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vehicles shall be maintained as follows:</w:t>
      </w:r>
    </w:p>
    <w:p w14:paraId="6180F4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PACE provider owns, rents, or leases transportation vehicles, it shall maintain these vehicles in accordance with the manufacturer's recommendations.</w:t>
      </w:r>
    </w:p>
    <w:p w14:paraId="2B41CF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a contractor provides transportation services, the PACE provider shall ensure that the vehicles are maintained in accordance with the manufacturer's recommendations.</w:t>
      </w:r>
    </w:p>
    <w:p w14:paraId="16C0E3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have liability insurance coverage and shall have proof of such coverage.</w:t>
      </w:r>
    </w:p>
    <w:p w14:paraId="00D5DC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and any contracted transportation company shall conform to all state and/or local laws and regulations pertaining to:</w:t>
      </w:r>
    </w:p>
    <w:p w14:paraId="277521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drivers;</w:t>
      </w:r>
    </w:p>
    <w:p w14:paraId="539218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vehicles; and </w:t>
      </w:r>
    </w:p>
    <w:p w14:paraId="26CDF0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insurance.</w:t>
      </w:r>
    </w:p>
    <w:p w14:paraId="457F5C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provider shall ensure that transportation vehicles are equipped to communicate with the PACE center.</w:t>
      </w:r>
    </w:p>
    <w:p w14:paraId="420E2C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train all transportation personnel (employees and contractors). Said training shall include managing the special needs of participants.</w:t>
      </w:r>
    </w:p>
    <w:p w14:paraId="34C707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There shall be at least one staff member in the vehicle who is trained in first aid and cardiopulmonary resuscitation (CPR) whether transportation is provided:</w:t>
      </w:r>
    </w:p>
    <w:p w14:paraId="5285FE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by center-owned transportation; or </w:t>
      </w:r>
    </w:p>
    <w:p w14:paraId="79741F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by a third-party commercial proprietor.</w:t>
      </w:r>
    </w:p>
    <w:p w14:paraId="76FA51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driver, whether directly employed or provided by third-party contract, shall hold a valid chauffeur’s license or commercial driver license (CDL), if applicable with passenger endorsement.</w:t>
      </w:r>
    </w:p>
    <w:p w14:paraId="7C1438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The number of occupants allowed in a car, bus, station wagon, van, or any other type of transportation shall not exceed the number for which the vehicle is designed.</w:t>
      </w:r>
    </w:p>
    <w:p w14:paraId="2EBE7F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Provisions shall be made to accommodate participants who use assistive devices for walking.</w:t>
      </w:r>
    </w:p>
    <w:p w14:paraId="5D3447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9B4ED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D19843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E.</w:t>
      </w:r>
      <w:r w:rsidRPr="006E50FF">
        <w:rPr>
          <w:b/>
          <w:kern w:val="2"/>
        </w:rPr>
        <w:tab/>
        <w:t>Human Resources</w:t>
      </w:r>
    </w:p>
    <w:p w14:paraId="06F296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69" w:name="_Toc314651775"/>
      <w:bookmarkStart w:id="670" w:name="_Toc317252119"/>
      <w:bookmarkStart w:id="671" w:name="_Toc409522600"/>
      <w:bookmarkStart w:id="672" w:name="_Toc152238580"/>
      <w:r w:rsidRPr="006E50FF">
        <w:rPr>
          <w:b/>
          <w:kern w:val="2"/>
        </w:rPr>
        <w:t>§4371.</w:t>
      </w:r>
      <w:r w:rsidRPr="006E50FF">
        <w:rPr>
          <w:b/>
          <w:kern w:val="2"/>
        </w:rPr>
        <w:tab/>
        <w:t>Personnel Policies</w:t>
      </w:r>
      <w:bookmarkEnd w:id="669"/>
      <w:bookmarkEnd w:id="670"/>
      <w:bookmarkEnd w:id="671"/>
      <w:bookmarkEnd w:id="672"/>
    </w:p>
    <w:p w14:paraId="2373BA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personnel policies that include:</w:t>
      </w:r>
    </w:p>
    <w:p w14:paraId="29C107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written plan for recruitment, screening, orientation, in-service training, staff development, supervision and performance evaluation of all staff members;</w:t>
      </w:r>
    </w:p>
    <w:p w14:paraId="6D378CC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2.</w:t>
      </w:r>
      <w:r w:rsidRPr="006E50FF">
        <w:rPr>
          <w:kern w:val="2"/>
        </w:rPr>
        <w:tab/>
        <w:t>a written job description for each staff position, including volunteers;</w:t>
      </w:r>
    </w:p>
    <w:p w14:paraId="07219E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health assessment that includes, at a minimum, evidence that the employee is free of active tuberculosis. Staff shall be retested on a time schedule as mandated by the Office of Public Health. The health assessment shall also include any other required medical examinations. All staff shall be medically cleared of any communicable diseases before engaging in direct participant contact;</w:t>
      </w:r>
    </w:p>
    <w:p w14:paraId="2FDB50C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Policies shall be in accordance with state rules, laws, and regulations for employees, either contracted or directly employed, and volunteers.</w:t>
      </w:r>
      <w:r w:rsidRPr="006E50FF" w:rsidDel="000E0BD4">
        <w:rPr>
          <w:kern w:val="2"/>
        </w:rPr>
        <w:t xml:space="preserve"> </w:t>
      </w:r>
    </w:p>
    <w:p w14:paraId="0BB7AC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written employee grievance procedure;</w:t>
      </w:r>
    </w:p>
    <w:p w14:paraId="206A36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abuse and neglect reporting procedures that require all employees to report any incidents of abuse or neglect in accordance with state law, whether the abuse or mistreatment is committed by another staff member, a family member or any other person;</w:t>
      </w:r>
    </w:p>
    <w:p w14:paraId="25C38C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clarification of the PACE provider’s prohibited use of social media. The policy shall ensure that all staff either contracted, directly employed, or volunteers, receive training on the restrictive use of social media. The training shall include, at a minimum:</w:t>
      </w:r>
    </w:p>
    <w:p w14:paraId="59F1735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ensuring confidentiality of participant information; and</w:t>
      </w:r>
    </w:p>
    <w:p w14:paraId="1EE2F24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preservation of participant dignity and respect, including protection of participant privacy, personal and property rights;</w:t>
      </w:r>
    </w:p>
    <w:p w14:paraId="03764D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preventing discrimination; and</w:t>
      </w:r>
    </w:p>
    <w:p w14:paraId="6C7737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preventing, responding to, reporting, and mitigating instances of healthcare workplace violence in accordance with R.S. 40:2199.12(3), or current law. This requirement shall apply to those facilities that employ five or more licensed healthcare professionals.</w:t>
      </w:r>
    </w:p>
    <w:p w14:paraId="349A12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not discriminate in recruiting or hiring based on:</w:t>
      </w:r>
    </w:p>
    <w:p w14:paraId="15BC1E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sex;</w:t>
      </w:r>
    </w:p>
    <w:p w14:paraId="6CF2FBB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race;</w:t>
      </w:r>
    </w:p>
    <w:p w14:paraId="40AE8B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creed;</w:t>
      </w:r>
    </w:p>
    <w:p w14:paraId="032670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national origin; or </w:t>
      </w:r>
    </w:p>
    <w:p w14:paraId="74AEB5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religion.</w:t>
      </w:r>
    </w:p>
    <w:p w14:paraId="6D74E7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PACE provider’s screening procedures shall address the prospective employee's qualifications, ability, related experience, health, character, emotional stability, and social skills as related to the appropriate job description.</w:t>
      </w:r>
    </w:p>
    <w:p w14:paraId="38D0FD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Prior to making an offer of employment, a PACE provider shall:</w:t>
      </w:r>
    </w:p>
    <w:p w14:paraId="44A727C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obtain written references from three persons; or</w:t>
      </w:r>
    </w:p>
    <w:p w14:paraId="5BACDA3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prepare documentation based on telephone contacts with three persons. The names of the references and a signed release shall be obtained from the potential employee.</w:t>
      </w:r>
    </w:p>
    <w:p w14:paraId="113D99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PACE provider shall ensure checks of the LCNAR, the LAAL, and the OIG LEIE. These checks shall be prior to making an offer of employment or offer to contract with non-licensed DCS. The checks shall be performed monthly thereafter.</w:t>
      </w:r>
    </w:p>
    <w:p w14:paraId="03368B9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PACE provider shall ensure that statewide criminal history background checks are performed on all unlicensed persons (including contractors) working for the PACE provider in accordance with R.S. 40:1203.1 et seq., or current law, and/or other applicable state law upon hire.</w:t>
      </w:r>
    </w:p>
    <w:p w14:paraId="5E95A2ED"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A PACE provider shall ensure that they do not hire unlicensed persons who have a conviction that bars employment in accordance with R.S. 40:1203.3 and/or other applicable state law.</w:t>
      </w:r>
    </w:p>
    <w:p w14:paraId="2D98491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PACE provider shall maintain documentation on the final disposition of all charges that bar employment pursuant to applicable state law.</w:t>
      </w:r>
    </w:p>
    <w:p w14:paraId="46391D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PACE provider shall ensure that all employees, including contractors, are not excluded from participation in the Medicaid programs by checking the LCNAR, the LAAL, and OIG LEIE upon hire and then monthly thereafter.</w:t>
      </w:r>
    </w:p>
    <w:p w14:paraId="1823D99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PACE provider shall maintain documentation of the results of these database checks.</w:t>
      </w:r>
    </w:p>
    <w:p w14:paraId="325E8E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PACE provider shall complete an annual performance evaluation for all current staff, including contracted staff and volunteers.</w:t>
      </w:r>
    </w:p>
    <w:p w14:paraId="70805F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any person who interacts with participants, performance evaluation procedures shall address the:</w:t>
      </w:r>
    </w:p>
    <w:p w14:paraId="07D81E0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quality of staff member's interactions with participants; and</w:t>
      </w:r>
    </w:p>
    <w:p w14:paraId="09059E7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nature of staff member's interactions with participants.</w:t>
      </w:r>
    </w:p>
    <w:p w14:paraId="379DB2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73" w:name="_Toc314651776"/>
      <w:bookmarkStart w:id="674" w:name="_Toc317252120"/>
      <w:bookmarkStart w:id="675" w:name="_Toc409522601"/>
      <w:bookmarkStart w:id="676" w:name="_Toc152238581"/>
      <w:r w:rsidRPr="006E50FF">
        <w:rPr>
          <w:kern w:val="2"/>
          <w:sz w:val="18"/>
        </w:rPr>
        <w:t>AUTHORITY NOTE:</w:t>
      </w:r>
      <w:r w:rsidRPr="006E50FF">
        <w:rPr>
          <w:kern w:val="2"/>
          <w:sz w:val="18"/>
        </w:rPr>
        <w:tab/>
        <w:t>Promulgated in accordance with R.S. 36:254 and R.S. 40:2120.61 et seq.</w:t>
      </w:r>
    </w:p>
    <w:p w14:paraId="37DB35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F96421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§4373.</w:t>
      </w:r>
      <w:r w:rsidRPr="006E50FF">
        <w:rPr>
          <w:b/>
          <w:kern w:val="2"/>
        </w:rPr>
        <w:tab/>
        <w:t>Orientation and Training</w:t>
      </w:r>
      <w:bookmarkEnd w:id="673"/>
      <w:bookmarkEnd w:id="674"/>
      <w:bookmarkEnd w:id="675"/>
      <w:bookmarkEnd w:id="676"/>
    </w:p>
    <w:p w14:paraId="72718F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provider’s orientation program shall provide training for all staff, either contracted, employed, or volunteers. The orientation program shall acquaint them with the philosophy, organization, program, practices and goals of the provider. The orientation shall also include instructions in:</w:t>
      </w:r>
    </w:p>
    <w:p w14:paraId="0995F9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safety;</w:t>
      </w:r>
    </w:p>
    <w:p w14:paraId="59902E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emergency procedures; and </w:t>
      </w:r>
    </w:p>
    <w:p w14:paraId="0B6285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specific responsibilities of the employee's job.</w:t>
      </w:r>
    </w:p>
    <w:p w14:paraId="5DABB9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employees providing care and services shall have, at a minimum, documented completion of:</w:t>
      </w:r>
    </w:p>
    <w:p w14:paraId="1FEF1D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current cardiopulmonary resuscitation (CPR) certification; and </w:t>
      </w:r>
    </w:p>
    <w:p w14:paraId="333E24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first aid training.</w:t>
      </w:r>
    </w:p>
    <w:p w14:paraId="720C34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provider shall ensure that each direct care staff (DCS), either contracted or employed satisfactorily, completes a minimum of 20 hours of training. The training shall occur upon hire and before providing direct care and services to participants. Such training shall include the following topics and shall be documented, maintained and readily available in the provider’s records:</w:t>
      </w:r>
    </w:p>
    <w:p w14:paraId="593B44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provider’s policies and procedures;</w:t>
      </w:r>
    </w:p>
    <w:p w14:paraId="51B5F5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emergency and safety procedures;</w:t>
      </w:r>
    </w:p>
    <w:p w14:paraId="4CA6C6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recognizing and responding to medical emergencies including:</w:t>
      </w:r>
    </w:p>
    <w:p w14:paraId="351A0FD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knowing when to make an immediate call to 911; and</w:t>
      </w:r>
    </w:p>
    <w:p w14:paraId="43DD8D4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knowing how to support the participant while waiting for the emergency personnel to arrive such as:</w:t>
      </w:r>
    </w:p>
    <w:p w14:paraId="2582D50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keeping an open airway for breathing;</w:t>
      </w:r>
    </w:p>
    <w:p w14:paraId="2732883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checking for the presence of a pulse; or </w:t>
      </w:r>
    </w:p>
    <w:p w14:paraId="58A1762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stopping bleeding;</w:t>
      </w:r>
    </w:p>
    <w:p w14:paraId="453FC3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participant’s rights;</w:t>
      </w:r>
    </w:p>
    <w:p w14:paraId="3A44FB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detecting and reporting suspected abuse and neglect;</w:t>
      </w:r>
    </w:p>
    <w:p w14:paraId="0367E5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reporting critical incidents;</w:t>
      </w:r>
    </w:p>
    <w:p w14:paraId="43D84C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universal precautions;</w:t>
      </w:r>
    </w:p>
    <w:p w14:paraId="5BF7D6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documentation;</w:t>
      </w:r>
    </w:p>
    <w:p w14:paraId="4DF81F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implementing a participant’s plan of care;</w:t>
      </w:r>
    </w:p>
    <w:p w14:paraId="42E172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confidentiality;</w:t>
      </w:r>
    </w:p>
    <w:p w14:paraId="5DFDCE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detecting signs of illness or impairment that warrant medical or nursing intervention;</w:t>
      </w:r>
    </w:p>
    <w:p w14:paraId="6CF1A9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basic skills required to meet the health needs of the participant;</w:t>
      </w:r>
    </w:p>
    <w:p w14:paraId="0DFB3A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the management of aggressive behavior, including acceptable and prohibited responses;</w:t>
      </w:r>
    </w:p>
    <w:p w14:paraId="79F32D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scald prevention training; and</w:t>
      </w:r>
    </w:p>
    <w:p w14:paraId="0136DB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completes a basic first aid course.</w:t>
      </w:r>
    </w:p>
    <w:p w14:paraId="3090CD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provider shall document that all employees, either contracted or staff, shall receive annual in-person training in:</w:t>
      </w:r>
    </w:p>
    <w:p w14:paraId="3E359E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principles and practices of participant care;</w:t>
      </w:r>
    </w:p>
    <w:p w14:paraId="2A08C1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provider’s policies and procedures and programmatic goals;</w:t>
      </w:r>
    </w:p>
    <w:p w14:paraId="2CF7AC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emergency and safety procedures;</w:t>
      </w:r>
    </w:p>
    <w:p w14:paraId="34AB14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protecting the participant's rights;</w:t>
      </w:r>
    </w:p>
    <w:p w14:paraId="22514C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procedures and legal requirements concerning the reporting of abuse and neglect;</w:t>
      </w:r>
    </w:p>
    <w:p w14:paraId="24004B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acceptable behavior management techniques;</w:t>
      </w:r>
    </w:p>
    <w:p w14:paraId="3A4C2B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crisis management; and</w:t>
      </w:r>
    </w:p>
    <w:p w14:paraId="17358D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prohibited use of social media.</w:t>
      </w:r>
    </w:p>
    <w:p w14:paraId="7C8264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Each DCS shall complete 20 hours per year of in-person training to ensure continued competence. This training shall address the special needs of participants. This training may address areas of employee weakness as determined by DCS’ performance reviews.</w:t>
      </w:r>
    </w:p>
    <w:p w14:paraId="31445C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new DCS employee shall not be assigned to carry out a participant’s care until such employee has had competency evaluation.</w:t>
      </w:r>
    </w:p>
    <w:p w14:paraId="269998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Competency Evaluation</w:t>
      </w:r>
    </w:p>
    <w:p w14:paraId="6D8168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competency evaluation shall be developed and conducted to ensure that, at a minimum, each DCS, either contracted or employed, is able to demonstrate competencies in the training areas as defined in §4373.</w:t>
      </w:r>
    </w:p>
    <w:p w14:paraId="188195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Written or oral examinations shall be provided.</w:t>
      </w:r>
    </w:p>
    <w:p w14:paraId="3E4FA8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examination shall reflect the content and emphasis of the training curriculum components. The examination shall be developed in accordance with accepted educational principles.</w:t>
      </w:r>
    </w:p>
    <w:p w14:paraId="110058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provider shall ensure that those DCS with limited literacy skills receive substitute examinations. The examination shall be sufficient to determine:</w:t>
      </w:r>
    </w:p>
    <w:p w14:paraId="554FCEB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written reading comprehension; and</w:t>
      </w:r>
    </w:p>
    <w:p w14:paraId="71BAF0E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competency to perform duties assigned.</w:t>
      </w:r>
    </w:p>
    <w:p w14:paraId="2BB838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77" w:name="_Toc314651777"/>
      <w:bookmarkStart w:id="678" w:name="_Toc317252121"/>
      <w:bookmarkStart w:id="679" w:name="_Toc409522602"/>
      <w:bookmarkStart w:id="680" w:name="_Toc152238582"/>
      <w:r w:rsidRPr="006E50FF">
        <w:rPr>
          <w:kern w:val="2"/>
          <w:sz w:val="18"/>
        </w:rPr>
        <w:t>AUTHORITY NOTE:</w:t>
      </w:r>
      <w:r w:rsidRPr="006E50FF">
        <w:rPr>
          <w:kern w:val="2"/>
          <w:sz w:val="18"/>
        </w:rPr>
        <w:tab/>
        <w:t>Promulgated in accordance with R.S. 36:254 and R.S. 40:2120.61 et seq.</w:t>
      </w:r>
    </w:p>
    <w:p w14:paraId="555ECF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13D885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§4375.</w:t>
      </w:r>
      <w:r w:rsidRPr="006E50FF">
        <w:rPr>
          <w:b/>
          <w:kern w:val="2"/>
        </w:rPr>
        <w:tab/>
        <w:t>Personnel Files</w:t>
      </w:r>
      <w:bookmarkEnd w:id="677"/>
      <w:bookmarkEnd w:id="678"/>
      <w:bookmarkEnd w:id="679"/>
      <w:bookmarkEnd w:id="680"/>
    </w:p>
    <w:p w14:paraId="20A38F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§4371, a PACE provider shall have a personnel file for each staff member that contains:</w:t>
      </w:r>
    </w:p>
    <w:p w14:paraId="3DC02A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application for employment and/or resume;</w:t>
      </w:r>
    </w:p>
    <w:p w14:paraId="1032B9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statewide criminal history background;</w:t>
      </w:r>
    </w:p>
    <w:p w14:paraId="050F67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documentation of checks of the LCNAR, the LAAL, and the OIG LEIE;</w:t>
      </w:r>
    </w:p>
    <w:p w14:paraId="3B1124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reference letters from:</w:t>
      </w:r>
    </w:p>
    <w:p w14:paraId="1BB5866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former employer(s) and personal references; or </w:t>
      </w:r>
    </w:p>
    <w:p w14:paraId="1DF102B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written documentation based on telephone contact with such references;</w:t>
      </w:r>
    </w:p>
    <w:p w14:paraId="420116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 copy of a physical examination report wherein staff have been medically cleared of communicable disease, or evidence that risk assessment has been performed to </w:t>
      </w:r>
      <w:r w:rsidRPr="006E50FF">
        <w:rPr>
          <w:kern w:val="2"/>
        </w:rPr>
        <w:lastRenderedPageBreak/>
        <w:t>determine when a physical examination would be required for staff. This shall be completed prior to the employee providing direct care. All DCS shall be determined to be free of active tuberculosis disease;</w:t>
      </w:r>
    </w:p>
    <w:p w14:paraId="3ED34E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evidence of applicable professional credentials and certifications according to state law;</w:t>
      </w:r>
    </w:p>
    <w:p w14:paraId="4B7A0A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annual performance evaluations;</w:t>
      </w:r>
    </w:p>
    <w:p w14:paraId="23E0C5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personnel actions, other appropriate materials, reports and notes relating to the individual's employment with the PACE provider;</w:t>
      </w:r>
    </w:p>
    <w:p w14:paraId="00F946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employee’s starting and termination dates; and</w:t>
      </w:r>
    </w:p>
    <w:p w14:paraId="7611D5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evidence of required trainings.</w:t>
      </w:r>
    </w:p>
    <w:p w14:paraId="253A0E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retain an employee’s personnel file for at least three years after the employee's termination of employment.</w:t>
      </w:r>
    </w:p>
    <w:p w14:paraId="3F5714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AB4DC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7723A0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F.</w:t>
      </w:r>
      <w:r w:rsidRPr="006E50FF">
        <w:rPr>
          <w:b/>
          <w:kern w:val="2"/>
        </w:rPr>
        <w:tab/>
        <w:t>Center Responsibilities</w:t>
      </w:r>
    </w:p>
    <w:p w14:paraId="5428C98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81" w:name="_Toc314651779"/>
      <w:bookmarkStart w:id="682" w:name="_Toc317252123"/>
      <w:bookmarkStart w:id="683" w:name="_Toc409522604"/>
      <w:bookmarkStart w:id="684" w:name="_Toc152238584"/>
      <w:r w:rsidRPr="006E50FF">
        <w:rPr>
          <w:b/>
          <w:kern w:val="2"/>
        </w:rPr>
        <w:t>§4379.</w:t>
      </w:r>
      <w:r w:rsidRPr="006E50FF">
        <w:rPr>
          <w:b/>
          <w:kern w:val="2"/>
        </w:rPr>
        <w:tab/>
        <w:t>General Provisions</w:t>
      </w:r>
      <w:bookmarkEnd w:id="681"/>
      <w:bookmarkEnd w:id="682"/>
      <w:bookmarkEnd w:id="683"/>
      <w:bookmarkEnd w:id="684"/>
    </w:p>
    <w:p w14:paraId="3BC90A1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employ enough qualified staff and delegate sufficient authority to such staff to ensure that the center's responsibilities are carried out and that the following functions are adequately performed:</w:t>
      </w:r>
    </w:p>
    <w:p w14:paraId="2A9566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administrative functions;</w:t>
      </w:r>
    </w:p>
    <w:p w14:paraId="407CD6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fiscal functions;</w:t>
      </w:r>
    </w:p>
    <w:p w14:paraId="1048B7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clerical functions;</w:t>
      </w:r>
    </w:p>
    <w:p w14:paraId="50A487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housekeeping, maintenance, and food service functions;</w:t>
      </w:r>
    </w:p>
    <w:p w14:paraId="52E3C9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direct service functions;</w:t>
      </w:r>
    </w:p>
    <w:p w14:paraId="07AD9E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supervisory functions;</w:t>
      </w:r>
    </w:p>
    <w:p w14:paraId="2AA6A2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record-keeping and reporting functions;</w:t>
      </w:r>
    </w:p>
    <w:p w14:paraId="55B197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social services functions; and</w:t>
      </w:r>
    </w:p>
    <w:p w14:paraId="1909E4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ancillary service functions.</w:t>
      </w:r>
    </w:p>
    <w:p w14:paraId="2B8418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shall ensure that all staff members are properly certified and/or licensed as legally required.</w:t>
      </w:r>
    </w:p>
    <w:p w14:paraId="05A216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ensure that an adequate number of qualified direct service staff is present with the participants as necessary to ensure the health, safety, and well-being of participants.</w:t>
      </w:r>
    </w:p>
    <w:p w14:paraId="3639A3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Staff coverage at the PACE Center shall be maintained giving consideration to:</w:t>
      </w:r>
    </w:p>
    <w:p w14:paraId="5C432A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time of the day;</w:t>
      </w:r>
    </w:p>
    <w:p w14:paraId="17B2891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size and nature of the PACE center; and </w:t>
      </w:r>
    </w:p>
    <w:p w14:paraId="37426EA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needs of the participants.</w:t>
      </w:r>
    </w:p>
    <w:p w14:paraId="0A9AFB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not knowingly hire, or continue to employ, any person whose health, educational achievement, emotional or psychological makeup impairs his or her ability to properly protect the health and safety of the participants or is such that it would endanger the physical or psychological well-being of the participants.</w:t>
      </w:r>
    </w:p>
    <w:p w14:paraId="76B1C4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This requirement is not to be interpreted to exclude the continued employment of persons undergoing temporary medical or emotional problems unless such problems pose a threat to the health or safety of any participant or staff.</w:t>
      </w:r>
    </w:p>
    <w:p w14:paraId="1CD74E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any required professional services are not furnished by center employees, the PACE provider shall have a written agreement with an appropriately qualified professional to perform the required service.</w:t>
      </w:r>
    </w:p>
    <w:p w14:paraId="0AE88B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The PACE provider shall establish procedures to ensure adequate communication among staff and to provide </w:t>
      </w:r>
      <w:r w:rsidRPr="006E50FF">
        <w:rPr>
          <w:kern w:val="2"/>
        </w:rPr>
        <w:t>continuity of services to participants. This system of communication shall include:</w:t>
      </w:r>
    </w:p>
    <w:p w14:paraId="164560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regular review of individual and aggregate concerns of participants, including actions taken to resolve these concerns;</w:t>
      </w:r>
    </w:p>
    <w:p w14:paraId="7E93C0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sharing daily information, noting unusual circumstances and other information requiring continued action by staff; and</w:t>
      </w:r>
    </w:p>
    <w:p w14:paraId="0551A7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maintenance of all accidents, personal injuries, and pertinent incident records related to implementation of the participant’s individual service plans.</w:t>
      </w:r>
    </w:p>
    <w:p w14:paraId="289FFA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Any employee who is working directly with participant care shall have access to information from participant case records. This shall include information that is necessary for the effective performance of the employee's assigned tasks.</w:t>
      </w:r>
    </w:p>
    <w:p w14:paraId="1C4BB1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PACE provider shall establish procedures that facilitate participation and feedback by staff members in:</w:t>
      </w:r>
    </w:p>
    <w:p w14:paraId="1EF21D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policymaking;</w:t>
      </w:r>
    </w:p>
    <w:p w14:paraId="49556D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planning; and </w:t>
      </w:r>
    </w:p>
    <w:p w14:paraId="6D4896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program development for participants.</w:t>
      </w:r>
    </w:p>
    <w:p w14:paraId="14D114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At all times, there shall be a staff member in the center who:</w:t>
      </w:r>
    </w:p>
    <w:p w14:paraId="34048A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has knowledge of and can apply first aid; and </w:t>
      </w:r>
    </w:p>
    <w:p w14:paraId="2D3FDA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who is certified in CPR.</w:t>
      </w:r>
    </w:p>
    <w:p w14:paraId="05BEBA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In the absence of the PACE center manager, an appropriate designee shall supervise the center.</w:t>
      </w:r>
    </w:p>
    <w:p w14:paraId="00F433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The PACE center shall not provide service to more participants than the OSFM approved capacity specified within the center on its license. This requirement shall be applicable:</w:t>
      </w:r>
    </w:p>
    <w:p w14:paraId="335C36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on any given day; or </w:t>
      </w:r>
    </w:p>
    <w:p w14:paraId="73B19D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any given time.</w:t>
      </w:r>
    </w:p>
    <w:p w14:paraId="7FEA3A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The PACE provider shall make available to the department any information that the PACE center is required to have under these standards and is reasonably related to the assessment of compliance with these standards. The participant's rights shall not be considered abridged by this requirement.</w:t>
      </w:r>
    </w:p>
    <w:p w14:paraId="57D393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ADCBB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11540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§4381.</w:t>
      </w:r>
      <w:r w:rsidRPr="006E50FF">
        <w:rPr>
          <w:b/>
          <w:kern w:val="2"/>
        </w:rPr>
        <w:tab/>
        <w:t>Staffing Requirements</w:t>
      </w:r>
    </w:p>
    <w:p w14:paraId="17604A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Administrative Staff</w:t>
      </w:r>
    </w:p>
    <w:p w14:paraId="6406B1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program director at the licensed geographic location shall meet the qualifications as established in these provisions. The program director shall be responsible for the oversight and administration of the PACE provider.</w:t>
      </w:r>
    </w:p>
    <w:p w14:paraId="6FD1FD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Program Director Qualifications</w:t>
      </w:r>
    </w:p>
    <w:p w14:paraId="65EA08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program director shall have a high school diploma or equivalent. The program director shall meet the following requirements:</w:t>
      </w:r>
    </w:p>
    <w:p w14:paraId="5E4890F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have a bachelor’s degree, plus a minimum of four years of verifiable experience working in the fields of health, social services, geriatrics, management or administration providing services to the elderly; or</w:t>
      </w:r>
    </w:p>
    <w:p w14:paraId="20EE662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 lieu of a bachelor’s degree, eight years of administrative experience working in the fields of health, social services, geriatrics, management or administration providing services to the elderly; or</w:t>
      </w:r>
    </w:p>
    <w:p w14:paraId="74D14A1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master’s degree in geriatrics, social services, geriatrics, management or administration; or</w:t>
      </w:r>
    </w:p>
    <w:p w14:paraId="1C1369F6" w14:textId="77777777" w:rsidR="006E50FF" w:rsidRPr="006E50FF" w:rsidRDefault="006E50FF" w:rsidP="006E50FF">
      <w:pPr>
        <w:tabs>
          <w:tab w:val="left" w:pos="907"/>
        </w:tabs>
        <w:ind w:firstLine="547"/>
        <w:jc w:val="both"/>
        <w:outlineLvl w:val="5"/>
        <w:rPr>
          <w:kern w:val="2"/>
        </w:rPr>
      </w:pPr>
      <w:r w:rsidRPr="006E50FF">
        <w:rPr>
          <w:kern w:val="2"/>
        </w:rPr>
        <w:br w:type="page"/>
      </w:r>
    </w:p>
    <w:p w14:paraId="2FD4B88B" w14:textId="77777777" w:rsidR="006E50FF" w:rsidRPr="006E50FF" w:rsidRDefault="006E50FF" w:rsidP="006E50FF">
      <w:pPr>
        <w:tabs>
          <w:tab w:val="left" w:pos="907"/>
        </w:tabs>
        <w:ind w:firstLine="547"/>
        <w:jc w:val="both"/>
        <w:outlineLvl w:val="5"/>
        <w:rPr>
          <w:kern w:val="2"/>
        </w:rPr>
      </w:pPr>
      <w:r w:rsidRPr="006E50FF">
        <w:rPr>
          <w:kern w:val="2"/>
        </w:rPr>
        <w:lastRenderedPageBreak/>
        <w:t>d.</w:t>
      </w:r>
      <w:r w:rsidRPr="006E50FF">
        <w:rPr>
          <w:kern w:val="2"/>
        </w:rPr>
        <w:tab/>
        <w:t>be a licensed nursing facility administrator.</w:t>
      </w:r>
    </w:p>
    <w:p w14:paraId="0EB86C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Program Director Responsibilities. The program director shall:</w:t>
      </w:r>
    </w:p>
    <w:p w14:paraId="5426AF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employed or contracted as a full-time employee of the PACE provider;</w:t>
      </w:r>
    </w:p>
    <w:p w14:paraId="6B28D0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always be available in person or by telecommunication for all aspects of the PACE provider operation. The program director shall designate in writing a qualified individual to assume authority and control of the PACE provider if the program director is temporarily unavailable;</w:t>
      </w:r>
    </w:p>
    <w:p w14:paraId="17C4F5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direct operations of the PACE provider;</w:t>
      </w:r>
    </w:p>
    <w:p w14:paraId="7A0456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be responsible for compliance with all regulations, laws, policies, and procedures applicable to the PACE provider;</w:t>
      </w:r>
    </w:p>
    <w:p w14:paraId="137E2F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act as a liaison between staff, contract personnel and the governing body;</w:t>
      </w:r>
    </w:p>
    <w:p w14:paraId="6AFB7B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ensure that all staff receive proper orientation and training on policies and procedures, and participant care and services as necessary to fulfill each staff person’s responsibilities; and</w:t>
      </w:r>
    </w:p>
    <w:p w14:paraId="4CB9C1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ensure that services are delivered according to the participant’s plan of care.</w:t>
      </w:r>
    </w:p>
    <w:p w14:paraId="0D51CB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Medical Director</w:t>
      </w:r>
    </w:p>
    <w:p w14:paraId="15FB0F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employ or contract a medical director who is responsible for:</w:t>
      </w:r>
    </w:p>
    <w:p w14:paraId="5B9655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delivery of participant care;</w:t>
      </w:r>
    </w:p>
    <w:p w14:paraId="31613C7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clinical outcomes; and </w:t>
      </w:r>
    </w:p>
    <w:p w14:paraId="7A5975A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implementation, as well as oversight, of the quality improvement program.</w:t>
      </w:r>
    </w:p>
    <w:p w14:paraId="55043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Professional Services Staff</w:t>
      </w:r>
    </w:p>
    <w:p w14:paraId="1E92B0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employ, contract with, or ensure access to all necessary professional staff to meet the needs of each participant as identified in the participant’s plan of care. The professional staff may include, but not be limited to:</w:t>
      </w:r>
    </w:p>
    <w:p w14:paraId="7C77E4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licensed practical nurse(s);</w:t>
      </w:r>
    </w:p>
    <w:p w14:paraId="1E7647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registered nurse(s);</w:t>
      </w:r>
    </w:p>
    <w:p w14:paraId="3AA5EBE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speech therapist(s);</w:t>
      </w:r>
    </w:p>
    <w:p w14:paraId="0A57307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physical therapist(s);</w:t>
      </w:r>
    </w:p>
    <w:p w14:paraId="4DEC211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occupational therapist(s);</w:t>
      </w:r>
    </w:p>
    <w:p w14:paraId="76BF89C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master’s level social worker(s);</w:t>
      </w:r>
    </w:p>
    <w:p w14:paraId="2D16CB74"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registered dietitian(s); and</w:t>
      </w:r>
    </w:p>
    <w:p w14:paraId="5E87E15A"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recreational therapist(s) or activity coordinator(s).</w:t>
      </w:r>
    </w:p>
    <w:p w14:paraId="1DDD2D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center shall have an RN or LPN on the premises daily for at least eight hours or the number of hours the center is open, or during the time participants are present at the center, whichever is less.</w:t>
      </w:r>
    </w:p>
    <w:p w14:paraId="491774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PACE center shall have a master’s level social worker employed and on-site for at least 10 hours per week to provide social services.</w:t>
      </w:r>
    </w:p>
    <w:p w14:paraId="23D715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center shall have a recreational therapist or activity coordinator employed and on-site for at least 10 hours per week. They shall be responsible for carrying out the center’s individualized activity program for each participant.</w:t>
      </w:r>
    </w:p>
    <w:p w14:paraId="0D537A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Professional staff employed or contracted by the PACE provider shall hold a current, valid professional license in good standing issued by the appropriate licensing board.</w:t>
      </w:r>
    </w:p>
    <w:p w14:paraId="568C41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PACE provider shall maintain proof of annual verification of current professional licensure of all licensed professional staff.</w:t>
      </w:r>
    </w:p>
    <w:p w14:paraId="5DB4C5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professional services furnished or provided shall be furnished or provided in accordance with professional standards of practice, according to the scope of practice requirements for each licensed discipline.</w:t>
      </w:r>
    </w:p>
    <w:p w14:paraId="7B1A35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employ, either directly or through contract, adequate DCS to ensure the provision of services as required by each participant’s plan of care.</w:t>
      </w:r>
    </w:p>
    <w:p w14:paraId="377B65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ensure all non-licensed DCS, either contracted or employed, meet the minimum mandatory qualifications and requirements for direct service workers as required by R.S. 40:2179-40:2179.1 or a subsequently amended statute and any rules published pursuant to those statutes.</w:t>
      </w:r>
    </w:p>
    <w:p w14:paraId="13EEBE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DCS shall have the ability to read and write at a level that allows them:</w:t>
      </w:r>
    </w:p>
    <w:p w14:paraId="4917748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to understand the participant’s plan of care;</w:t>
      </w:r>
    </w:p>
    <w:p w14:paraId="23DF520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document services provided; and </w:t>
      </w:r>
    </w:p>
    <w:p w14:paraId="495A228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carry out directions competently as assigned.</w:t>
      </w:r>
    </w:p>
    <w:p w14:paraId="21EC06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DCS shall be determined to be free of active tuberculosis disease before engaging in direct participant contact.</w:t>
      </w:r>
    </w:p>
    <w:p w14:paraId="76B260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DCS shall be responsible for:</w:t>
      </w:r>
    </w:p>
    <w:p w14:paraId="34382D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providing personal assistance to the participant, according to the plan of care;</w:t>
      </w:r>
    </w:p>
    <w:p w14:paraId="6A3D2F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providing the direct personal assistance to the participant at the time and place assigned;</w:t>
      </w:r>
    </w:p>
    <w:p w14:paraId="484B59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reporting and communicating changes in a participant’s condition to a supervisor immediately upon discovery of the change; and</w:t>
      </w:r>
    </w:p>
    <w:p w14:paraId="0DBD6753"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4.</w:t>
      </w:r>
      <w:r w:rsidRPr="006E50FF">
        <w:rPr>
          <w:kern w:val="2"/>
        </w:rPr>
        <w:tab/>
        <w:t>reporting and communicating a participant’s request for services or change in services to a supervisor. This shall occur within 24 hours of the next business day of such request.</w:t>
      </w:r>
    </w:p>
    <w:p w14:paraId="363184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4A9FA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7EDE77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§4383.</w:t>
      </w:r>
      <w:r w:rsidRPr="006E50FF">
        <w:rPr>
          <w:b/>
          <w:kern w:val="2"/>
        </w:rPr>
        <w:tab/>
        <w:t>Incident and Accident Reports</w:t>
      </w:r>
    </w:p>
    <w:p w14:paraId="6CD640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complete incident reports to HSS for each center participant involved in the following occurrences:</w:t>
      </w:r>
    </w:p>
    <w:p w14:paraId="727796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accidents and injuries;</w:t>
      </w:r>
    </w:p>
    <w:p w14:paraId="70E2E8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occurrence that has the potential for affecting the welfare of any other participant;</w:t>
      </w:r>
    </w:p>
    <w:p w14:paraId="4BED70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elopement or attempted elopement;</w:t>
      </w:r>
    </w:p>
    <w:p w14:paraId="6F048B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when the whereabouts of a participant, expected to be at the center, is unknown; and</w:t>
      </w:r>
    </w:p>
    <w:p w14:paraId="1C5ED3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any suspected abuse, whether or not it occurred at the center.</w:t>
      </w:r>
    </w:p>
    <w:p w14:paraId="7CE645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Progress notes documented on the day of the incident shall indicate that an incident report has been written.</w:t>
      </w:r>
    </w:p>
    <w:p w14:paraId="290331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completed individual incident report shall be in the participant’s file. A separate copy of all such documentation shall be kept in the provider’s administrative file.</w:t>
      </w:r>
    </w:p>
    <w:p w14:paraId="7A885A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Incident reports shall include, at a minimum, the following information:</w:t>
      </w:r>
    </w:p>
    <w:p w14:paraId="5C0D6B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name of the participant or participants;</w:t>
      </w:r>
    </w:p>
    <w:p w14:paraId="09D00D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date and time of the incident;</w:t>
      </w:r>
    </w:p>
    <w:p w14:paraId="0DA715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detailed description of the incident;</w:t>
      </w:r>
    </w:p>
    <w:p w14:paraId="5DF49F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name(s) of witnesses to the incident and his or her statements; and</w:t>
      </w:r>
    </w:p>
    <w:p w14:paraId="0C94A9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description of the action taken by the center regarding the incident.</w:t>
      </w:r>
    </w:p>
    <w:p w14:paraId="3E49E1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Incident reports shall be reviewed by the director, his or her designee or a medical professional. Incident reports shall be reviewed within 24 hours of the occurrence. A qualified professional shall recommend action, in a timely manner, as indicated by the consequences of the incident.</w:t>
      </w:r>
    </w:p>
    <w:p w14:paraId="33599A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IDT members shall review all incident reports quarterly and recommend action as indicated to:</w:t>
      </w:r>
    </w:p>
    <w:p w14:paraId="0F8A83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ensure that the reports have all the required information;</w:t>
      </w:r>
    </w:p>
    <w:p w14:paraId="4FEBC6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identify staff training needs;</w:t>
      </w:r>
    </w:p>
    <w:p w14:paraId="2323EC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identify patterns that may indicate a need for changes in the center policies/practices; and</w:t>
      </w:r>
    </w:p>
    <w:p w14:paraId="3427DF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assist in identifying those participants:</w:t>
      </w:r>
    </w:p>
    <w:p w14:paraId="78C26FF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who may require changes in his or her plans of care; or </w:t>
      </w:r>
    </w:p>
    <w:p w14:paraId="564DB65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who may not be appropriately placed in the PACE center.</w:t>
      </w:r>
    </w:p>
    <w:p w14:paraId="7E59D5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report abuse, neglect, extortion, or exploitation of participants. Reporting shall be pursuant to the provisions of R.S. 15:1504-1505, R.S. 40:2009.20, and any subsequently enacted laws. Providers shall ensure that staff comply with these regulations.</w:t>
      </w:r>
    </w:p>
    <w:p w14:paraId="5765D5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8C943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C3E50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§4385.</w:t>
      </w:r>
      <w:r w:rsidRPr="006E50FF">
        <w:rPr>
          <w:b/>
          <w:kern w:val="2"/>
        </w:rPr>
        <w:tab/>
        <w:t>Infection Control</w:t>
      </w:r>
    </w:p>
    <w:p w14:paraId="5DAEB3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follow accepted infection control policies and standard procedures. The PACE provider shall include at a minimum the standard precautions developed by CDC.</w:t>
      </w:r>
    </w:p>
    <w:p w14:paraId="12308A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shall establish, implement, and maintain a documented infection control plan. The infection control plan utilizing acceptable standards of practice shall, at a minimum, meet the following requirements:</w:t>
      </w:r>
    </w:p>
    <w:p w14:paraId="6B4704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ensure a safe and sanitary environment; and</w:t>
      </w:r>
    </w:p>
    <w:p w14:paraId="1E7D96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prevent and control the transmission of disease and infection.</w:t>
      </w:r>
    </w:p>
    <w:p w14:paraId="52F82F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infection control plan shall include, but not be limited to, the following in every PACE center and in each participant's place of residence:</w:t>
      </w:r>
    </w:p>
    <w:p w14:paraId="16479B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procedures to:</w:t>
      </w:r>
    </w:p>
    <w:p w14:paraId="542005E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identify;</w:t>
      </w:r>
    </w:p>
    <w:p w14:paraId="6B8EE42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investigate;</w:t>
      </w:r>
    </w:p>
    <w:p w14:paraId="63D299D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control;</w:t>
      </w:r>
    </w:p>
    <w:p w14:paraId="2164641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prevent; and </w:t>
      </w:r>
    </w:p>
    <w:p w14:paraId="236156F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report infections;</w:t>
      </w:r>
    </w:p>
    <w:p w14:paraId="685154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procedures to record any incidents of infection; and</w:t>
      </w:r>
    </w:p>
    <w:p w14:paraId="132019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procedures to:</w:t>
      </w:r>
    </w:p>
    <w:p w14:paraId="517D8B2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analyze the incidents of infection to identify trends; and </w:t>
      </w:r>
    </w:p>
    <w:p w14:paraId="584F1A7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develop corrective actions related to the reduction of future incidents.</w:t>
      </w:r>
    </w:p>
    <w:p w14:paraId="6DB86C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71805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FA53EF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G.</w:t>
      </w:r>
      <w:r w:rsidRPr="006E50FF">
        <w:rPr>
          <w:b/>
          <w:kern w:val="2"/>
        </w:rPr>
        <w:tab/>
        <w:t>Enrollment and Disenrollment</w:t>
      </w:r>
    </w:p>
    <w:p w14:paraId="116D10C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85" w:name="_Toc314651783"/>
      <w:bookmarkStart w:id="686" w:name="_Toc317252127"/>
      <w:bookmarkStart w:id="687" w:name="_Toc409522608"/>
      <w:bookmarkStart w:id="688" w:name="_Toc152238588"/>
      <w:r w:rsidRPr="006E50FF">
        <w:rPr>
          <w:b/>
          <w:kern w:val="2"/>
        </w:rPr>
        <w:t>§4391.</w:t>
      </w:r>
      <w:bookmarkEnd w:id="685"/>
      <w:bookmarkEnd w:id="686"/>
      <w:bookmarkEnd w:id="687"/>
      <w:bookmarkEnd w:id="688"/>
      <w:r w:rsidRPr="006E50FF">
        <w:rPr>
          <w:b/>
          <w:kern w:val="2"/>
        </w:rPr>
        <w:tab/>
        <w:t>Enrollment</w:t>
      </w:r>
    </w:p>
    <w:p w14:paraId="202958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have a written description of its enrollment policies and criteria that shall include at a minimum:</w:t>
      </w:r>
    </w:p>
    <w:p w14:paraId="6D3973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enrollment policies and procedures;</w:t>
      </w:r>
    </w:p>
    <w:p w14:paraId="500A0D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legal status of the participants served;</w:t>
      </w:r>
    </w:p>
    <w:p w14:paraId="2CB0B8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age of the populations served; and</w:t>
      </w:r>
    </w:p>
    <w:p w14:paraId="12986F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services provided by the provider’s program(s).</w:t>
      </w:r>
    </w:p>
    <w:p w14:paraId="7CF760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enrollment information for individual participants shall include, but not be limited to:</w:t>
      </w:r>
    </w:p>
    <w:p w14:paraId="39464E8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participant's name, date of birth, home address, and telephone number;</w:t>
      </w:r>
    </w:p>
    <w:p w14:paraId="59408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name, address, and telephone number of the participant’s closest relative or friend;</w:t>
      </w:r>
    </w:p>
    <w:p w14:paraId="1B154C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brief social history that includes the participant's:</w:t>
      </w:r>
    </w:p>
    <w:p w14:paraId="1B2648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marital status;</w:t>
      </w:r>
    </w:p>
    <w:p w14:paraId="26A85AC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general health status;</w:t>
      </w:r>
    </w:p>
    <w:p w14:paraId="23AFFFA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education;</w:t>
      </w:r>
    </w:p>
    <w:p w14:paraId="31F0793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former occupation;</w:t>
      </w:r>
    </w:p>
    <w:p w14:paraId="71665BD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leisure-time interest; and </w:t>
      </w:r>
    </w:p>
    <w:p w14:paraId="7EDE176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existence of supportive family members or friends;</w:t>
      </w:r>
    </w:p>
    <w:p w14:paraId="2935A6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name, address, and telephone number of the participant's primary care provider; and</w:t>
      </w:r>
    </w:p>
    <w:p w14:paraId="0A2E8C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IDT assessments completed at the time of the participant's enrollment that include:</w:t>
      </w:r>
    </w:p>
    <w:p w14:paraId="36DE067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special dietary needs;</w:t>
      </w:r>
    </w:p>
    <w:p w14:paraId="7EAA244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prescribed medication;</w:t>
      </w:r>
    </w:p>
    <w:p w14:paraId="603F4C2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allergies;</w:t>
      </w:r>
    </w:p>
    <w:p w14:paraId="775863A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any limitations on activity;</w:t>
      </w:r>
    </w:p>
    <w:p w14:paraId="14F308E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degree to which the participant is ambulant;</w:t>
      </w:r>
    </w:p>
    <w:p w14:paraId="4AAA6C99"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visual or hearing limitations and/or other physical impairments;</w:t>
      </w:r>
    </w:p>
    <w:p w14:paraId="07151722"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apparent mental state or degree of confusion or alertness;</w:t>
      </w:r>
    </w:p>
    <w:p w14:paraId="4F2515E5"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the ability to control bowel or bladder;</w:t>
      </w:r>
    </w:p>
    <w:p w14:paraId="5CC5C1EA"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the ability to feed self;</w:t>
      </w:r>
    </w:p>
    <w:p w14:paraId="29AD120A"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the ability to dress self; and</w:t>
      </w:r>
    </w:p>
    <w:p w14:paraId="6F99CFEA"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the ability to self-administer medication.</w:t>
      </w:r>
    </w:p>
    <w:p w14:paraId="7ACA2C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written description of enrollment policies and criteria shall be made available to:</w:t>
      </w:r>
    </w:p>
    <w:p w14:paraId="391586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participant; and </w:t>
      </w:r>
    </w:p>
    <w:p w14:paraId="09D54F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his or her legal representative.</w:t>
      </w:r>
    </w:p>
    <w:p w14:paraId="576A69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not refuse to enroll any participant on the grounds of:</w:t>
      </w:r>
    </w:p>
    <w:p w14:paraId="286EEB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race;</w:t>
      </w:r>
    </w:p>
    <w:p w14:paraId="424ECE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sex; or </w:t>
      </w:r>
    </w:p>
    <w:p w14:paraId="644DFA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ethnic origin.</w:t>
      </w:r>
    </w:p>
    <w:p w14:paraId="1E96A55A"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E.</w:t>
      </w:r>
      <w:r w:rsidRPr="006E50FF">
        <w:rPr>
          <w:kern w:val="2"/>
        </w:rPr>
        <w:tab/>
        <w:t xml:space="preserve">The PACE provider shall not knowingly enroll any participant </w:t>
      </w:r>
      <w:r w:rsidRPr="006E50FF">
        <w:rPr>
          <w:color w:val="000000"/>
          <w:kern w:val="2"/>
        </w:rPr>
        <w:t>who engages in disruptive or threatening behavior such as:</w:t>
      </w:r>
    </w:p>
    <w:p w14:paraId="145233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participant whose behavior jeopardizes:</w:t>
      </w:r>
    </w:p>
    <w:p w14:paraId="3098469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his or her health or safety; or </w:t>
      </w:r>
    </w:p>
    <w:p w14:paraId="5CD8A94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safety of others; or</w:t>
      </w:r>
    </w:p>
    <w:p w14:paraId="7EE3F3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participant with decision-making capacity who consistently refuses to comply with:</w:t>
      </w:r>
    </w:p>
    <w:p w14:paraId="0A0ABB2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his or her individual plan of care; or </w:t>
      </w:r>
    </w:p>
    <w:p w14:paraId="58B9CB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terms of the PACE enrollment agreement; or</w:t>
      </w:r>
    </w:p>
    <w:p w14:paraId="6AC50B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participant with a caregiver who engages in disruptive or threatening behavior that jeopardizes:</w:t>
      </w:r>
    </w:p>
    <w:p w14:paraId="245F68D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participant's health or safety; or</w:t>
      </w:r>
    </w:p>
    <w:p w14:paraId="7B45AF3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safety of the caregiver or others.</w:t>
      </w:r>
    </w:p>
    <w:p w14:paraId="3B6074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89" w:name="_Toc314651784"/>
      <w:bookmarkStart w:id="690" w:name="_Toc317252128"/>
      <w:bookmarkStart w:id="691" w:name="_Toc409522609"/>
      <w:bookmarkStart w:id="692" w:name="_Toc152238589"/>
      <w:r w:rsidRPr="006E50FF">
        <w:rPr>
          <w:kern w:val="2"/>
          <w:sz w:val="18"/>
        </w:rPr>
        <w:t>AUTHORITY NOTE:</w:t>
      </w:r>
      <w:r w:rsidRPr="006E50FF">
        <w:rPr>
          <w:kern w:val="2"/>
          <w:sz w:val="18"/>
        </w:rPr>
        <w:tab/>
        <w:t>Promulgated in accordance with R.S. 36:254 and R.S. 40:2120.61 et seq.</w:t>
      </w:r>
    </w:p>
    <w:p w14:paraId="7E5A90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735AF9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§4393.</w:t>
      </w:r>
      <w:r w:rsidRPr="006E50FF">
        <w:rPr>
          <w:b/>
          <w:kern w:val="2"/>
        </w:rPr>
        <w:tab/>
        <w:t>Disenrollment</w:t>
      </w:r>
      <w:bookmarkEnd w:id="689"/>
      <w:bookmarkEnd w:id="690"/>
      <w:bookmarkEnd w:id="691"/>
      <w:bookmarkEnd w:id="692"/>
    </w:p>
    <w:p w14:paraId="042C13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have written policies and procedures governing voluntary and involuntary disenrollment.</w:t>
      </w:r>
    </w:p>
    <w:p w14:paraId="29E539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policy shall include the procedures for involuntary disenrollment due to a participant who engages in disruptive or threatening behavior. Disruptive or threatening behavior refers to a participant who exhibits either of the following:</w:t>
      </w:r>
    </w:p>
    <w:p w14:paraId="59CFCC7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behavior that jeopardizes his or her health or safety, or the safety of others; or</w:t>
      </w:r>
    </w:p>
    <w:p w14:paraId="13E4C06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consistently refuses to comply with his or her individual plan of care or the terms of the PACE enrollment agreement.</w:t>
      </w:r>
    </w:p>
    <w:p w14:paraId="49B55B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There shall be written documentation detailing the circumstances leading to any disenrollment.</w:t>
      </w:r>
    </w:p>
    <w:p w14:paraId="4D8F86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Prior to a planned disenrollment, the PACE provider’s IDT shall formulate an aftercare plan. The after-care plan shall specify needed supports and the resources available to the participant.</w:t>
      </w:r>
    </w:p>
    <w:p w14:paraId="1615FA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Upon disenrollment, the PACE provider shall provide a summary of the participant's health record to the person or agency responsible for the future planning and care of the participant. The disenrollment summary shall include:</w:t>
      </w:r>
    </w:p>
    <w:p w14:paraId="6443B4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medical diagnoses;</w:t>
      </w:r>
    </w:p>
    <w:p w14:paraId="146FD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medication regimen (current primary care provider’s orders);</w:t>
      </w:r>
    </w:p>
    <w:p w14:paraId="21CBF6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treatment regimen (current primary care provider’s orders);</w:t>
      </w:r>
    </w:p>
    <w:p w14:paraId="28C3EA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functional needs (inabilities);</w:t>
      </w:r>
    </w:p>
    <w:p w14:paraId="7EF990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any special equipment utilized (e.g. dentures, ambulatory aids, eyeglasses, etc.);</w:t>
      </w:r>
    </w:p>
    <w:p w14:paraId="473638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social needs;</w:t>
      </w:r>
    </w:p>
    <w:p w14:paraId="0633F9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financial resources; and</w:t>
      </w:r>
    </w:p>
    <w:p w14:paraId="12F0DB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any other information that will enable the receiving entity or caregivers to provide the continued necessary care without interruption.</w:t>
      </w:r>
    </w:p>
    <w:p w14:paraId="3D28D6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2B674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C9D643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§4395.</w:t>
      </w:r>
      <w:r w:rsidRPr="006E50FF">
        <w:rPr>
          <w:b/>
          <w:kern w:val="2"/>
        </w:rPr>
        <w:tab/>
        <w:t>Interdisciplinary Team</w:t>
      </w:r>
    </w:p>
    <w:p w14:paraId="0D1AA4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establish IDT at each PACE center. The IDT shall:</w:t>
      </w:r>
    </w:p>
    <w:p w14:paraId="522167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comprehensively assess the needs of each participant; and </w:t>
      </w:r>
    </w:p>
    <w:p w14:paraId="66858A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meet the individual needs of each participant.</w:t>
      </w:r>
    </w:p>
    <w:p w14:paraId="2C13EF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shall assign each participant to an IDT at the PACE center that the participant attends.</w:t>
      </w:r>
    </w:p>
    <w:p w14:paraId="13E2FE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65350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54EE45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§4397.</w:t>
      </w:r>
      <w:r w:rsidRPr="006E50FF">
        <w:rPr>
          <w:b/>
          <w:kern w:val="2"/>
        </w:rPr>
        <w:tab/>
        <w:t>Interdisciplinary Team Composition</w:t>
      </w:r>
    </w:p>
    <w:p w14:paraId="7E9BD092"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A.</w:t>
      </w:r>
      <w:r w:rsidRPr="006E50FF">
        <w:rPr>
          <w:kern w:val="2"/>
        </w:rPr>
        <w:tab/>
        <w:t xml:space="preserve">The IDT may be composed of either full-time staff members, contractual consultants, or a combination of both. The IDT shall be composed of members qualified to fill, at minimum, the roles identified in Subsection B of this Section, in accordance with CMS guidelines. </w:t>
      </w:r>
      <w:r w:rsidRPr="006E50FF">
        <w:rPr>
          <w:color w:val="000000"/>
          <w:kern w:val="2"/>
        </w:rPr>
        <w:t xml:space="preserve">One individual may fill two separate roles on the IDT where the individual meets applicable state licensure requirements. The individual shall be qualified to fill the two roles. The individual shall be able </w:t>
      </w:r>
      <w:r w:rsidRPr="006E50FF">
        <w:rPr>
          <w:color w:val="000000"/>
          <w:kern w:val="2"/>
        </w:rPr>
        <w:br w:type="column"/>
      </w:r>
      <w:r w:rsidRPr="006E50FF">
        <w:rPr>
          <w:color w:val="000000"/>
          <w:kern w:val="2"/>
        </w:rPr>
        <w:t>to provide appropriate care to meet the needs of participants.</w:t>
      </w:r>
    </w:p>
    <w:p w14:paraId="3A9D7C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IDT shall be composed of the following:</w:t>
      </w:r>
    </w:p>
    <w:p w14:paraId="46CBB5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primary care provider;</w:t>
      </w:r>
    </w:p>
    <w:p w14:paraId="0FF719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registered nurse;</w:t>
      </w:r>
    </w:p>
    <w:p w14:paraId="159445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master's-level social worker;</w:t>
      </w:r>
    </w:p>
    <w:p w14:paraId="7428BA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physical therapist;</w:t>
      </w:r>
    </w:p>
    <w:p w14:paraId="599784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 occupational therapist;</w:t>
      </w:r>
    </w:p>
    <w:p w14:paraId="24C855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recreational therapist or activity coordinator;</w:t>
      </w:r>
    </w:p>
    <w:p w14:paraId="3476AC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dietitian;</w:t>
      </w:r>
    </w:p>
    <w:p w14:paraId="47CE32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PACE center manager;</w:t>
      </w:r>
    </w:p>
    <w:p w14:paraId="4C8059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 home care coordinator;</w:t>
      </w:r>
    </w:p>
    <w:p w14:paraId="72F3EB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 personal care attendant or his or her representative; and</w:t>
      </w:r>
    </w:p>
    <w:p w14:paraId="129FDC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 driver or his or her representative.</w:t>
      </w:r>
    </w:p>
    <w:p w14:paraId="19D762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6EB288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67EED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§4399.</w:t>
      </w:r>
      <w:r w:rsidRPr="006E50FF">
        <w:rPr>
          <w:b/>
          <w:kern w:val="2"/>
        </w:rPr>
        <w:tab/>
        <w:t>Interdisciplinary Team Responsibilities</w:t>
      </w:r>
    </w:p>
    <w:p w14:paraId="3E7010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IDT shall be responsible for the following for each participant:</w:t>
      </w:r>
    </w:p>
    <w:p w14:paraId="6C335A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initial assessment, periodic reassessments, and plan of care;</w:t>
      </w:r>
    </w:p>
    <w:p w14:paraId="091D00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coordination and implementation of 24-hour care delivery. The care delivery shall meet participant needs across all care settings. The care delivery shall include, but not be limited to the following:</w:t>
      </w:r>
    </w:p>
    <w:p w14:paraId="38A8894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ordering, approving, or authorizing all necessary care;</w:t>
      </w:r>
    </w:p>
    <w:p w14:paraId="34A69E9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communicating all necessary care and relevant instructions for care;</w:t>
      </w:r>
    </w:p>
    <w:p w14:paraId="771FCD9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ensuring care is implemented as it was ordered, approved, or authorized by the IDT;</w:t>
      </w:r>
    </w:p>
    <w:p w14:paraId="1A20056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monitoring and evaluating the participant's condition to ensure that the care provided is effective and meets the participant's needs; and</w:t>
      </w:r>
    </w:p>
    <w:p w14:paraId="597C4CE8"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promptly modifying care when the IDT determines the participant's needs are not met to provide:</w:t>
      </w:r>
    </w:p>
    <w:p w14:paraId="109F503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safe care of the participant;</w:t>
      </w:r>
    </w:p>
    <w:p w14:paraId="4AD582C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appropriate care to the participant; and </w:t>
      </w:r>
    </w:p>
    <w:p w14:paraId="7C0717F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color w:val="000000"/>
          <w:kern w:val="2"/>
        </w:rPr>
      </w:pPr>
      <w:r w:rsidRPr="006E50FF">
        <w:rPr>
          <w:kern w:val="2"/>
        </w:rPr>
        <w:tab/>
        <w:t>iii.</w:t>
      </w:r>
      <w:r w:rsidRPr="006E50FF">
        <w:rPr>
          <w:kern w:val="2"/>
        </w:rPr>
        <w:tab/>
        <w:t xml:space="preserve">effective care to </w:t>
      </w:r>
      <w:r w:rsidRPr="006E50FF">
        <w:rPr>
          <w:color w:val="000000"/>
          <w:kern w:val="2"/>
        </w:rPr>
        <w:t>the participant; and</w:t>
      </w:r>
    </w:p>
    <w:p w14:paraId="372F02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r>
      <w:r w:rsidRPr="006E50FF">
        <w:rPr>
          <w:iCs/>
          <w:kern w:val="2"/>
        </w:rPr>
        <w:t>d</w:t>
      </w:r>
      <w:r w:rsidRPr="006E50FF">
        <w:rPr>
          <w:kern w:val="2"/>
        </w:rPr>
        <w:t>ocumenting all recommendations for care or services and the reason(s) for not approving or providing recommended care or services, if applicable. Documentation shall be in the participant’s medical record.</w:t>
      </w:r>
    </w:p>
    <w:p w14:paraId="216D68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B.</w:t>
      </w:r>
      <w:r w:rsidRPr="006E50FF">
        <w:rPr>
          <w:iCs/>
          <w:kern w:val="2"/>
        </w:rPr>
        <w:tab/>
      </w:r>
      <w:r w:rsidRPr="006E50FF">
        <w:rPr>
          <w:kern w:val="2"/>
        </w:rPr>
        <w:t>The IDT shall review, assess, and act on recommendations from emergency or urgent care providers, employees, and contractors, including medical specialists. Specifically, the IDT shall ensure the following requirements are met.</w:t>
      </w:r>
    </w:p>
    <w:p w14:paraId="7D5F80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appropriate member(s) of the IDT shall review all recommendations from hospitals, emergency departments, and urgent care providers and determine if the recommended services are necessary to meet the participant's medical, physical, social, or emotional needs as quickly as the participant's health condition requires. Such reviews shall occur no later than 48 hours from the time of the participant's discharge.</w:t>
      </w:r>
    </w:p>
    <w:p w14:paraId="53E3BCB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appropriate member(s) of the IDT shall review all recommendations from other employees and contractors and determine if the recommended services are necessary to meet the participant's medical, physical, social, or emotional </w:t>
      </w:r>
      <w:r w:rsidRPr="006E50FF">
        <w:rPr>
          <w:kern w:val="2"/>
        </w:rPr>
        <w:br w:type="page"/>
      </w:r>
      <w:r w:rsidRPr="006E50FF">
        <w:rPr>
          <w:kern w:val="2"/>
        </w:rPr>
        <w:lastRenderedPageBreak/>
        <w:t>needs as quickly as the participant's health condition requires. Such reviews shall occur no later than seven calendar days from the date the recommendation was made.</w:t>
      </w:r>
    </w:p>
    <w:p w14:paraId="62CC178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kern w:val="2"/>
        </w:rPr>
        <w:t>3.</w:t>
      </w:r>
      <w:r w:rsidRPr="006E50FF">
        <w:rPr>
          <w:kern w:val="2"/>
        </w:rPr>
        <w:tab/>
        <w:t xml:space="preserve">If recommendations are authorized or approved by the IDT or a member of the IDT, the services shall be promptly arranged and furnished as </w:t>
      </w:r>
      <w:r w:rsidRPr="006E50FF">
        <w:rPr>
          <w:color w:val="000000"/>
          <w:kern w:val="2"/>
        </w:rPr>
        <w:t>required by the conditions of the PACE agreement.</w:t>
      </w:r>
    </w:p>
    <w:p w14:paraId="4AAFFF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C.</w:t>
      </w:r>
      <w:r w:rsidRPr="006E50FF">
        <w:rPr>
          <w:color w:val="000000"/>
          <w:kern w:val="2"/>
        </w:rPr>
        <w:tab/>
      </w:r>
      <w:r w:rsidRPr="006E50FF">
        <w:rPr>
          <w:kern w:val="2"/>
        </w:rPr>
        <w:t>The PACE provider shall establish, implement, and maintain documented internal procedures governing the exchange of information between team members, contractors, and participants and his or her caregivers.</w:t>
      </w:r>
    </w:p>
    <w:p w14:paraId="5CEA6AD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D.</w:t>
      </w:r>
      <w:r w:rsidRPr="006E50FF">
        <w:rPr>
          <w:kern w:val="2"/>
        </w:rPr>
        <w:tab/>
        <w:t>The participant, and/or family members or legal or personal representative if appropriate, shall be involved in the IDT staffing and any other meeting involving the care needed by the participant while receiving services provided by the PACE provider.</w:t>
      </w:r>
    </w:p>
    <w:p w14:paraId="28122F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CBD8F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F3F52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§43101.</w:t>
      </w:r>
      <w:r w:rsidRPr="006E50FF">
        <w:rPr>
          <w:b/>
          <w:kern w:val="2"/>
        </w:rPr>
        <w:tab/>
        <w:t>Participant Assessment</w:t>
      </w:r>
    </w:p>
    <w:p w14:paraId="6B4F84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IDT shall conduct an initial in-person comprehensive assessment of each participant. The assessment shall be completed in a timely manner. The assessment shall meet the requirements in Subsection E and F of this Section.</w:t>
      </w:r>
    </w:p>
    <w:p w14:paraId="64A97D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As part of the initial comprehensive assessment, each of the following members of the IDT shall evaluate the participant in person and develop a discipline-specific assessment of the participant's health and social status:</w:t>
      </w:r>
    </w:p>
    <w:p w14:paraId="553FDE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primary care provider;</w:t>
      </w:r>
    </w:p>
    <w:p w14:paraId="0E46E5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registered nurse;</w:t>
      </w:r>
    </w:p>
    <w:p w14:paraId="50E90B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master’s-level social worker;</w:t>
      </w:r>
    </w:p>
    <w:p w14:paraId="176A5C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physical therapist;</w:t>
      </w:r>
    </w:p>
    <w:p w14:paraId="6679EC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 occupational therapist;</w:t>
      </w:r>
    </w:p>
    <w:p w14:paraId="6E7285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recreational therapist or activity coordinator;</w:t>
      </w:r>
    </w:p>
    <w:p w14:paraId="3A889B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dietician; and</w:t>
      </w:r>
    </w:p>
    <w:p w14:paraId="25AF61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home care coordinator.</w:t>
      </w:r>
    </w:p>
    <w:p w14:paraId="5435F0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At the recommendation of the IDT, other professional disciplines) may be included in the initial comprehensive assessment process. Other professional disciplines may include:</w:t>
      </w:r>
    </w:p>
    <w:p w14:paraId="344F3A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speech-language pathology;</w:t>
      </w:r>
    </w:p>
    <w:p w14:paraId="5E7A38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dentistry; or </w:t>
      </w:r>
    </w:p>
    <w:p w14:paraId="11DD7B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audiology.</w:t>
      </w:r>
    </w:p>
    <w:p w14:paraId="78D5B7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initial in-person comprehensive assessment shall at a minimum include the evaluation of:</w:t>
      </w:r>
    </w:p>
    <w:p w14:paraId="39EDA9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physical and cognitive function and ability;</w:t>
      </w:r>
    </w:p>
    <w:p w14:paraId="6D9430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medication use;</w:t>
      </w:r>
    </w:p>
    <w:p w14:paraId="69078F1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participant and caregiver preferences for care;</w:t>
      </w:r>
    </w:p>
    <w:p w14:paraId="620896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socialization and availability of family support;</w:t>
      </w:r>
    </w:p>
    <w:p w14:paraId="7E7556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current health status and treatment needs;</w:t>
      </w:r>
    </w:p>
    <w:p w14:paraId="7687EB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nutritional status;</w:t>
      </w:r>
    </w:p>
    <w:p w14:paraId="576DBE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home environment, including home access and egress;</w:t>
      </w:r>
    </w:p>
    <w:p w14:paraId="2826F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participant behavior;</w:t>
      </w:r>
    </w:p>
    <w:p w14:paraId="796BDB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psychosocial status;</w:t>
      </w:r>
    </w:p>
    <w:p w14:paraId="39C231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medical and dental status; and</w:t>
      </w:r>
    </w:p>
    <w:p w14:paraId="69FC0F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participant language.</w:t>
      </w:r>
    </w:p>
    <w:p w14:paraId="05F095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Within 30 calendar days of the date of enrollment, the IDT shall consolidate discipline-specific assessments into a single plan of care for each participant through:</w:t>
      </w:r>
    </w:p>
    <w:p w14:paraId="79955C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team discussions; and </w:t>
      </w:r>
    </w:p>
    <w:p w14:paraId="720B0B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consensus of the entire IDT.</w:t>
      </w:r>
    </w:p>
    <w:p w14:paraId="2CCF59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When developing the plan of care, if the IDT determines that certain services are not necessary for the care of a participant, the reasoning behind the determination shall be documented in the plan of care.</w:t>
      </w:r>
    </w:p>
    <w:p w14:paraId="29B915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On at least a semi-annual basis, or more often if a participant's condition dictates, the following members of the IDT shall conduct an in-person reassessment:</w:t>
      </w:r>
    </w:p>
    <w:p w14:paraId="3C7282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primary care provider;</w:t>
      </w:r>
    </w:p>
    <w:p w14:paraId="1016F1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registered nurse;</w:t>
      </w:r>
    </w:p>
    <w:p w14:paraId="5B360F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master's-level social worker; and</w:t>
      </w:r>
    </w:p>
    <w:p w14:paraId="4403E4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other team members, that the primary care provider, RN, and master's-level social worker determine are actively involved in the development or implementation of the participant's plan of care.</w:t>
      </w:r>
    </w:p>
    <w:p w14:paraId="6458FA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In addition to semi-annual reassessments, unscheduled reassessments may be required based on the following:</w:t>
      </w:r>
    </w:p>
    <w:p w14:paraId="447D3C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health or psychosocial status of a participant changes, the members of the IDT listed in Subsection B of this Section shall conduct an in-person reassessment.</w:t>
      </w:r>
    </w:p>
    <w:p w14:paraId="138EB4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accordance with the PACE agreement requirements, the PACE provider:</w:t>
      </w:r>
    </w:p>
    <w:p w14:paraId="64BE26B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shall conduct an in-person reassessment if it expects to deny or partially deny a service determination request; and </w:t>
      </w:r>
    </w:p>
    <w:p w14:paraId="6DE0AB9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may conduct reassessments as determined necessary for approved services.</w:t>
      </w:r>
    </w:p>
    <w:p w14:paraId="5F23FA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When the IDT conducts semiannual or unscheduled reassessments, the IDT shall reevaluate and, if necessary, revise the plan of care. Revisions shall be in accordance with the PACE agreement requirements following the completion of all required assessments.</w:t>
      </w:r>
    </w:p>
    <w:p w14:paraId="02482C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IDT members shall document all assessment and reassessment information in the participant's medical record.</w:t>
      </w:r>
    </w:p>
    <w:p w14:paraId="25E31A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47ADB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845103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strike/>
          <w:kern w:val="2"/>
        </w:rPr>
      </w:pPr>
      <w:r w:rsidRPr="006E50FF">
        <w:rPr>
          <w:b/>
          <w:kern w:val="2"/>
        </w:rPr>
        <w:t>§43103.</w:t>
      </w:r>
      <w:r w:rsidRPr="006E50FF">
        <w:rPr>
          <w:b/>
          <w:kern w:val="2"/>
        </w:rPr>
        <w:tab/>
        <w:t>Comprehensive Person-Centered Service Plan</w:t>
      </w:r>
    </w:p>
    <w:p w14:paraId="1C8C6B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Basic Requirements</w:t>
      </w:r>
    </w:p>
    <w:p w14:paraId="520F31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IDT members shall develop, evaluate, and if necessary, revise a comprehensive person-centered service plan (CPSP) for each participant.</w:t>
      </w:r>
    </w:p>
    <w:p w14:paraId="2BE004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CPSP shall do the following:</w:t>
      </w:r>
    </w:p>
    <w:p w14:paraId="4C0E87C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take into consideration the most current assessment findings; and</w:t>
      </w:r>
    </w:p>
    <w:p w14:paraId="647B8FF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identify services to be furnished to attain or maintain the participant's highest practicable level of well-being.</w:t>
      </w:r>
    </w:p>
    <w:p w14:paraId="734E08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Timeframes for Developing, Evaluating, and Revising the CPSP</w:t>
      </w:r>
    </w:p>
    <w:p w14:paraId="13AF1B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IDT shall complete the initial CPSP within 30 calendar days of the participant's date of enrollment.</w:t>
      </w:r>
    </w:p>
    <w:p w14:paraId="3FC885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least once every 180 calendar days from the date the latest CPSP was finalized, the IDT shall:</w:t>
      </w:r>
    </w:p>
    <w:p w14:paraId="0AB1413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complete a re-evaluation of each participant’s CPSP; and </w:t>
      </w:r>
    </w:p>
    <w:p w14:paraId="4D1F9B3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complete revisions to each participant's CPSP, if necessary.</w:t>
      </w:r>
    </w:p>
    <w:p w14:paraId="50919A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Except as specified in Paragraph C.4 of this Subsection, the IDT shall complete a re-evaluation of, and if necessary, revisions to a participant’s CPSP. This shall occur within 14 calendar days after the PACE provider determines, </w:t>
      </w:r>
      <w:r w:rsidRPr="006E50FF">
        <w:rPr>
          <w:kern w:val="2"/>
        </w:rPr>
        <w:lastRenderedPageBreak/>
        <w:t>or should have determined, that there has been a change in the participant's health or psychosocial status. Such re-evaluation shall occur more quickly if the participant's condition requires.</w:t>
      </w:r>
    </w:p>
    <w:p w14:paraId="7CD519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 participant is hospitalized within 14 calendar days of the change in participant status, the IDT shall complete a reevaluation of, and if necessary, revisions to the CPSP as quickly as the participant's condition requires. This shall occur no later than 14 calendar days after the date of discharge from the hospital.</w:t>
      </w:r>
    </w:p>
    <w:p w14:paraId="1632AE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At a minimum, each CPSP shall meet the following requirements:</w:t>
      </w:r>
    </w:p>
    <w:p w14:paraId="3157B4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identify all the participants' current medical, physical, emotional, and social needs. Needs shall include those associated with:</w:t>
      </w:r>
    </w:p>
    <w:p w14:paraId="0CA4F12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chronic diseases;</w:t>
      </w:r>
    </w:p>
    <w:p w14:paraId="2EC46FB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behavioral disorders; and </w:t>
      </w:r>
    </w:p>
    <w:p w14:paraId="40FE6D5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psychiatric disorders that require treatment or routine monitoring. </w:t>
      </w:r>
    </w:p>
    <w:p w14:paraId="7BB55C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address the following factors:</w:t>
      </w:r>
    </w:p>
    <w:p w14:paraId="77A5AA6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vision;</w:t>
      </w:r>
    </w:p>
    <w:p w14:paraId="298863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hearing;</w:t>
      </w:r>
    </w:p>
    <w:p w14:paraId="705762D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dental;</w:t>
      </w:r>
    </w:p>
    <w:p w14:paraId="6378677D"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skin integrity;</w:t>
      </w:r>
    </w:p>
    <w:p w14:paraId="1D27110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mobility;</w:t>
      </w:r>
    </w:p>
    <w:p w14:paraId="7EC54BF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physical functioning, including activities of daily living;</w:t>
      </w:r>
    </w:p>
    <w:p w14:paraId="71FFA6A1"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pain management;</w:t>
      </w:r>
    </w:p>
    <w:p w14:paraId="77A86A57"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nutrition, including access to meals that meet the participant's daily nutritional and special dietary needs;</w:t>
      </w:r>
    </w:p>
    <w:p w14:paraId="1304958D"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the participant's ability to live safely in his or her home environment and community;</w:t>
      </w:r>
    </w:p>
    <w:p w14:paraId="31EA0523"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home care;</w:t>
      </w:r>
    </w:p>
    <w:p w14:paraId="79D3CB0E"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center attendance;</w:t>
      </w:r>
    </w:p>
    <w:p w14:paraId="4D21D2E5"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transportation; and</w:t>
      </w:r>
    </w:p>
    <w:p w14:paraId="25A469F1" w14:textId="77777777" w:rsidR="006E50FF" w:rsidRPr="006E50FF" w:rsidRDefault="006E50FF" w:rsidP="006E50FF">
      <w:pPr>
        <w:tabs>
          <w:tab w:val="left" w:pos="907"/>
        </w:tabs>
        <w:ind w:firstLine="547"/>
        <w:jc w:val="both"/>
        <w:outlineLvl w:val="5"/>
        <w:rPr>
          <w:kern w:val="2"/>
        </w:rPr>
      </w:pPr>
      <w:r w:rsidRPr="006E50FF">
        <w:rPr>
          <w:kern w:val="2"/>
        </w:rPr>
        <w:t>m.</w:t>
      </w:r>
      <w:r w:rsidRPr="006E50FF">
        <w:rPr>
          <w:kern w:val="2"/>
        </w:rPr>
        <w:tab/>
        <w:t>communication, including any identified language barriers;</w:t>
      </w:r>
    </w:p>
    <w:p w14:paraId="2F8118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identify each care and service intervention required to meet each medical, physical, emotional, and social need;</w:t>
      </w:r>
    </w:p>
    <w:p w14:paraId="069E20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utilize the most appropriate interventions for each care need that advances the participant toward a measurable goal and outcome;</w:t>
      </w:r>
    </w:p>
    <w:p w14:paraId="7B4B66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identify how each intervention shall be implemented, including a timeframe for implementation;</w:t>
      </w:r>
    </w:p>
    <w:p w14:paraId="16B18F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identify a measurable goal for each intervention;</w:t>
      </w:r>
    </w:p>
    <w:p w14:paraId="34DF7F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identify how the goal for each intervention shall be evaluated to determine whether the intervention should be continued, discontinued, or modified; and</w:t>
      </w:r>
    </w:p>
    <w:p w14:paraId="7D24BF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the participant's preferences and goals of care.</w:t>
      </w:r>
    </w:p>
    <w:p w14:paraId="05C1B0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Implementation of the CPSP. The team shall continuously do the following:</w:t>
      </w:r>
    </w:p>
    <w:p w14:paraId="729694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implement, coordinate, and monitor the CPSP regardless of whether the services are furnished by PACE employees or contractors, across all care settings; and</w:t>
      </w:r>
    </w:p>
    <w:p w14:paraId="15D1BA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evaluate and monitor the participant's medical, physical, emotional, and social needs as well as the effectiveness of the plan of care, through:</w:t>
      </w:r>
    </w:p>
    <w:p w14:paraId="29EB1B0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provision of services;</w:t>
      </w:r>
    </w:p>
    <w:p w14:paraId="3B77E2E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informal observation;</w:t>
      </w:r>
    </w:p>
    <w:p w14:paraId="0148CD8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input from participants or caregivers; and</w:t>
      </w:r>
    </w:p>
    <w:p w14:paraId="610269F2" w14:textId="77777777" w:rsidR="006E50FF" w:rsidRPr="006E50FF" w:rsidRDefault="006E50FF" w:rsidP="006E50FF">
      <w:pPr>
        <w:tabs>
          <w:tab w:val="left" w:pos="907"/>
        </w:tabs>
        <w:ind w:firstLine="547"/>
        <w:jc w:val="both"/>
        <w:outlineLvl w:val="5"/>
        <w:rPr>
          <w:kern w:val="2"/>
        </w:rPr>
      </w:pPr>
      <w:r w:rsidRPr="006E50FF">
        <w:rPr>
          <w:kern w:val="2"/>
        </w:rPr>
        <w:br w:type="column"/>
      </w:r>
      <w:r w:rsidRPr="006E50FF">
        <w:rPr>
          <w:kern w:val="2"/>
        </w:rPr>
        <w:t>d.</w:t>
      </w:r>
      <w:r w:rsidRPr="006E50FF">
        <w:rPr>
          <w:kern w:val="2"/>
        </w:rPr>
        <w:tab/>
        <w:t>communications among members of the IDT and other employees or contractors.</w:t>
      </w:r>
    </w:p>
    <w:p w14:paraId="34A74C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Participant and Caregiver Involvement in the CPSP</w:t>
      </w:r>
    </w:p>
    <w:p w14:paraId="113FB1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IDT shall develop, evaluate, and revise each CPSP in collaboration with the participant, the participant's caregiver, or both.</w:t>
      </w:r>
    </w:p>
    <w:p w14:paraId="538F80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IDT shall review and discuss each plan of care with the participant or the participant's caregiver or both. This shall occur before the CPSP is completed to ensure that there is:</w:t>
      </w:r>
    </w:p>
    <w:p w14:paraId="434B363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agreement with the CPSP; and </w:t>
      </w:r>
    </w:p>
    <w:p w14:paraId="376BCE7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that the participant's concerns are addressed.</w:t>
      </w:r>
    </w:p>
    <w:p w14:paraId="3DDCC0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Documentation. The team shall do the following:</w:t>
      </w:r>
    </w:p>
    <w:p w14:paraId="58CE6E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Establish and implement a process to document and maintain records related to all requirements for CPSP in the participant's medical record.</w:t>
      </w:r>
    </w:p>
    <w:p w14:paraId="027CEB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Ensure that the most recent CPSP is available to all employees and contractors within the PACE provider as needed.</w:t>
      </w:r>
    </w:p>
    <w:p w14:paraId="0D6005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7C17C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4D773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§43105.</w:t>
      </w:r>
      <w:r w:rsidRPr="006E50FF">
        <w:rPr>
          <w:b/>
          <w:kern w:val="2"/>
        </w:rPr>
        <w:tab/>
        <w:t>Emergency Care</w:t>
      </w:r>
    </w:p>
    <w:p w14:paraId="287999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ensure emergency care is provided when services are needed immediately in accordance with 42 CFR 460.100. Immediate need may be because of an injury or sudden illness and the time required to reach the PACE provider or one of its contract providers would cause risk of permanent damage to the participant's health. Emergency services include inpatient and outpatient services that meet the following requirements:</w:t>
      </w:r>
    </w:p>
    <w:p w14:paraId="5C079D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are furnished by a qualified emergency services provider, other than the PACE provider or one of its contract providers, either in or out of the PACE provider's geographic service location; or</w:t>
      </w:r>
    </w:p>
    <w:p w14:paraId="2B2EC2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are needed to evaluate or stabilize an emergency medical condition.</w:t>
      </w:r>
    </w:p>
    <w:p w14:paraId="3BF6DD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B.</w:t>
      </w:r>
      <w:r w:rsidRPr="006E50FF">
        <w:rPr>
          <w:kern w:val="2"/>
        </w:rPr>
        <w:tab/>
        <w:t>Appropriate staff shall immediately notify the participant's primary care provider and the legal or personal representative of any:</w:t>
      </w:r>
    </w:p>
    <w:p w14:paraId="08938E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emergency;</w:t>
      </w:r>
    </w:p>
    <w:p w14:paraId="1FC947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change in condition; or </w:t>
      </w:r>
    </w:p>
    <w:p w14:paraId="07CE78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injury to the participant that occurs at the center.</w:t>
      </w:r>
    </w:p>
    <w:p w14:paraId="16E564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PACE provider shall have sufficient qualified and competent staff to respond to emergency medical situations.</w:t>
      </w:r>
    </w:p>
    <w:p w14:paraId="794CD8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Appropriate staff shall monitor and report to the program director, any medical emergency or significant change in:</w:t>
      </w:r>
    </w:p>
    <w:p w14:paraId="14278A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participant’s health; or </w:t>
      </w:r>
    </w:p>
    <w:p w14:paraId="4BEF5A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participant's functioning condition.</w:t>
      </w:r>
      <w:r w:rsidRPr="006E50FF">
        <w:rPr>
          <w:kern w:val="2"/>
        </w:rPr>
        <w:tab/>
      </w:r>
    </w:p>
    <w:p w14:paraId="38620D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 PACE provider shall have identification and emergency contact information on persons identified as having authority to make emergency medical decisions. This requirement is necessary in the case of the participant’s inability to do so independently.</w:t>
      </w:r>
    </w:p>
    <w:p w14:paraId="24A5A8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22BF8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BFA450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lastRenderedPageBreak/>
        <w:t>Subchapter H.</w:t>
      </w:r>
      <w:r w:rsidRPr="006E50FF">
        <w:rPr>
          <w:b/>
          <w:kern w:val="2"/>
        </w:rPr>
        <w:tab/>
        <w:t>Safety &amp; Emergency Preparedness</w:t>
      </w:r>
    </w:p>
    <w:p w14:paraId="7B37646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93" w:name="_Toc314651791"/>
      <w:bookmarkStart w:id="694" w:name="_Toc317252135"/>
      <w:bookmarkStart w:id="695" w:name="_Toc409522616"/>
      <w:bookmarkStart w:id="696" w:name="_Toc152238596"/>
      <w:r w:rsidRPr="006E50FF">
        <w:rPr>
          <w:b/>
          <w:kern w:val="2"/>
        </w:rPr>
        <w:t>§43109.</w:t>
      </w:r>
      <w:r w:rsidRPr="006E50FF">
        <w:rPr>
          <w:b/>
          <w:kern w:val="2"/>
        </w:rPr>
        <w:tab/>
        <w:t>General Safety Practices</w:t>
      </w:r>
      <w:bookmarkEnd w:id="693"/>
      <w:bookmarkEnd w:id="694"/>
      <w:bookmarkEnd w:id="695"/>
      <w:bookmarkEnd w:id="696"/>
    </w:p>
    <w:p w14:paraId="1713B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ensure that all poisonous, toxic, and flammable materials are safely stored in appropriate containers. The containers shall be labeled as to the contents. Such materials shall be:</w:t>
      </w:r>
    </w:p>
    <w:p w14:paraId="6A6751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maintained only as necessary; and </w:t>
      </w:r>
    </w:p>
    <w:p w14:paraId="18C0BD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used in such a manner as to ensure the safety of participants, staff, and visitors.</w:t>
      </w:r>
    </w:p>
    <w:p w14:paraId="353BADF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A PACE center shall meet the applicable provisions and shall proceed in accordance with the current life safety code standards.</w:t>
      </w:r>
    </w:p>
    <w:p w14:paraId="4D8CA5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7B448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A3EFC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§43111.</w:t>
      </w:r>
      <w:r w:rsidRPr="006E50FF">
        <w:rPr>
          <w:b/>
          <w:kern w:val="2"/>
        </w:rPr>
        <w:tab/>
        <w:t>Emergency Preparedness</w:t>
      </w:r>
    </w:p>
    <w:p w14:paraId="6D57E9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disaster or emergency may be a local, community-wide, regional, or statewide event. Disasters or emergencies may include, but are not limited to:</w:t>
      </w:r>
    </w:p>
    <w:p w14:paraId="60A09D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tornados;</w:t>
      </w:r>
    </w:p>
    <w:p w14:paraId="0CD690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fires;</w:t>
      </w:r>
    </w:p>
    <w:p w14:paraId="1E6C49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floods;</w:t>
      </w:r>
    </w:p>
    <w:p w14:paraId="3B42E8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hurricanes;</w:t>
      </w:r>
    </w:p>
    <w:p w14:paraId="10DC79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power outages;</w:t>
      </w:r>
    </w:p>
    <w:p w14:paraId="753077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chemical spills;</w:t>
      </w:r>
    </w:p>
    <w:p w14:paraId="5F71FD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biohazards;</w:t>
      </w:r>
    </w:p>
    <w:p w14:paraId="33095B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train wrecks; </w:t>
      </w:r>
    </w:p>
    <w:p w14:paraId="0906DB1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declared health crisis; or</w:t>
      </w:r>
    </w:p>
    <w:p w14:paraId="670EF8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active shooter situations.</w:t>
      </w:r>
    </w:p>
    <w:p w14:paraId="445326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 preparation for and response to emergencies and disasters, PACE providers shall:</w:t>
      </w:r>
    </w:p>
    <w:p w14:paraId="450040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ensure that each participant has a documented individual emergency preparedness plan (EPP); and </w:t>
      </w:r>
    </w:p>
    <w:p w14:paraId="35B44D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assist participants in identifying the specific resources available through family, friends, the neighborhood and the community.</w:t>
      </w:r>
    </w:p>
    <w:p w14:paraId="610248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have written disaster and EPPs that are based on a risk assessment. The written disaster and EPP shall use an all-hazards approach for both internal and external occurrences developed and approved by the governing body and updated annually.</w:t>
      </w:r>
    </w:p>
    <w:p w14:paraId="2FA2B3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written disaster and EPP shall be prepared in coordination with the PACE provider’s local and/or parish Office of Homeland Security and Emergency Preparedness (OHSEP). The written disaster and EPP shall include provisions for persons with disabilities.</w:t>
      </w:r>
    </w:p>
    <w:p w14:paraId="0FD7BC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written disaster and EPP shall be updated annually:</w:t>
      </w:r>
    </w:p>
    <w:p w14:paraId="6258E18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to maintain continuity of the PACE provider’s operations in preparation for, during, and after an emergency or disaster; and</w:t>
      </w:r>
    </w:p>
    <w:p w14:paraId="06CFEF7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to manage the consequences of all disasters or emergencies that disrupt the PACE provider’s ability to:</w:t>
      </w:r>
    </w:p>
    <w:p w14:paraId="7221E39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render care and treatment; or </w:t>
      </w:r>
    </w:p>
    <w:p w14:paraId="19252FB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threaten the lives or safety of the participants and staff.</w:t>
      </w:r>
      <w:r w:rsidRPr="006E50FF">
        <w:rPr>
          <w:kern w:val="2"/>
        </w:rPr>
        <w:tab/>
      </w:r>
    </w:p>
    <w:p w14:paraId="42A520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develop and implement policies and procedures based on the EPP, risk assessment, and communication plan. The policies and procedures shall be reviewed and updated at least annually.</w:t>
      </w:r>
    </w:p>
    <w:p w14:paraId="53D618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 later than the next business day, the PACE provider shall notify HSS if the PACE provider:</w:t>
      </w:r>
    </w:p>
    <w:p w14:paraId="5788D5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has an interruption in services; or </w:t>
      </w:r>
    </w:p>
    <w:p w14:paraId="378124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has a change in the licensed location due to an emergency.</w:t>
      </w:r>
    </w:p>
    <w:p w14:paraId="706BAC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follow and execute its EPP during the occurrence of a declared disaster or other emergency. The EPP shall include, at a minimum:</w:t>
      </w:r>
    </w:p>
    <w:p w14:paraId="6DCD05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provisions for the delivery of essential services to each participant as identified in the individualized emergency plan for each participant, whether the participant is in a shelter or other location;</w:t>
      </w:r>
    </w:p>
    <w:p w14:paraId="6D55FB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provisions for the management of staff, including provisions for adequate, qualified staff as well as for distribution and assignment of responsibilities and functions;</w:t>
      </w:r>
    </w:p>
    <w:p w14:paraId="16A3A2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for back-up staff;</w:t>
      </w:r>
    </w:p>
    <w:p w14:paraId="1EA5FB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method that the PACE provider shall utilize in notifying the participant’s family or caregiver if the participant is evacuated to another location. Evacuation may be made either by the provider or with the assistance or knowledge of the provider. This notification shall include:</w:t>
      </w:r>
    </w:p>
    <w:p w14:paraId="60B7FA9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date and approximate time that the PACE provider or participant is evacuating;</w:t>
      </w:r>
    </w:p>
    <w:p w14:paraId="0D149C9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place or location to which the participant(s) is evacuating which includes the name, address and telephone numbers; and</w:t>
      </w:r>
    </w:p>
    <w:p w14:paraId="6AC90A4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telephone number that the family or responsible representative may call for information regarding the provider’s evacuation;</w:t>
      </w:r>
    </w:p>
    <w:p w14:paraId="3D9B23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provisions for ensuring that sufficient supplies, medications, clothing and a copy of the individual service plan are sent with the participant, if the participant is evacuated; and</w:t>
      </w:r>
    </w:p>
    <w:p w14:paraId="03B08E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procedure or methods that shall be used to ensure that identification accompanies the participant. The identification shall include the following information:</w:t>
      </w:r>
    </w:p>
    <w:p w14:paraId="275D64C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current and active diagnoses;</w:t>
      </w:r>
    </w:p>
    <w:p w14:paraId="44EEE98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medication(s), including dosages and times administered;</w:t>
      </w:r>
    </w:p>
    <w:p w14:paraId="1C828AD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allergies;</w:t>
      </w:r>
    </w:p>
    <w:p w14:paraId="5715DC1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special dietary needs or restrictions; and</w:t>
      </w:r>
    </w:p>
    <w:p w14:paraId="7CA8FA6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next of kin, including contact information.</w:t>
      </w:r>
    </w:p>
    <w:p w14:paraId="799A32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review and update its EPP and each participant’s emergency plan at least annually.</w:t>
      </w:r>
    </w:p>
    <w:p w14:paraId="2B9156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PACE provider shall cooperate with the department and with the local or parish OHSEP if of an emergency or disaster. The PACE provider shall provide information as requested.</w:t>
      </w:r>
    </w:p>
    <w:p w14:paraId="01ACCD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The PACE provider shall monitor weather warnings, watches, and evacuation orders from local and state emergency preparedness officials.</w:t>
      </w:r>
    </w:p>
    <w:p w14:paraId="5D4A87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All agency employees, either contracted or staff, shall be trained in emergency or disaster preparedness. Training shall include:</w:t>
      </w:r>
    </w:p>
    <w:p w14:paraId="0F4ACF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orientation;</w:t>
      </w:r>
    </w:p>
    <w:p w14:paraId="440A24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ongoing training; and </w:t>
      </w:r>
    </w:p>
    <w:p w14:paraId="541E84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participation in planned drills for all personnel.</w:t>
      </w:r>
    </w:p>
    <w:p w14:paraId="31CEBC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Upon request by the department, the PACE provider shall submit a copy of its EPP and a written summary attesting how the EPP was followed and executed. The summary shall contain, at a minimum:</w:t>
      </w:r>
    </w:p>
    <w:p w14:paraId="63151C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pertinent EPP provisions and how the EPP was followed and executed;</w:t>
      </w:r>
    </w:p>
    <w:p w14:paraId="3BE7D0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EPP provisions that were not followed;</w:t>
      </w:r>
    </w:p>
    <w:p w14:paraId="472E28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reasons and mitigating circumstances for failure to follow and execute certain EPP provisions;</w:t>
      </w:r>
    </w:p>
    <w:p w14:paraId="50D003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contingency arrangements made for those EPP provisions not followed; and</w:t>
      </w:r>
    </w:p>
    <w:p w14:paraId="571D86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list of all injuries and deaths of participants that occurred during execution of the EPP, evacuation, or temporary relocation. The date, time, causes, and circumstances of the injuries and deaths shall be included.</w:t>
      </w:r>
    </w:p>
    <w:p w14:paraId="22ABE8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97" w:name="TOC_SubC61"/>
      <w:bookmarkStart w:id="698" w:name="_Toc314651792"/>
      <w:bookmarkStart w:id="699" w:name="_Toc317252136"/>
      <w:bookmarkStart w:id="700" w:name="_Toc409522617"/>
      <w:bookmarkStart w:id="701" w:name="_Toc152238597"/>
      <w:r w:rsidRPr="006E50FF">
        <w:rPr>
          <w:kern w:val="2"/>
          <w:sz w:val="18"/>
        </w:rPr>
        <w:t>AUTHORITY NOTE:</w:t>
      </w:r>
      <w:r w:rsidRPr="006E50FF">
        <w:rPr>
          <w:kern w:val="2"/>
          <w:sz w:val="18"/>
        </w:rPr>
        <w:tab/>
        <w:t>Promulgated in accordance with R.S. 36:254 and R.S. 40:2120.61 et seq.</w:t>
      </w:r>
    </w:p>
    <w:p w14:paraId="37F5F4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71B8D99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I.</w:t>
      </w:r>
      <w:bookmarkEnd w:id="697"/>
      <w:r w:rsidRPr="006E50FF">
        <w:rPr>
          <w:b/>
          <w:kern w:val="2"/>
        </w:rPr>
        <w:tab/>
      </w:r>
      <w:bookmarkStart w:id="702" w:name="TOCT_SubC61"/>
      <w:r w:rsidRPr="006E50FF">
        <w:rPr>
          <w:b/>
          <w:kern w:val="2"/>
        </w:rPr>
        <w:t>Physical Environment</w:t>
      </w:r>
      <w:bookmarkEnd w:id="698"/>
      <w:bookmarkEnd w:id="699"/>
      <w:bookmarkEnd w:id="700"/>
      <w:bookmarkEnd w:id="701"/>
      <w:bookmarkEnd w:id="702"/>
    </w:p>
    <w:p w14:paraId="5B7FF4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03" w:name="_Toc314651793"/>
      <w:bookmarkStart w:id="704" w:name="_Toc317252137"/>
      <w:bookmarkStart w:id="705" w:name="_Toc409522618"/>
      <w:bookmarkStart w:id="706" w:name="_Toc152238598"/>
      <w:r w:rsidRPr="006E50FF">
        <w:rPr>
          <w:b/>
          <w:kern w:val="2"/>
        </w:rPr>
        <w:t>§43117.</w:t>
      </w:r>
      <w:r w:rsidRPr="006E50FF">
        <w:rPr>
          <w:b/>
          <w:kern w:val="2"/>
        </w:rPr>
        <w:tab/>
        <w:t>General Appearance and Conditions</w:t>
      </w:r>
      <w:bookmarkEnd w:id="703"/>
      <w:bookmarkEnd w:id="704"/>
      <w:bookmarkEnd w:id="705"/>
      <w:bookmarkEnd w:id="706"/>
    </w:p>
    <w:p w14:paraId="56C86F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standards in this Subchapter shall apply to:</w:t>
      </w:r>
    </w:p>
    <w:p w14:paraId="62663C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PACE center constructed after the effective date of this Rule;</w:t>
      </w:r>
    </w:p>
    <w:p w14:paraId="073A26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alterations, additions, or substantial rehabilitation to an existing PACE center; or</w:t>
      </w:r>
    </w:p>
    <w:p w14:paraId="5CDB67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adaptation of an existing building to create a PACE center. Cosmetic changes to the PACE center shall not be considered an alteration or substantial rehabilitation. Cosmetic changes include painting, flooring replacement, or minor repairs.</w:t>
      </w:r>
    </w:p>
    <w:p w14:paraId="682D06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center shall submit architectural plans and construction documents to the OSFM. The regulations and codes governing new PACE centers also apply if and when the PACE center proposes to begin operation in a building not previously and continuously used as a PACE center licensed under these regulations.</w:t>
      </w:r>
    </w:p>
    <w:p w14:paraId="226979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project shall be designed in accordance with the following criteria:</w:t>
      </w:r>
    </w:p>
    <w:p w14:paraId="437462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requirements of the OSFM;</w:t>
      </w:r>
    </w:p>
    <w:p w14:paraId="62E866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Part XIV (plumbing) of the Sanitary Code (LAC 51), state of Louisiana; and</w:t>
      </w:r>
    </w:p>
    <w:p w14:paraId="08A07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current department licensing regulations for PACE centers.</w:t>
      </w:r>
    </w:p>
    <w:p w14:paraId="0F6A05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center shall present an attractive outside and inside appearance. The PACE center shall be designed, constructed, equipped, and maintained to provide for the physical safety of participants, personnel, and visitors. The PACE center shall ensure a safe, sanitary, functional, and accessible, and comfortable environment for the delivery of services.</w:t>
      </w:r>
    </w:p>
    <w:p w14:paraId="715A07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Illumination levels in all areas shall be adequate. Careful attention shall be given to avoid glare.</w:t>
      </w:r>
    </w:p>
    <w:p w14:paraId="25E66F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design shall facilitate the participant’s:</w:t>
      </w:r>
    </w:p>
    <w:p w14:paraId="1440920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movement throughout the center; and</w:t>
      </w:r>
    </w:p>
    <w:p w14:paraId="0C2E299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involvement in activities and services.</w:t>
      </w:r>
    </w:p>
    <w:p w14:paraId="61FEA8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Heating, cooling, and ventilation system(s) shall permit comfortable conditions.</w:t>
      </w:r>
    </w:p>
    <w:p w14:paraId="018E43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Sufficient furniture shall be available for usage by the entire participant population in attendance.</w:t>
      </w:r>
    </w:p>
    <w:p w14:paraId="49CF53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Furniture and equipment used by participants shall be:</w:t>
      </w:r>
    </w:p>
    <w:p w14:paraId="31C60EC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selected for comfort and safety; and</w:t>
      </w:r>
    </w:p>
    <w:p w14:paraId="1631246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appropriate for use by persons with:</w:t>
      </w:r>
    </w:p>
    <w:p w14:paraId="764E944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visual and mobility limitations; and</w:t>
      </w:r>
    </w:p>
    <w:p w14:paraId="3F9A5FB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other physical disabilities.</w:t>
      </w:r>
    </w:p>
    <w:p w14:paraId="20571B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Floors and steps shall have a non-slippery surface. Floors and steps shall be dry when in use by the participants. Doorways and passageways shall be kept clear to allow free and unhindered passage.</w:t>
      </w:r>
    </w:p>
    <w:p w14:paraId="48C492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PACE provider shall establish, implement, and maintain a written plan. The written plan shall ensure that all equipment is maintained in accordance with manufacturer’s recommendations.</w:t>
      </w:r>
    </w:p>
    <w:p w14:paraId="383D80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PACE provider shall perform the manufacturer’s recommended maintenance on all equipment as indicated in the provider’s written plan.</w:t>
      </w:r>
    </w:p>
    <w:p w14:paraId="2A7498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 PACE center shall have an entry and exit drive to and from the main building entrance. The entry and exit drive shall allow:</w:t>
      </w:r>
    </w:p>
    <w:p w14:paraId="5608B51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for picking up and dropping off participants; and </w:t>
      </w:r>
    </w:p>
    <w:p w14:paraId="2716FF6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for mail deliveries. </w:t>
      </w:r>
    </w:p>
    <w:p w14:paraId="384FFA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 PACE center licensed after the effective date of this Rule shall have a covered area at the building entrance. The covered area shall provide participants with protection from the weather.</w:t>
      </w:r>
    </w:p>
    <w:p w14:paraId="6F4B52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07" w:name="_Toc314651794"/>
      <w:bookmarkStart w:id="708" w:name="_Toc317252138"/>
      <w:bookmarkStart w:id="709" w:name="_Toc409522619"/>
      <w:bookmarkStart w:id="710" w:name="_Toc152238599"/>
      <w:r w:rsidRPr="006E50FF">
        <w:rPr>
          <w:kern w:val="2"/>
          <w:sz w:val="18"/>
        </w:rPr>
        <w:t>AUTHORITY NOTE:</w:t>
      </w:r>
      <w:r w:rsidRPr="006E50FF">
        <w:rPr>
          <w:kern w:val="2"/>
          <w:sz w:val="18"/>
        </w:rPr>
        <w:tab/>
        <w:t>Promulgated in accordance with R.S. 36:254 and R.S. 40:2120.61 et seq.</w:t>
      </w:r>
    </w:p>
    <w:p w14:paraId="37B663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B10BA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§43119.</w:t>
      </w:r>
      <w:r w:rsidRPr="006E50FF">
        <w:rPr>
          <w:b/>
          <w:kern w:val="2"/>
        </w:rPr>
        <w:tab/>
        <w:t>Waivers</w:t>
      </w:r>
    </w:p>
    <w:p w14:paraId="7BDCA2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new construction, additions, and renovations other than minor alterations, shall be in accordance with the specific requirements of the OSFM and the department, or its designee, who shall be responsible for the review and approval of architectural plans. Plans and specifications submitted to these offices shall be prepared by or under the direction of a licensed architect and/or a qualified licensed engineer and shall include scaled architectural plans stamped by an architect.</w:t>
      </w:r>
    </w:p>
    <w:p w14:paraId="5A426F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all new construction, additions, and renovations, PACE providers shall follow the 2014 Edition of the Facility Guidelines Institute, Guidelines for Design and Construction of Hospitals and Outpatient Facilities, as adopted by the OSFM for building and construction.</w:t>
      </w:r>
    </w:p>
    <w:p w14:paraId="41CE58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department’s secretary may, within his/her sole discretion, grant waivers to building and construction guidelines or requirements and to provisions of the licensing rules involving the clinical operation of the PACE center. The PACE provider shall submit a waiver request in writing to the department’s licensing section on forms prescribed by the department.</w:t>
      </w:r>
    </w:p>
    <w:p w14:paraId="24235DE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 the waiver request, the PACE center shall demonstrate the following:</w:t>
      </w:r>
    </w:p>
    <w:p w14:paraId="7BD6875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how patient health, safety, and welfare will not be compromised if such waiver is granted;</w:t>
      </w:r>
    </w:p>
    <w:p w14:paraId="7012EA5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how the quality of care offered will not be compromised if such waiver is granted; and</w:t>
      </w:r>
    </w:p>
    <w:p w14:paraId="20B4443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ability of the PACE center to completely fulfill all other requirements of the service, condition, or regulation.</w:t>
      </w:r>
    </w:p>
    <w:p w14:paraId="3EA92E7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department’s licensing section shall have each waiver request reviewed by an internal waiver review committee (WRC). In conducting such internal waiver review, the following shall apply:</w:t>
      </w:r>
    </w:p>
    <w:p w14:paraId="7B68988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WRC may consult subject matter experts, including the OSFM; and</w:t>
      </w:r>
    </w:p>
    <w:p w14:paraId="76B0FC5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WRC may require the PACE center to submit risk assessments or other documentation to the department.</w:t>
      </w:r>
    </w:p>
    <w:p w14:paraId="7ECE5CF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The director of the department’s licensing section shall submit the WRC’s recommendation on each waiver to </w:t>
      </w:r>
      <w:r w:rsidRPr="006E50FF">
        <w:rPr>
          <w:kern w:val="2"/>
        </w:rPr>
        <w:lastRenderedPageBreak/>
        <w:t>the secretary or the secretary’s designee for final determination.</w:t>
      </w:r>
    </w:p>
    <w:p w14:paraId="4DD1603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department shall issue a written decision about the waiver request to the PACE center. The granting of any waiver may be for a specific length of time.</w:t>
      </w:r>
    </w:p>
    <w:p w14:paraId="746450BA"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written decision of the waiver request is final. There is no right to an appeal of the decision of the waiver request.</w:t>
      </w:r>
    </w:p>
    <w:p w14:paraId="4779E55C"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If any waiver is granted, it is not transferable in an ownership change or change of location.</w:t>
      </w:r>
    </w:p>
    <w:p w14:paraId="2A60C294"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Waivers are subject to review and revocation upon any change of circumstance related to the waiver or upon a finding that the health, safety, or welfare of a patient may be compromised.</w:t>
      </w:r>
    </w:p>
    <w:p w14:paraId="5D157E8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CA40E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CC4C90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§43121.</w:t>
      </w:r>
      <w:r w:rsidRPr="006E50FF">
        <w:rPr>
          <w:b/>
          <w:kern w:val="2"/>
        </w:rPr>
        <w:tab/>
        <w:t>Space Requirements</w:t>
      </w:r>
      <w:bookmarkEnd w:id="707"/>
      <w:bookmarkEnd w:id="708"/>
      <w:bookmarkEnd w:id="709"/>
      <w:bookmarkEnd w:id="710"/>
    </w:p>
    <w:p w14:paraId="046203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have sufficient space and equipment to accommodate the full range of program activities and services.</w:t>
      </w:r>
    </w:p>
    <w:p w14:paraId="3F25FD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center shall include sufficient suitable space and equipment:</w:t>
      </w:r>
    </w:p>
    <w:p w14:paraId="2F6C0E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provide primary medical care;</w:t>
      </w:r>
    </w:p>
    <w:p w14:paraId="5F6EDA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to conduct team meetings; and</w:t>
      </w:r>
    </w:p>
    <w:p w14:paraId="3AAFF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to provide treatment, therapeutic recreation, restorative therapies, socialization, personal care, and dining.</w:t>
      </w:r>
    </w:p>
    <w:p w14:paraId="0AEE41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center shall be flexible and adaptable for:</w:t>
      </w:r>
    </w:p>
    <w:p w14:paraId="7147E5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large and small groups; and </w:t>
      </w:r>
    </w:p>
    <w:p w14:paraId="6E4A53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individual activities and services.</w:t>
      </w:r>
    </w:p>
    <w:p w14:paraId="346519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There shall be sufficient office space to permit staff to work effectively and without interruption.</w:t>
      </w:r>
    </w:p>
    <w:p w14:paraId="259983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There shall be adequate storage space for PACE program and operating supplies.</w:t>
      </w:r>
    </w:p>
    <w:p w14:paraId="0D5FAA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There shall be sufficient parking area available for:</w:t>
      </w:r>
    </w:p>
    <w:p w14:paraId="2A2A21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safe daily delivery of participants; and </w:t>
      </w:r>
    </w:p>
    <w:p w14:paraId="2D5C76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safe daily pick-up of participants.</w:t>
      </w:r>
    </w:p>
    <w:p w14:paraId="4F34FA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11" w:name="_Toc314651795"/>
      <w:bookmarkStart w:id="712" w:name="_Toc317252139"/>
      <w:bookmarkStart w:id="713" w:name="_Toc409522620"/>
      <w:bookmarkStart w:id="714" w:name="_Toc152238600"/>
      <w:r w:rsidRPr="006E50FF">
        <w:rPr>
          <w:kern w:val="2"/>
          <w:sz w:val="18"/>
        </w:rPr>
        <w:t>AUTHORITY NOTE:</w:t>
      </w:r>
      <w:r w:rsidRPr="006E50FF">
        <w:rPr>
          <w:kern w:val="2"/>
          <w:sz w:val="18"/>
        </w:rPr>
        <w:tab/>
        <w:t>Promulgated in accordance with R.S. 36:254 and R.S. 40:2120.61 et seq.</w:t>
      </w:r>
    </w:p>
    <w:p w14:paraId="3E76A1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829F64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§43123.</w:t>
      </w:r>
      <w:r w:rsidRPr="006E50FF">
        <w:rPr>
          <w:b/>
          <w:kern w:val="2"/>
        </w:rPr>
        <w:tab/>
        <w:t>PACE Center Furnishings</w:t>
      </w:r>
      <w:bookmarkEnd w:id="711"/>
      <w:bookmarkEnd w:id="712"/>
      <w:bookmarkEnd w:id="713"/>
      <w:bookmarkEnd w:id="714"/>
    </w:p>
    <w:p w14:paraId="2CDA2C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be furnished and equipped to meet the needs of the participants. All furnishings and equipment shall be kept clean and in good repair.</w:t>
      </w:r>
    </w:p>
    <w:p w14:paraId="48FA7B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Adequate furniture shall be available and shall be appropriate for use by the participants in terms of comfort and safety.</w:t>
      </w:r>
    </w:p>
    <w:p w14:paraId="4C5564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Dining area furnishings shall include tables and comfortable chairs. They shall be sufficient in number to serve all participants. Meals may be served either cafeteria style or directly at the table depending upon:</w:t>
      </w:r>
    </w:p>
    <w:p w14:paraId="02FB01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method of food preparation; or </w:t>
      </w:r>
    </w:p>
    <w:p w14:paraId="727F97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physical condition of the participants.</w:t>
      </w:r>
    </w:p>
    <w:p w14:paraId="23DCD3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the PACE center has a kitchen area, it shall:</w:t>
      </w:r>
    </w:p>
    <w:p w14:paraId="69A999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meet all health and sanitation requirements; and</w:t>
      </w:r>
    </w:p>
    <w:p w14:paraId="2A788D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of sufficient size to accommodate meal preparation for the proposed number of participants.</w:t>
      </w:r>
    </w:p>
    <w:p w14:paraId="6DDB84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There shall be sufficient toilet and hand-washing facilities to meet the needs of both males and females. The </w:t>
      </w:r>
      <w:r w:rsidRPr="006E50FF">
        <w:rPr>
          <w:kern w:val="2"/>
        </w:rPr>
        <w:br w:type="column"/>
      </w:r>
      <w:r w:rsidRPr="006E50FF">
        <w:rPr>
          <w:kern w:val="2"/>
        </w:rPr>
        <w:t>number of toilets and hand-washing facilities shall be not less than one for each 12 participants.</w:t>
      </w:r>
    </w:p>
    <w:p w14:paraId="197290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There shall be at least two toilet facilities when males and females are served.</w:t>
      </w:r>
    </w:p>
    <w:p w14:paraId="5B2BA8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Toilets and hand-washing facilities shall be equipped to be accessible for people with disabilities.</w:t>
      </w:r>
    </w:p>
    <w:p w14:paraId="34E759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There shall be a separate room or partitioned area for temporarily isolating a participant in case of illness. This room may be furnished with a bed or a recliner for the participant's use.</w:t>
      </w:r>
    </w:p>
    <w:p w14:paraId="2A4EEF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137B3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0FE7220" w14:textId="77777777" w:rsidR="006E50FF" w:rsidRPr="006E50FF" w:rsidRDefault="006E50FF" w:rsidP="006E50FF">
      <w:pPr>
        <w:keepNext/>
        <w:jc w:val="center"/>
        <w:rPr>
          <w:b/>
          <w:kern w:val="28"/>
        </w:rPr>
      </w:pPr>
      <w:r w:rsidRPr="006E50FF">
        <w:rPr>
          <w:b/>
          <w:kern w:val="28"/>
        </w:rPr>
        <w:t>Family Impact Statement</w:t>
      </w:r>
    </w:p>
    <w:p w14:paraId="7C6D06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7D8FCA11" w14:textId="77777777" w:rsidR="006E50FF" w:rsidRPr="006E50FF" w:rsidRDefault="006E50FF" w:rsidP="006E50FF">
      <w:pPr>
        <w:keepNext/>
        <w:jc w:val="center"/>
        <w:rPr>
          <w:b/>
          <w:kern w:val="28"/>
        </w:rPr>
      </w:pPr>
      <w:r w:rsidRPr="006E50FF">
        <w:rPr>
          <w:b/>
          <w:kern w:val="28"/>
        </w:rPr>
        <w:t>Poverty Impact Statement</w:t>
      </w:r>
    </w:p>
    <w:p w14:paraId="1047D8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2F383787" w14:textId="77777777" w:rsidR="006E50FF" w:rsidRPr="006E50FF" w:rsidRDefault="006E50FF" w:rsidP="006E50FF">
      <w:pPr>
        <w:keepNext/>
        <w:jc w:val="center"/>
        <w:rPr>
          <w:b/>
          <w:kern w:val="28"/>
        </w:rPr>
      </w:pPr>
      <w:r w:rsidRPr="006E50FF">
        <w:rPr>
          <w:b/>
          <w:kern w:val="28"/>
        </w:rPr>
        <w:t>Small Business Analysis</w:t>
      </w:r>
    </w:p>
    <w:p w14:paraId="1AB6F0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the staffing requirements or qualifications required to provide the same level of service. It is anticipated that implementation of this proposed Rule will decrease the amount of licensure costs paid by those PACE providers who currently provide PACE services, as the number of required licenses will decrease from two to one. It is further anticipated that this proposed Rule may result in survey or investigation costs to a PACE provider that is subject to a survey or investigation. The total decreased or increased costs is indeterminable since there is no way to estimate the number of PACE providers that may be impacted by this Rule.</w:t>
      </w:r>
    </w:p>
    <w:p w14:paraId="7734B8F5" w14:textId="77777777" w:rsidR="006E50FF" w:rsidRPr="006E50FF" w:rsidRDefault="006E50FF" w:rsidP="006E50FF">
      <w:pPr>
        <w:keepNext/>
        <w:jc w:val="center"/>
        <w:rPr>
          <w:b/>
          <w:kern w:val="28"/>
        </w:rPr>
      </w:pPr>
      <w:r w:rsidRPr="006E50FF">
        <w:rPr>
          <w:b/>
          <w:kern w:val="28"/>
        </w:rPr>
        <w:t>Provider Impact Statement</w:t>
      </w:r>
    </w:p>
    <w:p w14:paraId="3CA88F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have no impact on the staffing requirements or qualifications required to provide the same level of service. It is anticipated that implementation of this proposed Rule will decrease the amount of licensure costs paid by those PACE providers who currently provide PACE services, as the number of required licenses will decrease from two to one. It is further anticipated that this proposed Rule may result in survey or investigation costs to a PACE provider that is subject to a survey or investigation. The total decreased or increased costs is indeterminable since there is no way to estimate the number of PACE providers that may be impacted by this Rule.</w:t>
      </w:r>
    </w:p>
    <w:p w14:paraId="2987D635" w14:textId="77777777" w:rsidR="006E50FF" w:rsidRPr="006E50FF" w:rsidRDefault="006E50FF" w:rsidP="006E50FF">
      <w:pPr>
        <w:keepNext/>
        <w:jc w:val="center"/>
        <w:rPr>
          <w:b/>
          <w:kern w:val="28"/>
        </w:rPr>
      </w:pPr>
      <w:r w:rsidRPr="006E50FF">
        <w:rPr>
          <w:b/>
          <w:kern w:val="28"/>
        </w:rPr>
        <w:br w:type="page"/>
      </w:r>
    </w:p>
    <w:p w14:paraId="5B317456" w14:textId="77777777" w:rsidR="006E50FF" w:rsidRPr="006E50FF" w:rsidRDefault="006E50FF" w:rsidP="006E50FF">
      <w:pPr>
        <w:keepNext/>
        <w:jc w:val="center"/>
        <w:rPr>
          <w:b/>
          <w:kern w:val="28"/>
        </w:rPr>
      </w:pPr>
      <w:r w:rsidRPr="006E50FF">
        <w:rPr>
          <w:b/>
          <w:kern w:val="28"/>
        </w:rPr>
        <w:lastRenderedPageBreak/>
        <w:t>Public Comments</w:t>
      </w:r>
    </w:p>
    <w:p w14:paraId="1348F3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Ms. Cecile Castello, Health Standards Section, Post Office Box 3767, Baton Rouge, LA 70821. Ms. Castello is responsible for responding to inquiries regarding this proposed Rule. The deadline for submitting written comments is 4:30 p.m. on October 23, 2026.</w:t>
      </w:r>
    </w:p>
    <w:p w14:paraId="70A75500" w14:textId="77777777" w:rsidR="006E50FF" w:rsidRPr="006E50FF" w:rsidRDefault="006E50FF" w:rsidP="006E50FF">
      <w:pPr>
        <w:keepNext/>
        <w:jc w:val="center"/>
        <w:rPr>
          <w:b/>
          <w:kern w:val="28"/>
        </w:rPr>
      </w:pPr>
      <w:r w:rsidRPr="006E50FF">
        <w:rPr>
          <w:b/>
          <w:kern w:val="28"/>
        </w:rPr>
        <w:t>Public Hearing</w:t>
      </w:r>
    </w:p>
    <w:p w14:paraId="5E74E0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49:961(B)(1) are satisfied, LDH will conduct a public hearing at 9:30 a.m. on October 22, 2026, in Room 118 of the Bienville Building, which is located at 628 North Fourth Street, Baton Rouge, LA. To confirm whether a public hearing will be held, interested persons should first call Allen Enger at (225) 342-1342 after October 6, 2026. If a public hearing is to be held, all interested persons are invited to attend and present data, views, comments, or arguments, orally or in writing.</w:t>
      </w:r>
    </w:p>
    <w:p w14:paraId="44E4DA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A91FB03" w14:textId="77777777" w:rsidR="006E50FF" w:rsidRPr="006E50FF" w:rsidRDefault="006E50FF" w:rsidP="006E50FF">
      <w:pPr>
        <w:keepNext/>
        <w:ind w:left="2160"/>
        <w:jc w:val="both"/>
      </w:pPr>
      <w:r w:rsidRPr="006E50FF">
        <w:t>Bruce D. Greenstein</w:t>
      </w:r>
    </w:p>
    <w:p w14:paraId="6D576AB1" w14:textId="77777777" w:rsidR="006E50FF" w:rsidRPr="006E50FF" w:rsidRDefault="006E50FF" w:rsidP="006E50FF">
      <w:pPr>
        <w:keepNext/>
        <w:ind w:left="2160"/>
        <w:jc w:val="both"/>
      </w:pPr>
      <w:r w:rsidRPr="006E50FF">
        <w:t>Secretary</w:t>
      </w:r>
    </w:p>
    <w:p w14:paraId="4DA508E1" w14:textId="77777777" w:rsidR="006E50FF" w:rsidRPr="006E50FF" w:rsidRDefault="006E50FF" w:rsidP="006E50FF">
      <w:pPr>
        <w:keepNext/>
        <w:jc w:val="center"/>
        <w:rPr>
          <w:b/>
        </w:rPr>
      </w:pPr>
    </w:p>
    <w:p w14:paraId="4F526DE3" w14:textId="77777777" w:rsidR="006E50FF" w:rsidRPr="006E50FF" w:rsidRDefault="006E50FF" w:rsidP="006E50FF">
      <w:pPr>
        <w:keepNext/>
        <w:jc w:val="center"/>
        <w:rPr>
          <w:b/>
        </w:rPr>
      </w:pPr>
      <w:r w:rsidRPr="006E50FF">
        <w:rPr>
          <w:b/>
        </w:rPr>
        <w:t>FISCAL AND ECONOMIC IMPACT STATEMENT FOR ADMINISTRATIVE RULES</w:t>
      </w:r>
    </w:p>
    <w:p w14:paraId="284E889D" w14:textId="77777777" w:rsidR="006E50FF" w:rsidRPr="006E50FF" w:rsidRDefault="006E50FF" w:rsidP="006E50FF">
      <w:pPr>
        <w:keepNext/>
        <w:jc w:val="center"/>
        <w:rPr>
          <w:b/>
          <w:noProof/>
        </w:rPr>
      </w:pPr>
      <w:r w:rsidRPr="006E50FF">
        <w:rPr>
          <w:b/>
          <w:noProof/>
        </w:rPr>
        <w:t>RULE TITLE:  Program for All-Inclusive Care of the Elderly—Licensing Standards</w:t>
      </w:r>
    </w:p>
    <w:p w14:paraId="67DBBF2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4405BD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410DEF6"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have no programmatic fiscal impact on the costs of the state or local governmental units other than the cost of promulgation in FY 27. It is anticipated that $8,308 SGR will be expended in FY 27 for the state's administrative expense for promulgation of this proposed rule and the final rule.</w:t>
      </w:r>
    </w:p>
    <w:p w14:paraId="76466DB0" w14:textId="77777777" w:rsidR="006E50FF" w:rsidRPr="006E50FF" w:rsidRDefault="006E50FF" w:rsidP="006E50FF">
      <w:pPr>
        <w:ind w:left="288" w:firstLine="288"/>
        <w:jc w:val="both"/>
        <w:rPr>
          <w:sz w:val="18"/>
        </w:rPr>
      </w:pPr>
      <w:r w:rsidRPr="006E50FF">
        <w:rPr>
          <w:sz w:val="18"/>
        </w:rPr>
        <w:t>This proposed rule adopts the minimum licensing standards for the program for all-inclusive care of the elderly (PACE).</w:t>
      </w:r>
    </w:p>
    <w:p w14:paraId="06EAEF7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DF1DC94" w14:textId="77777777" w:rsidR="006E50FF" w:rsidRPr="006E50FF" w:rsidRDefault="006E50FF" w:rsidP="006E50FF">
      <w:pPr>
        <w:ind w:left="288" w:firstLine="288"/>
        <w:jc w:val="both"/>
        <w:rPr>
          <w:sz w:val="18"/>
        </w:rPr>
      </w:pPr>
      <w:r w:rsidRPr="006E50FF">
        <w:rPr>
          <w:sz w:val="18"/>
        </w:rPr>
        <w:t>It is anticipated that the amount of revenue collected in licensure fees paid by those providers who currently provide PACE services may decrease, as the number of required licenses will decrease from two to one. It is further anticipated that the amount of revenue collected may increase because of survey or investigation fees assessed to a PACE provider should that provider be subject to a survey or investigation. The total of decreased or increased fees is indeterminable since there is no way to estimate the number of PACE providers that may be impacted by this rule.</w:t>
      </w:r>
    </w:p>
    <w:p w14:paraId="42A821F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72CA314" w14:textId="77777777" w:rsidR="006E50FF" w:rsidRPr="006E50FF" w:rsidRDefault="006E50FF" w:rsidP="006E50FF">
      <w:pPr>
        <w:ind w:left="288" w:firstLine="288"/>
        <w:jc w:val="both"/>
        <w:rPr>
          <w:sz w:val="18"/>
        </w:rPr>
      </w:pPr>
      <w:r w:rsidRPr="006E50FF">
        <w:rPr>
          <w:sz w:val="18"/>
        </w:rPr>
        <w:t>It is anticipated that implementation of this proposed Rule will decrease the amount of licensure costs paid by those PACE providers who currently provide PACE services, as the number of required licenses will decrease from two to one. It is further anticipated that this proposed Rule may result in survey or investigation costs to a PACE provider that is subject to a survey or investigation. The total decreased or increased costs is indeterminable since there is no way to estimate the number of PACE providers that may be impacted by this rule.</w:t>
      </w:r>
    </w:p>
    <w:p w14:paraId="16790AA3"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C99D6EC" w14:textId="77777777" w:rsidR="006E50FF" w:rsidRPr="006E50FF" w:rsidRDefault="006E50FF" w:rsidP="006E50FF">
      <w:pPr>
        <w:ind w:left="288" w:firstLine="288"/>
        <w:jc w:val="both"/>
        <w:rPr>
          <w:sz w:val="18"/>
        </w:rPr>
      </w:pPr>
      <w:r w:rsidRPr="006E50FF">
        <w:rPr>
          <w:sz w:val="18"/>
        </w:rPr>
        <w:t>It is anticipated that this proposed rule will not have an impact on competition and employment.</w:t>
      </w:r>
    </w:p>
    <w:p w14:paraId="74D6EF0D" w14:textId="77777777" w:rsidR="006E50FF" w:rsidRPr="006E50FF" w:rsidRDefault="006E50FF" w:rsidP="006E50FF">
      <w:pPr>
        <w:ind w:left="288" w:firstLine="288"/>
        <w:jc w:val="both"/>
        <w:rPr>
          <w:sz w:val="18"/>
        </w:rPr>
      </w:pPr>
    </w:p>
    <w:p w14:paraId="749DC553" w14:textId="77777777" w:rsidR="006E50FF" w:rsidRPr="006E50FF" w:rsidRDefault="006E50FF" w:rsidP="006E50FF">
      <w:pPr>
        <w:tabs>
          <w:tab w:val="left" w:pos="2880"/>
          <w:tab w:val="decimal" w:pos="2988"/>
        </w:tabs>
        <w:outlineLvl w:val="8"/>
        <w:rPr>
          <w:kern w:val="2"/>
          <w:sz w:val="18"/>
        </w:rPr>
      </w:pPr>
      <w:r w:rsidRPr="006E50FF">
        <w:rPr>
          <w:kern w:val="2"/>
          <w:sz w:val="18"/>
        </w:rPr>
        <w:t>Cecile Castello, RN</w:t>
      </w:r>
      <w:r w:rsidRPr="006E50FF">
        <w:rPr>
          <w:kern w:val="2"/>
          <w:sz w:val="18"/>
        </w:rPr>
        <w:tab/>
        <w:t>Alan M. Boxberger</w:t>
      </w:r>
    </w:p>
    <w:p w14:paraId="63A7E7E1"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Secretary</w:t>
      </w:r>
      <w:r w:rsidRPr="006E50FF">
        <w:rPr>
          <w:kern w:val="2"/>
          <w:sz w:val="18"/>
        </w:rPr>
        <w:tab/>
        <w:t>Legislative Fiscal Officer</w:t>
      </w:r>
    </w:p>
    <w:p w14:paraId="3B777DC7" w14:textId="77777777" w:rsidR="006E50FF" w:rsidRPr="006E50FF" w:rsidRDefault="006E50FF" w:rsidP="006E50FF">
      <w:pPr>
        <w:tabs>
          <w:tab w:val="left" w:pos="2880"/>
          <w:tab w:val="decimal" w:pos="2988"/>
        </w:tabs>
        <w:outlineLvl w:val="8"/>
        <w:rPr>
          <w:kern w:val="2"/>
          <w:sz w:val="18"/>
        </w:rPr>
      </w:pPr>
      <w:r w:rsidRPr="006E50FF">
        <w:rPr>
          <w:noProof/>
          <w:sz w:val="16"/>
        </w:rPr>
        <w:t>2609#058</w:t>
      </w:r>
      <w:r w:rsidRPr="006E50FF">
        <w:rPr>
          <w:kern w:val="2"/>
        </w:rPr>
        <w:tab/>
      </w:r>
      <w:r w:rsidRPr="006E50FF">
        <w:rPr>
          <w:kern w:val="2"/>
          <w:sz w:val="18"/>
        </w:rPr>
        <w:t>Legislative Fiscal Office</w:t>
      </w:r>
    </w:p>
    <w:p w14:paraId="7221095E" w14:textId="77777777" w:rsidR="006E50FF" w:rsidRPr="006E50FF" w:rsidRDefault="006E50FF" w:rsidP="006E50FF"/>
    <w:p w14:paraId="78713F53"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2B974DD0" w14:textId="77777777" w:rsidR="006E50FF" w:rsidRPr="006E50FF" w:rsidRDefault="006E50FF" w:rsidP="006E50FF">
      <w:pPr>
        <w:keepNext/>
        <w:jc w:val="center"/>
        <w:rPr>
          <w:b/>
          <w:noProof/>
        </w:rPr>
      </w:pPr>
      <w:r w:rsidRPr="006E50FF">
        <w:rPr>
          <w:b/>
          <w:noProof/>
        </w:rPr>
        <w:t>Department of Health</w:t>
      </w:r>
    </w:p>
    <w:p w14:paraId="6690E560" w14:textId="77777777" w:rsidR="006E50FF" w:rsidRPr="006E50FF" w:rsidRDefault="006E50FF" w:rsidP="006E50FF">
      <w:pPr>
        <w:keepNext/>
        <w:jc w:val="center"/>
        <w:rPr>
          <w:b/>
          <w:noProof/>
        </w:rPr>
      </w:pPr>
      <w:r w:rsidRPr="006E50FF">
        <w:rPr>
          <w:b/>
          <w:noProof/>
        </w:rPr>
        <w:t>Radiologic Technology Board of Examiners</w:t>
      </w:r>
    </w:p>
    <w:p w14:paraId="5FBC7248" w14:textId="77777777" w:rsidR="006E50FF" w:rsidRPr="006E50FF" w:rsidRDefault="006E50FF" w:rsidP="006E50FF">
      <w:pPr>
        <w:keepNext/>
        <w:spacing w:before="240" w:after="240"/>
        <w:jc w:val="center"/>
        <w:rPr>
          <w:noProof/>
        </w:rPr>
      </w:pPr>
      <w:r w:rsidRPr="006E50FF">
        <w:rPr>
          <w:noProof/>
        </w:rPr>
        <w:t>Radiologic Technologists</w:t>
      </w:r>
      <w:r w:rsidRPr="006E50FF">
        <w:rPr>
          <w:noProof/>
        </w:rPr>
        <w:br/>
        <w:t>(LAC 46:LXVI.Chapters 1, 3, 7, 9, 11, 12, 13, and 15)</w:t>
      </w:r>
    </w:p>
    <w:p w14:paraId="5B792F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that the Radiologic Technology Board of Examiners, pursuant to the authority of the Louisiana R.S. 37:3207 et seq., and in accordance with the provisions of the Louisiana Administrative Procedures Act, R.S. 49:950 et seq., intends to amend its rules </w:t>
      </w:r>
      <w:r w:rsidRPr="006E50FF">
        <w:rPr>
          <w:color w:val="000000"/>
          <w:kern w:val="2"/>
        </w:rPr>
        <w:t>governing the practice of Radiologic Technology to establish Radiologist Assistants as a distinct licensure category within the profession. The proposed amendments update and clarify existing regulatory language to reflect processes, procedures, professional standards, and administrative practices related to licensure, and scope of practice. Additionally, the board proposes amendments to its rules governing fees and expenses. These revisions are intended to update and clarify the board’s fee structure and administrative procedures associated with licensure and regulatory operations.</w:t>
      </w:r>
      <w:r w:rsidRPr="006E50FF">
        <w:rPr>
          <w:kern w:val="2"/>
        </w:rPr>
        <w:t xml:space="preserve"> </w:t>
      </w:r>
      <w:r w:rsidRPr="006E50FF">
        <w:rPr>
          <w:color w:val="000000"/>
          <w:kern w:val="2"/>
        </w:rPr>
        <w:t>The proposed Rule changes governing fees are promulgated pursuant to R.S. 37:3218, which authorizes the board to establish and collect reasonable fees for the issuance, renewal, reinstatement, or administration of licenses and permits and other administrative functions provided for under the Chapter. The amendments are intended to ensure the board’s rules remain consistent with statutory authority, operational needs, and professional and regulatory standards.</w:t>
      </w:r>
    </w:p>
    <w:p w14:paraId="531707E3" w14:textId="77777777" w:rsidR="006E50FF" w:rsidRPr="006E50FF" w:rsidRDefault="006E50FF" w:rsidP="006E50FF">
      <w:pPr>
        <w:keepNext/>
        <w:jc w:val="center"/>
        <w:rPr>
          <w:b/>
          <w:kern w:val="28"/>
        </w:rPr>
      </w:pPr>
      <w:r w:rsidRPr="006E50FF">
        <w:rPr>
          <w:b/>
          <w:kern w:val="28"/>
        </w:rPr>
        <w:t>Title 46</w:t>
      </w:r>
    </w:p>
    <w:p w14:paraId="3596748B" w14:textId="77777777" w:rsidR="006E50FF" w:rsidRPr="006E50FF" w:rsidRDefault="006E50FF" w:rsidP="006E50FF">
      <w:pPr>
        <w:keepNext/>
        <w:jc w:val="center"/>
        <w:rPr>
          <w:b/>
          <w:kern w:val="28"/>
        </w:rPr>
      </w:pPr>
      <w:r w:rsidRPr="006E50FF">
        <w:rPr>
          <w:b/>
          <w:kern w:val="28"/>
        </w:rPr>
        <w:t>Professional and Occupational Standards</w:t>
      </w:r>
    </w:p>
    <w:p w14:paraId="6801D39B" w14:textId="77777777" w:rsidR="006E50FF" w:rsidRPr="006E50FF" w:rsidRDefault="006E50FF" w:rsidP="006E50FF">
      <w:pPr>
        <w:keepNext/>
        <w:jc w:val="center"/>
        <w:rPr>
          <w:b/>
          <w:noProof/>
        </w:rPr>
      </w:pPr>
      <w:r w:rsidRPr="006E50FF">
        <w:rPr>
          <w:b/>
          <w:noProof/>
        </w:rPr>
        <w:t>Part LXVI.  Radiologic Technologists</w:t>
      </w:r>
    </w:p>
    <w:p w14:paraId="291FDCB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 xml:space="preserve">Implementation of the Medical Radiation Health Safety Act </w:t>
      </w:r>
    </w:p>
    <w:p w14:paraId="466338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15" w:name="_Toc201153829"/>
      <w:r w:rsidRPr="006E50FF">
        <w:rPr>
          <w:b/>
          <w:kern w:val="2"/>
        </w:rPr>
        <w:t>§101.</w:t>
      </w:r>
      <w:r w:rsidRPr="006E50FF">
        <w:rPr>
          <w:b/>
          <w:kern w:val="2"/>
        </w:rPr>
        <w:tab/>
        <w:t>Authority</w:t>
      </w:r>
      <w:bookmarkEnd w:id="715"/>
    </w:p>
    <w:p w14:paraId="677CDA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Louisiana Medical Radiation Health and Safety Act, R.S. 37:3200 through R.S. 37:3221, provides that, in order to safeguard life and health by preventing excessive and improper exposure to ionizing radiation, any person practicing or offering to practice as a radiologic technologist in this state shall submit evidence that (s)he is qualified to do so and shall be allowed to practice as a radiologic technologist. The Act creates a board of examiners with regulatory authority, dictates the board's composition and qualifications, methods of appointment of office of the board members. The duties of the board are specified in the act and these duties provide for the implementation of the Medical Radiation Health and Safety Act through the adoption of rules and regulations.</w:t>
      </w:r>
    </w:p>
    <w:p w14:paraId="3BDFEE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18C148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49F535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and Human Resources, Radiologic Technology Board of Examiners, LR 11:868 (September 1985), amended by the Department of Health and Hospitals, Radiologic Technology Board of Examiners, LR 40:2262 (November 2014), repromulgated by the Department of Health, Radiologic Technology Board of Examiners, LR 52:</w:t>
      </w:r>
    </w:p>
    <w:p w14:paraId="5F09742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16" w:name="_Toc201153830"/>
      <w:r w:rsidRPr="006E50FF">
        <w:rPr>
          <w:b/>
          <w:kern w:val="2"/>
        </w:rPr>
        <w:t>§103.</w:t>
      </w:r>
      <w:r w:rsidRPr="006E50FF">
        <w:rPr>
          <w:b/>
          <w:kern w:val="2"/>
        </w:rPr>
        <w:tab/>
        <w:t>Applicability</w:t>
      </w:r>
      <w:bookmarkEnd w:id="716"/>
    </w:p>
    <w:p w14:paraId="08B9DF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persons using radioactive materials or equipment emitting or detecting ionizing radiation on humans for diagnostic or therapeutic purposes shall be responsible for compliance in accordance with the provisions of this Chapter (refers to R.S. 37:3200-3221) and the provisions of these rules and regulations.</w:t>
      </w:r>
    </w:p>
    <w:p w14:paraId="5DAFAC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37831B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Technologists Board of Examiners, LR 11:868 (September 1985), amended by the Department of Health and Hospitals, Radiologic Technology Board of Examiners, LR 14:542 (August 1988), LR 40:2262 (November 2014), repromulgated by the Department of Health, Radiologic Technology Board of Examiners, LR 52:</w:t>
      </w:r>
    </w:p>
    <w:p w14:paraId="3BB7E22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The Board of Examiners</w:t>
      </w:r>
    </w:p>
    <w:p w14:paraId="186C9FF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17" w:name="_Hlk204003033"/>
      <w:r w:rsidRPr="006E50FF">
        <w:rPr>
          <w:b/>
          <w:kern w:val="2"/>
        </w:rPr>
        <w:t>§</w:t>
      </w:r>
      <w:bookmarkEnd w:id="717"/>
      <w:r w:rsidRPr="006E50FF">
        <w:rPr>
          <w:b/>
          <w:kern w:val="2"/>
        </w:rPr>
        <w:t>307.</w:t>
      </w:r>
      <w:r w:rsidRPr="006E50FF">
        <w:rPr>
          <w:b/>
          <w:kern w:val="2"/>
        </w:rPr>
        <w:tab/>
        <w:t>Powers and Duties of the Board</w:t>
      </w:r>
    </w:p>
    <w:p w14:paraId="1A422C8A" w14:textId="77777777" w:rsidR="006E50FF" w:rsidRPr="006E50FF" w:rsidRDefault="006E50FF" w:rsidP="006E50FF">
      <w:pPr>
        <w:tabs>
          <w:tab w:val="left" w:pos="144"/>
          <w:tab w:val="left" w:pos="187"/>
          <w:tab w:val="left" w:pos="540"/>
          <w:tab w:val="left" w:pos="907"/>
          <w:tab w:val="left" w:pos="1170"/>
        </w:tabs>
        <w:ind w:firstLine="187"/>
        <w:jc w:val="both"/>
        <w:outlineLvl w:val="3"/>
        <w:rPr>
          <w:kern w:val="2"/>
        </w:rPr>
      </w:pPr>
      <w:r w:rsidRPr="006E50FF">
        <w:rPr>
          <w:kern w:val="2"/>
        </w:rPr>
        <w:t>A. - A.1.a.</w:t>
      </w:r>
      <w:r w:rsidRPr="006E50FF">
        <w:rPr>
          <w:kern w:val="2"/>
        </w:rPr>
        <w:tab/>
        <w:t>...</w:t>
      </w:r>
    </w:p>
    <w:p w14:paraId="77B3612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examine, license, and renew licenses of, permit, renew permits of duly qualified applicants for licensure or permit as radiologic technologists, nuclear technologists, radiation therapy technologists, fusion technologists, limited purpose permit holders, and radiologist assistants.</w:t>
      </w:r>
    </w:p>
    <w:p w14:paraId="37A2154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t>
      </w:r>
    </w:p>
    <w:p w14:paraId="6016A94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conduct hearings upon charges calling for discipline of a licensee or permittee;</w:t>
      </w:r>
    </w:p>
    <w:p w14:paraId="6069890C" w14:textId="77777777" w:rsidR="006E50FF" w:rsidRPr="006E50FF" w:rsidRDefault="006E50FF" w:rsidP="006E50FF">
      <w:pPr>
        <w:tabs>
          <w:tab w:val="left" w:pos="907"/>
        </w:tabs>
        <w:ind w:firstLine="547"/>
        <w:jc w:val="both"/>
        <w:outlineLvl w:val="5"/>
        <w:rPr>
          <w:kern w:val="2"/>
        </w:rPr>
      </w:pPr>
      <w:r w:rsidRPr="006E50FF">
        <w:rPr>
          <w:kern w:val="2"/>
        </w:rPr>
        <w:t>e. - g.</w:t>
      </w:r>
      <w:r w:rsidRPr="006E50FF">
        <w:rPr>
          <w:kern w:val="2"/>
        </w:rPr>
        <w:tab/>
        <w:t>...</w:t>
      </w:r>
    </w:p>
    <w:p w14:paraId="4BBB73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board may do all of the following:</w:t>
      </w:r>
    </w:p>
    <w:p w14:paraId="7142C73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establish, pursuant to the Administrative Procedure Act, a code of ethics for persons licensed or permitted pursuant to this Chapter.</w:t>
      </w:r>
    </w:p>
    <w:p w14:paraId="29E20B1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establish, pursuant to the Administrative Procedure Act, continuing education requirements for license or limited purpose permit renewal; and</w:t>
      </w:r>
    </w:p>
    <w:p w14:paraId="5FD1019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t>
      </w:r>
    </w:p>
    <w:p w14:paraId="703614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65AC4B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w:t>
      </w:r>
      <w:bookmarkStart w:id="718" w:name="_Hlk229488654"/>
      <w:r w:rsidRPr="006E50FF">
        <w:rPr>
          <w:kern w:val="2"/>
          <w:sz w:val="18"/>
        </w:rPr>
        <w:t>the Department of Health and Human Resources, Radiologic Technology Board of Examiners, LR 11:868 (September 1985</w:t>
      </w:r>
      <w:bookmarkStart w:id="719" w:name="_Hlk229489313"/>
      <w:r w:rsidRPr="006E50FF">
        <w:rPr>
          <w:kern w:val="2"/>
          <w:sz w:val="18"/>
        </w:rPr>
        <w:t>),</w:t>
      </w:r>
      <w:bookmarkEnd w:id="718"/>
      <w:r w:rsidRPr="006E50FF">
        <w:rPr>
          <w:kern w:val="2"/>
          <w:sz w:val="18"/>
        </w:rPr>
        <w:t xml:space="preserve"> amended by the Department of Health, Radiologic Technology Board of Examiners, LR 52:</w:t>
      </w:r>
    </w:p>
    <w:bookmarkEnd w:id="719"/>
    <w:p w14:paraId="1DC6513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Actions before the Board</w:t>
      </w:r>
    </w:p>
    <w:p w14:paraId="5C25608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0" w:name="_Toc201153842"/>
      <w:bookmarkStart w:id="721" w:name="_Hlk204005364"/>
      <w:r w:rsidRPr="006E50FF">
        <w:rPr>
          <w:b/>
          <w:kern w:val="2"/>
        </w:rPr>
        <w:t>§701.</w:t>
      </w:r>
      <w:r w:rsidRPr="006E50FF">
        <w:rPr>
          <w:b/>
          <w:kern w:val="2"/>
        </w:rPr>
        <w:tab/>
        <w:t>Disciplinary Proceedings before the Board</w:t>
      </w:r>
      <w:bookmarkEnd w:id="720"/>
    </w:p>
    <w:bookmarkEnd w:id="721"/>
    <w:p w14:paraId="20F4D6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BD44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Grounds for disciplinary proceedings against a licensee or temporary working or limited purpose permit holder as specified in R.S. 37:3219 are:</w:t>
      </w:r>
    </w:p>
    <w:p w14:paraId="49E5BC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guilt of fraud or deceit in the procurement or holding of the license or temporary working or limited purpose permit;</w:t>
      </w:r>
    </w:p>
    <w:p w14:paraId="0D8561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conviction of a felony in a court of competent jurisdiction, either within or outside of this state, unless the conviction, has been reversed and the holder of the license or temporary working or limited purpose permit holder discharged and acquitted; or if the holder has been pardoned </w:t>
      </w:r>
      <w:r w:rsidRPr="006E50FF">
        <w:rPr>
          <w:kern w:val="2"/>
        </w:rPr>
        <w:t>with full restoration of civil rights, in which case the license or permit shall be restored;</w:t>
      </w:r>
    </w:p>
    <w:p w14:paraId="510479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33ACF0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has knowingly trained, aided, abetted or permitted a person who is not licensed, permitted, or otherwise authorized in accordance with this Chapter, to perform duties requiring a license or permit in accordance with this Chapter;</w:t>
      </w:r>
    </w:p>
    <w:p w14:paraId="0C8423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undertaking or engaging in any practice beyond the scope of duties permitted a licensee or permit holder pursuant to this Chapter;</w:t>
      </w:r>
    </w:p>
    <w:p w14:paraId="445E9A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- 7.</w:t>
      </w:r>
      <w:r w:rsidRPr="006E50FF">
        <w:rPr>
          <w:kern w:val="2"/>
        </w:rPr>
        <w:tab/>
        <w:t>…</w:t>
      </w:r>
    </w:p>
    <w:p w14:paraId="7C5B47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is or has been found guilty of incompetence or negligence in his performance as a licensee or temporary working or limited purpose permit holder;</w:t>
      </w:r>
    </w:p>
    <w:p w14:paraId="54D48E2A"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9. - 10.</w:t>
      </w:r>
      <w:r w:rsidRPr="006E50FF">
        <w:rPr>
          <w:kern w:val="2"/>
        </w:rPr>
        <w:tab/>
        <w:t>…</w:t>
      </w:r>
    </w:p>
    <w:p w14:paraId="795EC6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has interpreted images, rendered diagnoses, or prescribed medications or therapies.</w:t>
      </w:r>
    </w:p>
    <w:p w14:paraId="43E02C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37:3219 and R.S. 37:3207.</w:t>
      </w:r>
    </w:p>
    <w:p w14:paraId="0A264C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Human Resources, Radiologic Technology Board of Examiners, LR 11:869 (September 1985), </w:t>
      </w:r>
      <w:bookmarkStart w:id="722" w:name="_Hlk229492116"/>
      <w:r w:rsidRPr="006E50FF">
        <w:rPr>
          <w:kern w:val="2"/>
          <w:sz w:val="18"/>
        </w:rPr>
        <w:t xml:space="preserve">amended by the Department of Health, Radiologic Technology Board of Examiners, LR 52: </w:t>
      </w:r>
    </w:p>
    <w:p w14:paraId="7A5328B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3" w:name="_Toc201153843"/>
      <w:bookmarkStart w:id="724" w:name="_Toc201153844"/>
      <w:bookmarkEnd w:id="722"/>
      <w:r w:rsidRPr="006E50FF">
        <w:rPr>
          <w:b/>
          <w:kern w:val="2"/>
        </w:rPr>
        <w:t>§703.</w:t>
      </w:r>
      <w:r w:rsidRPr="006E50FF">
        <w:rPr>
          <w:b/>
          <w:kern w:val="2"/>
        </w:rPr>
        <w:tab/>
        <w:t>Procedures for Processing Complaints</w:t>
      </w:r>
      <w:bookmarkEnd w:id="723"/>
    </w:p>
    <w:p w14:paraId="634CF0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complaint may be initiated by any person, corporation, association, public officer, or by the board on its own initiative.</w:t>
      </w:r>
    </w:p>
    <w:p w14:paraId="19C5AF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Anonymous sources of complaint against individuals or institutions shall not be recognized as the sole basis for the issuance by the board of a full notice as provided for under §707.A.3. However, the executive director and his/her designee or staff may informally investigate anonymous allegations or complaints received by the board.</w:t>
      </w:r>
    </w:p>
    <w:p w14:paraId="4FED14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information provided to the board by the complainant is insufficient, the board may request further information by either written correspondence or through an informal proceeding.</w:t>
      </w:r>
    </w:p>
    <w:p w14:paraId="552946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complaints received shall be assigned a sequentially ordered complaint code number which shall be utilized in all official references.</w:t>
      </w:r>
    </w:p>
    <w:p w14:paraId="2B73E5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board shall act upon all complaints received without unreasonable delay.</w:t>
      </w:r>
    </w:p>
    <w:p w14:paraId="1844F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board shall take one of the following actions on a complaint:</w:t>
      </w:r>
    </w:p>
    <w:p w14:paraId="299DC8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action;</w:t>
      </w:r>
    </w:p>
    <w:p w14:paraId="2530C9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informal proceeding/consent order;</w:t>
      </w:r>
    </w:p>
    <w:p w14:paraId="5BACBC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formal hearing.</w:t>
      </w:r>
    </w:p>
    <w:p w14:paraId="0CBA34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37:3207(6).</w:t>
      </w:r>
    </w:p>
    <w:p w14:paraId="5E6F80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11:869 (September 1985), amended by the Department of Health and Hospitals, Radiologic Technology Board of Examiners, LR 19:1433 (November 1993), repromulgated by the Department of Health, Radiologic Technology Board of Examiners, LR 52:</w:t>
      </w:r>
    </w:p>
    <w:p w14:paraId="76AD20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§705.</w:t>
      </w:r>
      <w:r w:rsidRPr="006E50FF">
        <w:rPr>
          <w:b/>
          <w:kern w:val="2"/>
        </w:rPr>
        <w:tab/>
        <w:t>Informal Proceeding/Consent Order</w:t>
      </w:r>
      <w:bookmarkEnd w:id="724"/>
    </w:p>
    <w:p w14:paraId="6AD7BF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Informal Proceeding</w:t>
      </w:r>
    </w:p>
    <w:p w14:paraId="71D610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allegation(s) against a licensee or permit holder may be concluded through informal proceedings without the necessity of a formal hearing if the board chair and/or designee does not deem the allegation(s) to be sufficiently serious to necessitate the convening of a formal hearing. The </w:t>
      </w:r>
      <w:r w:rsidRPr="006E50FF">
        <w:rPr>
          <w:kern w:val="2"/>
        </w:rPr>
        <w:lastRenderedPageBreak/>
        <w:t xml:space="preserve">informal resolution of the allegation(s) may be accomplished through correspondence between the executive director </w:t>
      </w:r>
      <w:bookmarkStart w:id="725" w:name="_Hlk229477349"/>
      <w:r w:rsidRPr="006E50FF">
        <w:rPr>
          <w:kern w:val="2"/>
        </w:rPr>
        <w:t xml:space="preserve">or his/her designee </w:t>
      </w:r>
      <w:bookmarkEnd w:id="725"/>
      <w:r w:rsidRPr="006E50FF">
        <w:rPr>
          <w:kern w:val="2"/>
        </w:rPr>
        <w:t>and the licensee or permit holder; by conference of the executive director or his/her designee and the licensee or permit holder; or by consent order between the licensee or permit holder and the board.</w:t>
      </w:r>
    </w:p>
    <w:p w14:paraId="3C403E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executive director or his/her designee shall be authorized by the board to propose a recommended consent order to the licensee or permit holder which would outline the details of disciplinary action between the parties as a consequence of the allegations.</w:t>
      </w:r>
    </w:p>
    <w:p w14:paraId="07B30A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proposed consent order offered by the board through its executive director or his/her designee shall not be deemed as absolute and final until such time as the board ratifies the provisions of the said order.</w:t>
      </w:r>
    </w:p>
    <w:p w14:paraId="7A95CC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A consent order between the board and the licensee or permit holder or prospective </w:t>
      </w:r>
      <w:bookmarkStart w:id="726" w:name="_Hlk229477583"/>
      <w:r w:rsidRPr="006E50FF">
        <w:rPr>
          <w:kern w:val="2"/>
        </w:rPr>
        <w:t>licensee or permit holder</w:t>
      </w:r>
      <w:bookmarkEnd w:id="726"/>
      <w:r w:rsidRPr="006E50FF">
        <w:rPr>
          <w:kern w:val="2"/>
        </w:rPr>
        <w:t xml:space="preserve"> shall describe the disciplinary action which will be taken. The consent order shall be signed by the licensee or permit holder or prospective licensee or permit holder, and two board members.</w:t>
      </w:r>
    </w:p>
    <w:p w14:paraId="5FE259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098370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If, at any point during investigation or during informal/formal proceedings as described herein, the board finds that public health, safety, or welfare imperatively requires emergency actions, the board is hereby authorized to immediately suspend the license or permit of the licensee or permit holder during the course of the proceedings. If the board decides to institute a formal hearing, the hearing shall be promptly instituted and conducted at the board's next scheduled hearing date. </w:t>
      </w:r>
    </w:p>
    <w:p w14:paraId="127A33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37:3207(6).</w:t>
      </w:r>
    </w:p>
    <w:p w14:paraId="751919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11:869 (September 1985), amended by the Department of Health and Hospitals, Radiologic Technology Board of Examiners, LR 19:1433 (November 1993), LR 29:182 (February 2003), LR 40:2262 (November 2014), amended by the Department of Health, Radiologic Technology Board of Examiners, LR 42:2189 (December 2016), amended by the Department of Health, Radiologic Technology Board of Examiners, LR 52:</w:t>
      </w:r>
    </w:p>
    <w:p w14:paraId="5EFC6B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7" w:name="_Toc201153845"/>
      <w:r w:rsidRPr="006E50FF">
        <w:rPr>
          <w:b/>
          <w:kern w:val="2"/>
        </w:rPr>
        <w:t>§707.</w:t>
      </w:r>
      <w:r w:rsidRPr="006E50FF">
        <w:rPr>
          <w:b/>
          <w:kern w:val="2"/>
        </w:rPr>
        <w:tab/>
        <w:t>Conduct of a Formal Hearing</w:t>
      </w:r>
      <w:bookmarkEnd w:id="727"/>
    </w:p>
    <w:p w14:paraId="14BDAE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Initiating the Process</w:t>
      </w:r>
    </w:p>
    <w:p w14:paraId="4BD420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1.- 2.</w:t>
      </w:r>
      <w:r w:rsidRPr="006E50FF">
        <w:rPr>
          <w:kern w:val="2"/>
        </w:rPr>
        <w:tab/>
        <w:t>…</w:t>
      </w:r>
    </w:p>
    <w:p w14:paraId="23DE84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Full Notice. The written notice shall recite specific acts which the licensee or permit holder is alleged to have committed and shall assert that those acts violate a statute or rule of the board.</w:t>
      </w:r>
    </w:p>
    <w:p w14:paraId="2A89B8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A.3.a. - A.3.b.</w:t>
      </w:r>
      <w:r w:rsidRPr="006E50FF">
        <w:rPr>
          <w:kern w:val="2"/>
        </w:rPr>
        <w:tab/>
        <w:t xml:space="preserve">... </w:t>
      </w:r>
    </w:p>
    <w:p w14:paraId="0085A32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notice shall be delivered by registered or certified mail, return receipt requested. If the licensee or permit holder cannot be found by this or other reasonable methods, the board may hold a hearing in the licensee’s or permit holder’s absence.</w:t>
      </w:r>
    </w:p>
    <w:p w14:paraId="21D17A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A.3.d. - A.4.a.</w:t>
      </w:r>
      <w:r w:rsidRPr="006E50FF">
        <w:rPr>
          <w:kern w:val="2"/>
        </w:rPr>
        <w:tab/>
        <w:t>...</w:t>
      </w:r>
    </w:p>
    <w:p w14:paraId="7C64679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At the hearing, the charge shall be prosecuted by the board's personnel who conducted the investigation, who may be assisted by board attorney, and who will present evidence that disciplinary action should be taken against the licensee or permit holder.</w:t>
      </w:r>
    </w:p>
    <w:p w14:paraId="32E75E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A.4.c. - C.3.a.</w:t>
      </w:r>
      <w:r w:rsidRPr="006E50FF">
        <w:rPr>
          <w:kern w:val="2"/>
        </w:rPr>
        <w:tab/>
        <w:t>...</w:t>
      </w:r>
    </w:p>
    <w:p w14:paraId="71108F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Constitutional guarantees of due process give the licensee or permit holder a right to a decision based on evidence presented at the hearing. The hearing officer preparing the recommended decision shall only consider evidence presented at the hearing or officially noted in the record.</w:t>
      </w:r>
    </w:p>
    <w:p w14:paraId="236240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- 7.</w:t>
      </w:r>
      <w:r w:rsidRPr="006E50FF">
        <w:rPr>
          <w:kern w:val="2"/>
        </w:rPr>
        <w:tab/>
        <w:t>...</w:t>
      </w:r>
    </w:p>
    <w:p w14:paraId="0B614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37:3207(6).</w:t>
      </w:r>
    </w:p>
    <w:p w14:paraId="2E83E1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z w:val="18"/>
        </w:rPr>
      </w:pPr>
      <w:r w:rsidRPr="006E50FF">
        <w:rPr>
          <w:kern w:val="2"/>
          <w:sz w:val="18"/>
        </w:rPr>
        <w:t>HISTORICAL NOTE:</w:t>
      </w:r>
      <w:r w:rsidRPr="006E50FF">
        <w:rPr>
          <w:kern w:val="2"/>
          <w:sz w:val="18"/>
        </w:rPr>
        <w:tab/>
        <w:t>Promulgated by the Department of Health and Human Resources, Radiologic Technology Board of Examiners, LR 11:870 (September 1985), amended by the Department of Health and Hospitals, Radiologic Technology Board of Examiners, LR 19:1434 (November 1993), LR 40:2262 (November 2014), amended by the Department of Health, Radiologic Technology Board of Examiners, LR 52:</w:t>
      </w:r>
    </w:p>
    <w:p w14:paraId="14616F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8" w:name="_Toc201153846"/>
      <w:r w:rsidRPr="006E50FF">
        <w:rPr>
          <w:b/>
          <w:kern w:val="2"/>
        </w:rPr>
        <w:t>§709.</w:t>
      </w:r>
      <w:r w:rsidRPr="006E50FF">
        <w:rPr>
          <w:b/>
          <w:kern w:val="2"/>
        </w:rPr>
        <w:tab/>
        <w:t>The Final Decision of the Board</w:t>
      </w:r>
      <w:bookmarkEnd w:id="728"/>
    </w:p>
    <w:p w14:paraId="78FDB0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board must determine whether the facts in the case support the charges brought against the licensee or permit holder. It must determine whether the charges are a violation of R.S. 37:3219, the ethical standards of radiologic technology or other rules and regulations of the board.</w:t>
      </w:r>
    </w:p>
    <w:p w14:paraId="376DAA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D.</w:t>
      </w:r>
      <w:r w:rsidRPr="006E50FF">
        <w:rPr>
          <w:kern w:val="2"/>
        </w:rPr>
        <w:tab/>
        <w:t>…</w:t>
      </w:r>
    </w:p>
    <w:p w14:paraId="053DD7E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E.</w:t>
      </w:r>
      <w:r w:rsidRPr="006E50FF">
        <w:rPr>
          <w:kern w:val="2"/>
        </w:rPr>
        <w:tab/>
        <w:t>The board may assess the licensee or permit holder with the costs of the hearing.</w:t>
      </w:r>
    </w:p>
    <w:p w14:paraId="3091A9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H.</w:t>
      </w:r>
      <w:r w:rsidRPr="006E50FF">
        <w:rPr>
          <w:kern w:val="2"/>
        </w:rPr>
        <w:tab/>
        <w:t>…</w:t>
      </w:r>
    </w:p>
    <w:p w14:paraId="5F1D2D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7D5B50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11:871 (September 1985), amended by the Department of Health and Hospitals, Radiologic Technology Board of Examiners, LR 40:2263 (November 2014), amended by the Department of Health, Radiologic Technology Board of Examiners, LR 52:</w:t>
      </w:r>
    </w:p>
    <w:p w14:paraId="332ECB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§711.</w:t>
      </w:r>
      <w:r w:rsidRPr="006E50FF">
        <w:rPr>
          <w:b/>
          <w:kern w:val="2"/>
        </w:rPr>
        <w:tab/>
        <w:t>Appeal of Board Decision</w:t>
      </w:r>
    </w:p>
    <w:p w14:paraId="2540EA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466F23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There is newly discovered evidence, which was not available to the licensee or permit holder at the time of the hearing and which may be sufficient to reverse the board's action.</w:t>
      </w:r>
    </w:p>
    <w:p w14:paraId="30B2E5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C.</w:t>
      </w:r>
      <w:r w:rsidRPr="006E50FF">
        <w:rPr>
          <w:kern w:val="2"/>
        </w:rPr>
        <w:tab/>
        <w:t>...</w:t>
      </w:r>
    </w:p>
    <w:p w14:paraId="5A1B82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37:3207.</w:t>
      </w:r>
    </w:p>
    <w:p w14:paraId="6C6BF1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Health and Human Resources, Radiologic Technology Board of Examiners, LR 11:872 (September 1985), amended by the Department of Health, Radiologic Technology Board of Examiners, LR 52:</w:t>
      </w:r>
    </w:p>
    <w:p w14:paraId="042CEC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9" w:name="_Toc201153848"/>
      <w:r w:rsidRPr="006E50FF">
        <w:rPr>
          <w:b/>
          <w:kern w:val="2"/>
        </w:rPr>
        <w:t>§713.</w:t>
      </w:r>
      <w:r w:rsidRPr="006E50FF">
        <w:rPr>
          <w:b/>
          <w:kern w:val="2"/>
        </w:rPr>
        <w:tab/>
        <w:t>Notification of Final Actions</w:t>
      </w:r>
      <w:bookmarkEnd w:id="729"/>
    </w:p>
    <w:p w14:paraId="4A7468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Upon either completion of the decision, expiration of the time for any appeal, or conclusion of appeals, the board shall notify the following of its actions:</w:t>
      </w:r>
    </w:p>
    <w:p w14:paraId="6EDBCE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licensee or permit holder named in disciplinary action;</w:t>
      </w:r>
    </w:p>
    <w:p w14:paraId="01A019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all affected parties; and </w:t>
      </w:r>
    </w:p>
    <w:p w14:paraId="760F49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affected professional organizations.</w:t>
      </w:r>
    </w:p>
    <w:p w14:paraId="43753B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036637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Radiologic Technology Board of Examiners, LR 42:2189 (December 2016), amended by the Department of Health, Radiologic Technology Board of Examiners, LR 52:</w:t>
      </w:r>
    </w:p>
    <w:p w14:paraId="0379D53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30" w:name="_Toc201153849"/>
      <w:r w:rsidRPr="006E50FF">
        <w:rPr>
          <w:b/>
          <w:kern w:val="2"/>
        </w:rPr>
        <w:lastRenderedPageBreak/>
        <w:t>Chapter 9.</w:t>
      </w:r>
      <w:r w:rsidRPr="006E50FF">
        <w:rPr>
          <w:b/>
          <w:kern w:val="2"/>
        </w:rPr>
        <w:tab/>
        <w:t>General Provisions</w:t>
      </w:r>
      <w:bookmarkEnd w:id="730"/>
    </w:p>
    <w:p w14:paraId="73F5F7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1" w:name="_Toc201153850"/>
      <w:r w:rsidRPr="006E50FF">
        <w:rPr>
          <w:b/>
          <w:kern w:val="2"/>
        </w:rPr>
        <w:t>§901.</w:t>
      </w:r>
      <w:r w:rsidRPr="006E50FF">
        <w:rPr>
          <w:b/>
          <w:kern w:val="2"/>
        </w:rPr>
        <w:tab/>
        <w:t>Definitions</w:t>
      </w:r>
      <w:bookmarkEnd w:id="731"/>
    </w:p>
    <w:p w14:paraId="3E3406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CEEFA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70BBF5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Limited Purpose Permit</w:t>
      </w:r>
      <w:r w:rsidRPr="006E50FF">
        <w:rPr>
          <w:kern w:val="2"/>
        </w:rPr>
        <w:sym w:font="Symbol" w:char="F0BE"/>
      </w:r>
      <w:r w:rsidRPr="006E50FF">
        <w:rPr>
          <w:kern w:val="2"/>
        </w:rPr>
        <w:t>means a permit issued for a limited purpose in scope as defined by rules adopted by the board authorizing an individual to perform certain radiologic procedures. “Limited purpose permit” does not mean or include a temporary working permit issued by the board.</w:t>
      </w:r>
    </w:p>
    <w:p w14:paraId="08B815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92CA8E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Radiologist Assistant</w:t>
      </w:r>
      <w:r w:rsidRPr="006E50FF">
        <w:rPr>
          <w:kern w:val="2"/>
        </w:rPr>
        <w:sym w:font="Symbol" w:char="F0BE"/>
      </w:r>
      <w:r w:rsidRPr="006E50FF">
        <w:rPr>
          <w:kern w:val="2"/>
        </w:rPr>
        <w:t xml:space="preserve">a radiologic technologist licensed pursuant to this Chapter who holds current certification as a radiologist assistant from American Registry of Radiologic Technologists. A radiologist assistant may perform advanced imaging procedures and patient management tasks delegated and performed under the direct supervision of a radiologist. A radiologist assistant shall not interpret images, render diagnoses, or prescribe medications or therapies. </w:t>
      </w:r>
    </w:p>
    <w:p w14:paraId="6157FD3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i/>
          <w:kern w:val="2"/>
        </w:rPr>
      </w:pPr>
      <w:r w:rsidRPr="006E50FF">
        <w:rPr>
          <w:kern w:val="2"/>
        </w:rPr>
        <w:t>* * *</w:t>
      </w:r>
    </w:p>
    <w:p w14:paraId="079AA8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 3207 and 3220</w:t>
      </w:r>
    </w:p>
    <w:p w14:paraId="533C88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and Hospitals, Radiologic Technology Board of Examiners, LR 23:71 (January 1997), LR 38:97 (January 2012), LR 40:2263 (November 2014), amended by the Department of Health, Radiologic Technology Board of Examiners, LR 42:2189 (December 2016), amended by the Department of Health, Radiologic Technology Board of Examiners, amended LR 51:799 (June 2025), amended by the Department of Health, Radiologic Technology Board of Examiners, LR 52:</w:t>
      </w:r>
    </w:p>
    <w:p w14:paraId="545389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2" w:name="_Toc201153851"/>
      <w:r w:rsidRPr="006E50FF">
        <w:rPr>
          <w:b/>
          <w:kern w:val="2"/>
        </w:rPr>
        <w:t>§903.</w:t>
      </w:r>
      <w:r w:rsidRPr="006E50FF">
        <w:rPr>
          <w:b/>
          <w:kern w:val="2"/>
        </w:rPr>
        <w:tab/>
        <w:t>General Provisions</w:t>
      </w:r>
      <w:bookmarkEnd w:id="732"/>
    </w:p>
    <w:p w14:paraId="23C225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Except as hereinafter provided, no person other than a licensed practitioner or the holder of a license or temporary working or limited purpose permit as defined in R.S. 37:3200 et seq., shall use radioactive materials or equipment emitting or detecting ionizing radiation on humans for diagnostic or therapeutic purposes.</w:t>
      </w:r>
    </w:p>
    <w:p w14:paraId="6A1D6C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board shall issue a license </w:t>
      </w:r>
      <w:bookmarkStart w:id="733" w:name="_Hlk229479214"/>
      <w:r w:rsidRPr="006E50FF">
        <w:rPr>
          <w:kern w:val="2"/>
        </w:rPr>
        <w:t>or temporary working or limited purpose permit</w:t>
      </w:r>
      <w:bookmarkEnd w:id="733"/>
      <w:r w:rsidRPr="006E50FF">
        <w:rPr>
          <w:kern w:val="2"/>
        </w:rPr>
        <w:t xml:space="preserve"> pursuant to these rules and regulations provided the applicant for a specific license or temporary working or limited purpose permit has met all the requirements as prescribed in R.S. 37:3208.</w:t>
      </w:r>
    </w:p>
    <w:p w14:paraId="05DB95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Any license or permit of a technologist, radiologist assistant, or temporary working or limited purpose permit holder may be suspended for a fixed period or may be revoked, or the holder of such a license or temporary working or limited purpose permit may be reprimanded or otherwise disciplined in accordance with the provisions and procedures defined in R.S. 37:3219.</w:t>
      </w:r>
    </w:p>
    <w:p w14:paraId="53F4D64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37:19 and 3200 et seq.</w:t>
      </w:r>
    </w:p>
    <w:p w14:paraId="72CD19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Radiologic Technology Board of Examiners, LR 52:</w:t>
      </w:r>
    </w:p>
    <w:p w14:paraId="415C823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34" w:name="_Toc201153852"/>
      <w:r w:rsidRPr="006E50FF">
        <w:rPr>
          <w:b/>
          <w:kern w:val="2"/>
        </w:rPr>
        <w:t>Chapter 11.</w:t>
      </w:r>
      <w:r w:rsidRPr="006E50FF">
        <w:rPr>
          <w:b/>
          <w:kern w:val="2"/>
        </w:rPr>
        <w:tab/>
        <w:t>Licensure</w:t>
      </w:r>
      <w:bookmarkEnd w:id="734"/>
    </w:p>
    <w:p w14:paraId="14FD2E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5" w:name="_Toc201153853"/>
      <w:r w:rsidRPr="006E50FF">
        <w:rPr>
          <w:b/>
          <w:kern w:val="2"/>
        </w:rPr>
        <w:t>§1101.</w:t>
      </w:r>
      <w:r w:rsidRPr="006E50FF">
        <w:rPr>
          <w:b/>
          <w:kern w:val="2"/>
        </w:rPr>
        <w:tab/>
        <w:t>Scope of License</w:t>
      </w:r>
      <w:bookmarkEnd w:id="735"/>
      <w:r w:rsidRPr="006E50FF">
        <w:rPr>
          <w:b/>
          <w:kern w:val="2"/>
        </w:rPr>
        <w:t xml:space="preserve"> </w:t>
      </w:r>
    </w:p>
    <w:p w14:paraId="4FF5B9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There are five categories of licenses for radiologic technology as defined in R.S. 37:3200 by their area of specialization. The categories are radiographer, radiation therapy technologist, nuclear medicine technologist, fusion </w:t>
      </w:r>
      <w:r w:rsidRPr="006E50FF">
        <w:rPr>
          <w:kern w:val="2"/>
        </w:rPr>
        <w:t>technologist, and radiologist assistant. Licensees shall be restricted to the use of ionizing radiation by the category that is defined on his license. Permit holders shall be restricted to the purpose specified for the permit.</w:t>
      </w:r>
    </w:p>
    <w:p w14:paraId="20E23A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No person holding a license or permit under these rules and regulations shall use radioactive substances or equipment emitting or detecting ionizing radiation on humans for diagnostic or therapeutic purposes unless under the direction and supervision of a licensed practitioner and unless so directed by prescription of a licensed practitioner.</w:t>
      </w:r>
    </w:p>
    <w:p w14:paraId="21E87A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person shall knowingly employ as a radiologic technologist any person required by the provisions of these rules and regulations to hold a license or permit who does not hold a license or permit under these rules and regulations.</w:t>
      </w:r>
    </w:p>
    <w:p w14:paraId="6EAEB4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A radiologist assistant may perform advanced imaging procedures and patient management tasks delegated and performed under the direct supervision of a radiologist. A radiologist assistant shall not interpret, diagnose, or prescribe medications or therapies. </w:t>
      </w:r>
    </w:p>
    <w:p w14:paraId="3F6064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37:1300, R.S. 37:3207 and R.S. 37:3213.</w:t>
      </w:r>
    </w:p>
    <w:p w14:paraId="70006D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and Hospitals, Radiologic Technology Board of Examiners, LR 40:2263 (November 2014), amended by the Department of Health, Radiologic Technology Board of Examiners, LR 52:</w:t>
      </w:r>
    </w:p>
    <w:p w14:paraId="5B6BC2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6" w:name="_Toc201153854"/>
      <w:r w:rsidRPr="006E50FF">
        <w:rPr>
          <w:b/>
          <w:kern w:val="2"/>
        </w:rPr>
        <w:t>§1103.</w:t>
      </w:r>
      <w:r w:rsidRPr="006E50FF">
        <w:rPr>
          <w:b/>
          <w:kern w:val="2"/>
        </w:rPr>
        <w:tab/>
        <w:t>Necessity of Licensure</w:t>
      </w:r>
      <w:bookmarkEnd w:id="736"/>
    </w:p>
    <w:p w14:paraId="501881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No person shall assume or use the title or designation "licensed radiologic technologist" or “licensed radiologist assistant” unless he holds a current license in accordance with the provisions of these rules and regulations.</w:t>
      </w:r>
    </w:p>
    <w:p w14:paraId="572A01D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Every license holder shall have his license at work. It shall be displayed or shall be on file. The license shall be available for inspection at any time upon request by the board.</w:t>
      </w:r>
    </w:p>
    <w:p w14:paraId="0196A8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Students enrolled in and attending board approved program of radiologic technology who apply ionizing radiation to humans for necessary diagnostic or therapeutic purposes while under the supervision of a licensed practitioner or a licensed radiologic technologist at the approved clinical facilities of the sponsoring institutions are exempt from the requirements of licensure by this board. Except radiologist assistant students who shall be in compliance with the requirements of §1103(D).</w:t>
      </w:r>
    </w:p>
    <w:p w14:paraId="0BCEAE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While enrolled in a board approved radiologist assistant program students must maintain a current unrestricted radiologic technologist license and shall practice under the direct supervision of a radiologist. </w:t>
      </w:r>
    </w:p>
    <w:p w14:paraId="12FECD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37:3213 and R.S. 37:3207.</w:t>
      </w:r>
    </w:p>
    <w:p w14:paraId="5412F2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Radiologic Technology Board of Examiners, LR 52:</w:t>
      </w:r>
    </w:p>
    <w:p w14:paraId="75F21B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7" w:name="_Toc201153855"/>
      <w:r w:rsidRPr="006E50FF">
        <w:rPr>
          <w:b/>
          <w:kern w:val="2"/>
        </w:rPr>
        <w:t>§1105.</w:t>
      </w:r>
      <w:r w:rsidRPr="006E50FF">
        <w:rPr>
          <w:b/>
          <w:kern w:val="2"/>
        </w:rPr>
        <w:tab/>
        <w:t>Qualifications of Applicants for Licensure</w:t>
      </w:r>
      <w:bookmarkEnd w:id="737"/>
    </w:p>
    <w:p w14:paraId="6403E7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04DB0B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has successfully completed a course of study in radiography, radiation therapy technology, nuclear medicine technology, fusion technologist, or radiologist assistant as approved by the board in accordance with standards promulgated by the board.</w:t>
      </w:r>
    </w:p>
    <w:p w14:paraId="625A9D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37:3208 and R.S. 37:3207.</w:t>
      </w:r>
    </w:p>
    <w:p w14:paraId="494D62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40:2263 (November 2014), amended by the Department of Health, Radiologic Technology Board of Examiners, LR 42:2189 (December 2016), amended LR 52:</w:t>
      </w:r>
    </w:p>
    <w:p w14:paraId="38C2F2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8" w:name="_Toc201153856"/>
      <w:r w:rsidRPr="006E50FF">
        <w:rPr>
          <w:b/>
          <w:kern w:val="2"/>
        </w:rPr>
        <w:t>§1107.</w:t>
      </w:r>
      <w:r w:rsidRPr="006E50FF">
        <w:rPr>
          <w:b/>
          <w:kern w:val="2"/>
        </w:rPr>
        <w:tab/>
        <w:t>Licensure by Endorsement; Reciprocity</w:t>
      </w:r>
      <w:bookmarkEnd w:id="738"/>
    </w:p>
    <w:p w14:paraId="29E5E5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3A98C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By reciprocity, any person who is licensed as a radiologic technologist or radiologist assistant under the laws of other states, provided that the standards under which they were examined are at least as stringent as those established by the board, shall be issued a license without examination upon application and payment of a fee equivalent to that required for the initial licensing fee.</w:t>
      </w:r>
    </w:p>
    <w:p w14:paraId="4A770C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t>
      </w:r>
    </w:p>
    <w:p w14:paraId="541A33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37:3210, R.S. 37:3212 and R.S. 37:3207.</w:t>
      </w:r>
    </w:p>
    <w:p w14:paraId="0C2FB3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Radiologic Technology Board of Examiners, LR 42:2189 (December 2016), amended LR 52:</w:t>
      </w:r>
      <w:bookmarkStart w:id="739" w:name="_Toc201153857"/>
    </w:p>
    <w:p w14:paraId="1D1903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§1109.</w:t>
      </w:r>
      <w:r w:rsidRPr="006E50FF">
        <w:rPr>
          <w:b/>
          <w:kern w:val="2"/>
        </w:rPr>
        <w:tab/>
        <w:t>Licensure by Examination</w:t>
      </w:r>
      <w:bookmarkEnd w:id="739"/>
    </w:p>
    <w:p w14:paraId="63BB16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37:3207 and 3209, an application for licensure shall be required to pass the written examination of the American Registry of Radiologic Technologists (ARRT), Nuclear Medicine Technology Certification Board (NMTCB), or American Society of Clinical Pathology (ASCP).</w:t>
      </w:r>
    </w:p>
    <w:p w14:paraId="1B5F82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be eligible for examination by the board, an applicant shall possess all qualifications for licensure prescribed by R.S. 37:3208, provided, however, that an applicant who has completed or prior to examination will have completed his/her approved course of study, shall be deemed eligible for examination upon application submission to the board and program director verifies that the applicant will complete or has completed his/her radiologic technology course of study prior to examination and specifying the date of completion.</w:t>
      </w:r>
    </w:p>
    <w:p w14:paraId="3A0E8C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board establishes as the passing criterion on the ARRT, NMTCB, ASCP written examination the passing score as established by the credentialing agency.</w:t>
      </w:r>
    </w:p>
    <w:p w14:paraId="5B27D3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eligible applicant must request and submit application to the ARRT for licensure examination.</w:t>
      </w:r>
    </w:p>
    <w:p w14:paraId="21E455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 R.S. 37:3208 and R.S. 37:3209.</w:t>
      </w:r>
    </w:p>
    <w:p w14:paraId="4FA84B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29:183 (February 2003), LR 40:2263 (November 2014), amended by the Department of Health, Radiologic Technology Board of Examiners, LR 42:2189 (December 2016), repromulgated by the Department of Health, Radiologic Technology Board of Examiners, LR 52:</w:t>
      </w:r>
    </w:p>
    <w:p w14:paraId="0652206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0" w:name="_Toc201153858"/>
      <w:r w:rsidRPr="006E50FF">
        <w:rPr>
          <w:b/>
          <w:kern w:val="2"/>
        </w:rPr>
        <w:t>§1111.</w:t>
      </w:r>
      <w:r w:rsidRPr="006E50FF">
        <w:rPr>
          <w:b/>
          <w:kern w:val="2"/>
        </w:rPr>
        <w:tab/>
        <w:t>Application for Initial Licensure for Temporary Work Permit by Examination</w:t>
      </w:r>
      <w:bookmarkEnd w:id="740"/>
    </w:p>
    <w:p w14:paraId="17B214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Requests for application for initial licensure and for temporary work permit by examination forms shall be requested and submitted to the state board.</w:t>
      </w:r>
    </w:p>
    <w:p w14:paraId="25D18F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Pursuant to R.S. 37:3210(C), upon payment a temporary 90-day work permit shall be issued one time only and for the time listed on the temporary work permit.</w:t>
      </w:r>
    </w:p>
    <w:p w14:paraId="738054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 and R.S. 37:3209.</w:t>
      </w:r>
    </w:p>
    <w:p w14:paraId="1D2E0F7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29:183 (February 2003), LR 40:2263 (November 2014), repromulgated by the Department of Health, Radiologic Technology Board of Examiners, LR 52:</w:t>
      </w:r>
    </w:p>
    <w:p w14:paraId="0B153D9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§1113.</w:t>
      </w:r>
      <w:r w:rsidRPr="006E50FF">
        <w:rPr>
          <w:b/>
          <w:kern w:val="2"/>
        </w:rPr>
        <w:tab/>
        <w:t>Follow-Up to Application Submission</w:t>
      </w:r>
    </w:p>
    <w:p w14:paraId="48E8F4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Incomplete Applications. Applications which are received with incomplete data may cause postponement. "Incomplete notices" are emailed</w:t>
      </w:r>
      <w:r w:rsidRPr="006E50FF">
        <w:rPr>
          <w:bCs/>
          <w:kern w:val="2"/>
        </w:rPr>
        <w:t xml:space="preserve"> </w:t>
      </w:r>
      <w:r w:rsidRPr="006E50FF">
        <w:rPr>
          <w:kern w:val="2"/>
        </w:rPr>
        <w:t xml:space="preserve">to those who did not provide all information requested on the application form. </w:t>
      </w:r>
    </w:p>
    <w:p w14:paraId="2C05C9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B.1.</w:t>
      </w:r>
      <w:r w:rsidRPr="006E50FF">
        <w:rPr>
          <w:kern w:val="2"/>
        </w:rPr>
        <w:tab/>
        <w:t xml:space="preserve">... </w:t>
      </w:r>
    </w:p>
    <w:p w14:paraId="750775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 </w:t>
      </w:r>
    </w:p>
    <w:p w14:paraId="3A28C9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40:2264 (November 2014), amended by the Department of Health, Radiologic Technology Board of Examiners, LR 42:2190 (December 2016), amended by the Department of Health, Radiologic Technology Board of Examiners, LR 52:</w:t>
      </w:r>
    </w:p>
    <w:p w14:paraId="49CDAD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§1115.</w:t>
      </w:r>
      <w:r w:rsidRPr="006E50FF">
        <w:rPr>
          <w:b/>
          <w:kern w:val="2"/>
        </w:rPr>
        <w:tab/>
        <w:t>Modifications to Submitted Information</w:t>
      </w:r>
    </w:p>
    <w:p w14:paraId="728E24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Address or Name Changes. If a license or permit applicant must change the mailing address which was entered on the application form, the applicant must inform the board in writing. Changes in the licensee or permit holder name are to be handled in the same manner, but must be accompanied by documentary evidence of the change (e.g., copy of marriage certificate, legal name change form, etc.). </w:t>
      </w:r>
    </w:p>
    <w:p w14:paraId="5214F5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092665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29:183 (February 2003), LR 40:2264 (November 2014), amended by the Department of Health, Radiologic Technology Board of Examiners, LR 52:</w:t>
      </w:r>
    </w:p>
    <w:p w14:paraId="20FDC5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1" w:name="_Toc201153861"/>
      <w:r w:rsidRPr="006E50FF">
        <w:rPr>
          <w:b/>
          <w:kern w:val="2"/>
        </w:rPr>
        <w:t>§1117.</w:t>
      </w:r>
      <w:r w:rsidRPr="006E50FF">
        <w:rPr>
          <w:b/>
          <w:kern w:val="2"/>
        </w:rPr>
        <w:tab/>
        <w:t>Re-Examination</w:t>
      </w:r>
      <w:bookmarkEnd w:id="741"/>
    </w:p>
    <w:p w14:paraId="4294A6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 applicant who fails to pass the examination within the issued 90-day time frame of the temporary work permit shall become ineligible for an extension of that temporary work permit. Board will hold original application for licensure up to one year with no additional fee.</w:t>
      </w:r>
    </w:p>
    <w:p w14:paraId="5BBAFE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2FCFD8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and Hospitals, Radiologic Technology Board of Examiners, LR 40:2264 (November 2014), repromulgated by the Department of Health, Radiologic Technology Board of Examiners, LR 52:</w:t>
      </w:r>
    </w:p>
    <w:p w14:paraId="53C391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2" w:name="_Toc201153862"/>
      <w:r w:rsidRPr="006E50FF">
        <w:rPr>
          <w:b/>
          <w:kern w:val="2"/>
        </w:rPr>
        <w:t>§1119.</w:t>
      </w:r>
      <w:r w:rsidRPr="006E50FF">
        <w:rPr>
          <w:b/>
          <w:kern w:val="2"/>
        </w:rPr>
        <w:tab/>
        <w:t>Issuance of License</w:t>
      </w:r>
      <w:bookmarkEnd w:id="742"/>
    </w:p>
    <w:p w14:paraId="10C08B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45B880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B.</w:t>
      </w:r>
      <w:r w:rsidRPr="006E50FF">
        <w:rPr>
          <w:rFonts w:eastAsia="Calibri"/>
          <w:kern w:val="2"/>
        </w:rPr>
        <w:tab/>
      </w:r>
      <w:r w:rsidRPr="006E50FF">
        <w:rPr>
          <w:kern w:val="2"/>
        </w:rPr>
        <w:t>For licensure as a radiologist assistant, the board may issue a license to practice as a radiologist assistant, provided that the applicant possesses a current unrestricted radiography license to practice from the board.</w:t>
      </w:r>
    </w:p>
    <w:p w14:paraId="52262A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37:3211 and R.S. 37:3207.</w:t>
      </w:r>
    </w:p>
    <w:p w14:paraId="1D4024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Radiologic Technology Board of Examiners, LR 52:</w:t>
      </w:r>
    </w:p>
    <w:p w14:paraId="40D5C8D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3" w:name="_Toc201153864"/>
      <w:r w:rsidRPr="006E50FF">
        <w:rPr>
          <w:b/>
          <w:kern w:val="2"/>
        </w:rPr>
        <w:t>§1123.</w:t>
      </w:r>
      <w:r w:rsidRPr="006E50FF">
        <w:rPr>
          <w:b/>
          <w:kern w:val="2"/>
        </w:rPr>
        <w:tab/>
        <w:t>Expiration of License</w:t>
      </w:r>
      <w:bookmarkEnd w:id="743"/>
    </w:p>
    <w:p w14:paraId="64873F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Every license issued by the board under this Chapter, the expiration date of which is not stated thereon or provided by these rules, shall become null, void and to no effect on May 31, of the second year following the year of issuance.</w:t>
      </w:r>
    </w:p>
    <w:p w14:paraId="33A903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timely submission of an accurate and complete application for renewal of a license, appropriate documentation of completion of required continuing education hours and payment of appropriate fees shall operate to continue the expiring license in full force and effect pending issuance of the renewal license.</w:t>
      </w:r>
    </w:p>
    <w:p w14:paraId="75F7607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37:3215 and R.S. 37:3207.</w:t>
      </w:r>
    </w:p>
    <w:p w14:paraId="2E3DC7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Radiologic Technology Board of Examiners, LR 42:2190 (December 2016), repromulgated by the Department of Health, Radiologic Technology Board of Examiners, LR 52:</w:t>
      </w:r>
    </w:p>
    <w:p w14:paraId="1321DBB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4" w:name="_Toc201153865"/>
      <w:r w:rsidRPr="006E50FF">
        <w:rPr>
          <w:b/>
          <w:kern w:val="2"/>
        </w:rPr>
        <w:t>§1125.</w:t>
      </w:r>
      <w:r w:rsidRPr="006E50FF">
        <w:rPr>
          <w:b/>
          <w:kern w:val="2"/>
        </w:rPr>
        <w:tab/>
        <w:t>Reinstatement of License</w:t>
      </w:r>
      <w:bookmarkEnd w:id="744"/>
      <w:r w:rsidRPr="006E50FF">
        <w:rPr>
          <w:b/>
          <w:kern w:val="2"/>
        </w:rPr>
        <w:t xml:space="preserve"> or Limited Purpose Permit</w:t>
      </w:r>
    </w:p>
    <w:p w14:paraId="14F7BB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license or limited purpose permit which has expired may be reinstated by the board subject to the conditions and procedures hereinafter provided.</w:t>
      </w:r>
    </w:p>
    <w:p w14:paraId="7EE98E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 application for reinstatement from a radiologic technologist or limited purpose permit holder who has not ceased practice in accordance with provisions of R.S. 37:3200-3221 shall be made upon a form supplied by the board accompanied by two letters of character recommendation from physicians of the former licensee’s or limited purpose permit holder’s place of employment, together with the applicable renewal fee plus a penalty.</w:t>
      </w:r>
    </w:p>
    <w:p w14:paraId="611782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 application for reinstatement from a person who has ceased activities as a radiologic technologist, radiologist assistant, or limited purpose permit holder for not more than five years may have his license reinstated upon payment of the renewal fee as provided for in R.S. 37:3216 and R.S. 37:3218.</w:t>
      </w:r>
    </w:p>
    <w:p w14:paraId="5DE4D5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37:3216 and R.S. 37:3207.</w:t>
      </w:r>
    </w:p>
    <w:p w14:paraId="2EE768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and Hospitals, Radiologic Technology Board of Examiners, LR 40:2264 (November 2014), amended by the Department of Health, Radiologic Technology Board of Examiners, LR 52:</w:t>
      </w:r>
    </w:p>
    <w:p w14:paraId="7E9953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§1127.</w:t>
      </w:r>
      <w:r w:rsidRPr="006E50FF">
        <w:rPr>
          <w:b/>
          <w:kern w:val="2"/>
        </w:rPr>
        <w:tab/>
        <w:t xml:space="preserve">Temporary and Limited Purpose Permits </w:t>
      </w:r>
    </w:p>
    <w:p w14:paraId="5B1A98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 </w:t>
      </w:r>
    </w:p>
    <w:p w14:paraId="264E15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application and payment for a limited purpose permit, the board may issue an initial temporary working permit to any person meeting the education, training, examination, and competency criteria for the applicable limited purpose permit as outlined in rules promulgated by the board.</w:t>
      </w:r>
    </w:p>
    <w:p w14:paraId="1CA261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 xml:space="preserve">AUTHORITY NOTE: Promulgated in accordance with R.S. 37:3207(B)(2). HISTORICAL NOTE: Promulgated by the Department of Health and Human Resources, Radiologic </w:t>
      </w:r>
      <w:r w:rsidRPr="006E50FF">
        <w:rPr>
          <w:kern w:val="2"/>
          <w:sz w:val="18"/>
        </w:rPr>
        <w:t>Technology Board of Examiners, LR 38:98 (January 2012), amended by the Department of Health, Radiologic Technology Board of Examiners, LR 52:</w:t>
      </w:r>
    </w:p>
    <w:p w14:paraId="1C7C479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§1131.</w:t>
      </w:r>
      <w:r w:rsidRPr="006E50FF">
        <w:rPr>
          <w:b/>
          <w:kern w:val="2"/>
        </w:rPr>
        <w:tab/>
        <w:t>Limited X-ray Machine Operator Permit (LXMO)</w:t>
      </w:r>
    </w:p>
    <w:p w14:paraId="66D3BD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A.11.</w:t>
      </w:r>
      <w:r w:rsidRPr="006E50FF">
        <w:rPr>
          <w:kern w:val="2"/>
        </w:rPr>
        <w:tab/>
        <w:t>...</w:t>
      </w:r>
    </w:p>
    <w:p w14:paraId="641420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Biannual Application for Permit Renewal</w:t>
      </w:r>
    </w:p>
    <w:p w14:paraId="733B430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Notification for the renewal of the permit will be emailed to each limited x-ray machine operator whose permit to practice limited x-ray machine operation will expire that May 31 with the permit fee due. Renewal season is March 1 through May 31. </w:t>
      </w:r>
    </w:p>
    <w:p w14:paraId="4386FBE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Notification for renewal of permit shall be emailed prior to expiration by the board to each person holding a permit issued under these rules and regulations. Such notification shall be emailed to the most recent address as reflected in the official records of the board. </w:t>
      </w:r>
    </w:p>
    <w:p w14:paraId="2C7A5B6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Limited x-ray machine operator is responsible for renewal in the event of not receiving emailed notification. Every limited x-ray machine operator permitted by this board shall renew his/her permit every two years upon application and payment of a renewal fee.</w:t>
      </w:r>
    </w:p>
    <w:p w14:paraId="6D1074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A.12.d. - H.</w:t>
      </w:r>
      <w:r w:rsidRPr="006E50FF">
        <w:rPr>
          <w:kern w:val="2"/>
        </w:rPr>
        <w:tab/>
        <w:t>...</w:t>
      </w:r>
    </w:p>
    <w:p w14:paraId="2B4897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 xml:space="preserve">AUTHORITY NOTE: Promulgated in accordance with R.S. 37:3207 and 3220. </w:t>
      </w:r>
    </w:p>
    <w:p w14:paraId="1ADCE1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HISTORICAL NOTE: Promulgated by the Department of Health, Radiologic Technology Board of Examiners, LR 51:799 (June 2025, amended by the Department of Health, Radiologic Technology Board of Examiners, LR 52:</w:t>
      </w:r>
    </w:p>
    <w:p w14:paraId="26C30BB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12.</w:t>
      </w:r>
      <w:r w:rsidRPr="006E50FF">
        <w:rPr>
          <w:b/>
          <w:kern w:val="2"/>
        </w:rPr>
        <w:tab/>
        <w:t xml:space="preserve">Continuing Education Requirements </w:t>
      </w:r>
    </w:p>
    <w:p w14:paraId="23A64C9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§1201.</w:t>
      </w:r>
      <w:r w:rsidRPr="006E50FF">
        <w:rPr>
          <w:b/>
          <w:kern w:val="2"/>
        </w:rPr>
        <w:tab/>
        <w:t>Definitions</w:t>
      </w:r>
    </w:p>
    <w:p w14:paraId="3DD626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B7D08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Approved Continuing Education Activity</w:t>
      </w:r>
      <w:r w:rsidRPr="006E50FF">
        <w:rPr>
          <w:kern w:val="2"/>
        </w:rPr>
        <w:t>—an educational activity which has received approval through a recognized continuing education evaluation/mechanism.</w:t>
      </w:r>
    </w:p>
    <w:p w14:paraId="66AA8E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- 2.d.</w:t>
      </w:r>
      <w:r w:rsidRPr="006E50FF">
        <w:rPr>
          <w:kern w:val="2"/>
        </w:rPr>
        <w:tab/>
        <w:t>...</w:t>
      </w:r>
    </w:p>
    <w:p w14:paraId="38322B4B"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ARRT examination in registered radiologist assistant</w:t>
      </w:r>
    </w:p>
    <w:p w14:paraId="77B3BF2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other ARRT examinations as developed and implemented.</w:t>
      </w:r>
    </w:p>
    <w:p w14:paraId="45B90C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670ECEF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bCs/>
          <w:kern w:val="2"/>
        </w:rPr>
      </w:pPr>
      <w:r w:rsidRPr="006E50FF">
        <w:rPr>
          <w:kern w:val="2"/>
        </w:rPr>
        <w:t>* * *</w:t>
      </w:r>
    </w:p>
    <w:p w14:paraId="3E27C2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Permit for Limited X-ray Machine Operator</w:t>
      </w:r>
      <w:r w:rsidRPr="006E50FF">
        <w:rPr>
          <w:kern w:val="2"/>
        </w:rPr>
        <w:t xml:space="preserve">—a LSRTBE issued permit that is granted to qualified applicants. </w:t>
      </w:r>
    </w:p>
    <w:p w14:paraId="165B06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Temporary Working Permit for Radiologic Technologists</w:t>
      </w:r>
      <w:r w:rsidRPr="006E50FF">
        <w:rPr>
          <w:kern w:val="2"/>
        </w:rPr>
        <w:t xml:space="preserve">—a LSRTBE issued permit that is granted to qualified individuals for 90 days. </w:t>
      </w:r>
    </w:p>
    <w:p w14:paraId="3D099F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37:3207(B)(2). </w:t>
      </w:r>
    </w:p>
    <w:p w14:paraId="352F5A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21:178 (February 1995), amended LR 23:71 (January 1997), LR 40:2264 (November 2014), amended by the Department of Health, Radiologic Technology Board of Examiners, LR 42:2190 (December 2016), amended LR 51:801 (June 2025), amended by the Department of Health, Radiologic Technology Board of Examiners, LR 52:356 (March 2026), amended by the Department of Health, Radiologic Technology Board of Examiners, LR 52:</w:t>
      </w:r>
    </w:p>
    <w:p w14:paraId="74ADE5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5" w:name="_Toc201153871"/>
      <w:r w:rsidRPr="006E50FF">
        <w:rPr>
          <w:b/>
          <w:kern w:val="2"/>
        </w:rPr>
        <w:t>§1203.</w:t>
      </w:r>
      <w:r w:rsidRPr="006E50FF">
        <w:rPr>
          <w:b/>
          <w:kern w:val="2"/>
        </w:rPr>
        <w:tab/>
        <w:t>Renewal of License</w:t>
      </w:r>
      <w:bookmarkEnd w:id="745"/>
    </w:p>
    <w:p w14:paraId="4E5635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Effective June 1, 1997, the LSRTBE will require that those licensees applying for renewal of license shall have, in the preceding two-year period, participated in and completed the continuing education requirements, and/or board-approved alternatives as set forth below.</w:t>
      </w:r>
    </w:p>
    <w:p w14:paraId="5C609F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After June 1, 2013, every person licensed under the provision of this Chapter shall maintain certification and document on-going compliance through the ARRT, NMTCB, or ASCP.</w:t>
      </w:r>
    </w:p>
    <w:p w14:paraId="01E4B3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3DBE4C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40:2265 (November 2014), repromulgated by the Department of Health, Radiologic Technology Board of Examiners, LR 52:</w:t>
      </w:r>
    </w:p>
    <w:p w14:paraId="48816DC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§1205.</w:t>
      </w:r>
      <w:r w:rsidRPr="006E50FF">
        <w:rPr>
          <w:b/>
          <w:kern w:val="2"/>
        </w:rPr>
        <w:tab/>
        <w:t xml:space="preserve">Continuing Education Requirements </w:t>
      </w:r>
    </w:p>
    <w:p w14:paraId="285D53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Radiologic technologist, nuclear medicine technologist, radiation therapy technologist, fusion technologist, and radiologist assistant must complete 24 hours of continuing education credits must be earned per licensing term to meet the continuing education requirements. Credits earned in excess of 24 per licensing term may not be carried over into the next licensing term. The continuing education requirement is independent of the number of licenses held by an individual (i.e., a radiologic technologist certified in both radiography and radiation therapy technology needs only 24 credits). </w:t>
      </w:r>
    </w:p>
    <w:p w14:paraId="1F5142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 and 3220. </w:t>
      </w:r>
    </w:p>
    <w:p w14:paraId="0B741B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amended LR 51:802 (June 2025), amended by the Department of Health, Radiologic Technology Board of Examiners, LR 52:</w:t>
      </w:r>
      <w:bookmarkStart w:id="746" w:name="_Toc201153873"/>
    </w:p>
    <w:p w14:paraId="005F5B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§1207.</w:t>
      </w:r>
      <w:r w:rsidRPr="006E50FF">
        <w:rPr>
          <w:b/>
          <w:kern w:val="2"/>
        </w:rPr>
        <w:tab/>
        <w:t>Licensing Term Schedule</w:t>
      </w:r>
      <w:bookmarkEnd w:id="746"/>
    </w:p>
    <w:p w14:paraId="65496E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Since the licensing term is defined as that period from June 1 of the renewal or issuance of license year, to the second May 31 to occur after that date, the continuing education credits must be earned in the two years prior to the second occurrence of May 31. </w:t>
      </w:r>
    </w:p>
    <w:p w14:paraId="4D1552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461654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repromulgated by the Department of Health, Radiologic Technology Board of Examiners, LR 52:</w:t>
      </w:r>
    </w:p>
    <w:p w14:paraId="61A6E8D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7" w:name="_Toc201153874"/>
      <w:r w:rsidRPr="006E50FF">
        <w:rPr>
          <w:b/>
          <w:kern w:val="2"/>
        </w:rPr>
        <w:t>§1209.</w:t>
      </w:r>
      <w:r w:rsidRPr="006E50FF">
        <w:rPr>
          <w:b/>
          <w:kern w:val="2"/>
        </w:rPr>
        <w:tab/>
        <w:t>Renewal of License by Examination</w:t>
      </w:r>
      <w:bookmarkEnd w:id="747"/>
    </w:p>
    <w:p w14:paraId="5B3F01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Radiologic technologists who pass one of the advanced-level examinations or entry-level examinations in a different category within a licensing term are exempt from the continuing education requirement for that licensing term.</w:t>
      </w:r>
    </w:p>
    <w:p w14:paraId="1B2D631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 xml:space="preserve">Subsequent renewal of license will require documentation of 24 hours of active participation in continuing education activities for the following licensing term and every two years thereafter, unless another Board approved examination is passed. </w:t>
      </w:r>
    </w:p>
    <w:p w14:paraId="373E28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66AFAE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repromulgated by the Department of Health, Radiologic Technology Board of Examiners, LR 52:</w:t>
      </w:r>
    </w:p>
    <w:p w14:paraId="7CBD3B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§1211.</w:t>
      </w:r>
      <w:r w:rsidRPr="006E50FF">
        <w:rPr>
          <w:b/>
          <w:kern w:val="2"/>
        </w:rPr>
        <w:tab/>
        <w:t>Biannual Application for License Renewal</w:t>
      </w:r>
    </w:p>
    <w:p w14:paraId="0295CF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Notification for the renewal of the license will be emailed to each radiologic technologist whose license to practice radiologic technology will expire that May 31 with </w:t>
      </w:r>
      <w:r w:rsidRPr="006E50FF">
        <w:rPr>
          <w:kern w:val="2"/>
        </w:rPr>
        <w:t xml:space="preserve">the license fee due. Licensee is responsible for renewal in the event of not receiving emailed notification. </w:t>
      </w:r>
    </w:p>
    <w:p w14:paraId="48407A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37:3207(B)(2). </w:t>
      </w:r>
    </w:p>
    <w:p w14:paraId="6CB5B7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amended by the Department of Health, Radiologic Technology Board of Examiners, LR 42:2190 (December 2016), amended by the Department of Health, Radiologic Technology Board of Examiners, LR 52:</w:t>
      </w:r>
    </w:p>
    <w:p w14:paraId="1258B2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8" w:name="_Toc201153876"/>
      <w:r w:rsidRPr="006E50FF">
        <w:rPr>
          <w:b/>
          <w:kern w:val="2"/>
        </w:rPr>
        <w:t>§1213.</w:t>
      </w:r>
      <w:r w:rsidRPr="006E50FF">
        <w:rPr>
          <w:b/>
          <w:kern w:val="2"/>
        </w:rPr>
        <w:tab/>
        <w:t>Documentation</w:t>
      </w:r>
      <w:bookmarkEnd w:id="748"/>
    </w:p>
    <w:p w14:paraId="6FD303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licensed radiologic technologist is required to maintain proof of participation in continuing education activities and is required to attest to this participation on the form provided. Said documentation shall be provided by the radiologic technologist to the Louisiana State Radiologic Technology Board of Examiners as part of the renewal process. Failure to provide documentation acceptable to the Louisiana State Radiologic Technology Board of Examiners will result in an expired status. The Louisiana State Radiologic Technology Board of Examiners will accept copies of documents. Original documents shall be kept by the radiologic technologist for two years after the end of the licensing term for the purpose of further verification should the board choose to audit the licensees' submissions.</w:t>
      </w:r>
    </w:p>
    <w:p w14:paraId="0D46CE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7072D9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23:74 (January 1997), amended by the Department of Health, Radiologic Technology Board of Examiners, LR 42:2191 (December 2016), repromulgated by the Department of Health, Radiologic Technology Board of Examiners, LR 52:</w:t>
      </w:r>
    </w:p>
    <w:p w14:paraId="0111AE6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9" w:name="_Toc201153877"/>
      <w:r w:rsidRPr="006E50FF">
        <w:rPr>
          <w:b/>
          <w:kern w:val="2"/>
        </w:rPr>
        <w:t>§1215.</w:t>
      </w:r>
      <w:r w:rsidRPr="006E50FF">
        <w:rPr>
          <w:b/>
          <w:kern w:val="2"/>
        </w:rPr>
        <w:tab/>
        <w:t>Applicants for Renewal Who Fail to Meet CE Requirements</w:t>
      </w:r>
      <w:bookmarkEnd w:id="749"/>
    </w:p>
    <w:p w14:paraId="1E5B67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radiologic technologist who applies for renewal of license, but who fails to meet the renewal requirements within the previous licensing term, will automatically be transferred to an expired status. Individuals who are listed as having an expired status, due to failure to meet these renewal requirements, status will be published on website by the Louisiana State Radiologic Technology Board of Examiners and will be reported in response to any inquiries regarding the radiologic technologist's status with the Louisiana State Radiologic Technology Board of Examiners.</w:t>
      </w:r>
    </w:p>
    <w:p w14:paraId="33AEBA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radiologic technologist whose license has been placed on expired status for failure to meet continuing education requirements may be returned to an approved status by payment of the appropriate fees and expenses as specified in Section 1217 of this Chapter and performing one or more of the following:</w:t>
      </w:r>
    </w:p>
    <w:p w14:paraId="514034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passing an advanced level examination recognized by the LSRTBE;</w:t>
      </w:r>
    </w:p>
    <w:p w14:paraId="273690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passing an entry-level examination recognized by the LSRTBE in a different category;</w:t>
      </w:r>
    </w:p>
    <w:p w14:paraId="7343F0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completing the required continuing education hours in the six months (on or before December 31) following the May 31 expiration date and paying delinquency fee.</w:t>
      </w:r>
    </w:p>
    <w:p w14:paraId="106091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Any hours completed or other requirements met while expired may not be used to meet the continuing education requirements for the subsequent license term.</w:t>
      </w:r>
    </w:p>
    <w:p w14:paraId="63AAC4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37:3207(B)(2).</w:t>
      </w:r>
    </w:p>
    <w:p w14:paraId="2933A0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21:181 (February 1995), amended LR 40:2265 (November 2014), amended by the Department of Health, Radiologic Technology Board of Examiners, LR 42:2191 (December 2016), repromulgated by the Department of Health, Radiologic Technology Board of Examiners, LR 52:</w:t>
      </w:r>
    </w:p>
    <w:p w14:paraId="3C9D448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§1217.</w:t>
      </w:r>
      <w:r w:rsidRPr="006E50FF">
        <w:rPr>
          <w:b/>
          <w:kern w:val="2"/>
        </w:rPr>
        <w:tab/>
        <w:t>Fee and Expenses</w:t>
      </w:r>
    </w:p>
    <w:p w14:paraId="785B5A04"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bCs/>
          <w:kern w:val="2"/>
        </w:rPr>
        <w:tab/>
      </w:r>
      <w:r w:rsidRPr="006E50FF">
        <w:rPr>
          <w:kern w:val="2"/>
        </w:rPr>
        <w:t>The rules of this Chapter prescribe the fees and costs applicable to the licensing and permitting of individuals regulated pursuant to this Chapter.</w:t>
      </w:r>
    </w:p>
    <w:p w14:paraId="63993D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fees shall be payable to the board;</w:t>
      </w:r>
    </w:p>
    <w:p w14:paraId="08D056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Initial two-year license, $150;</w:t>
      </w:r>
    </w:p>
    <w:p w14:paraId="3B9770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Duplicate license, $50;</w:t>
      </w:r>
    </w:p>
    <w:p w14:paraId="3BC938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Biennial renewal of license or limited purpose permit, 2 years, $150;</w:t>
      </w:r>
    </w:p>
    <w:p w14:paraId="319674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Issuance of temporary working permit or limited purpose permit, $30;</w:t>
      </w:r>
    </w:p>
    <w:p w14:paraId="73F508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Delinquency fee in additional to the renewal fee for a license or limited purpose permit placed on an expired status, $200;</w:t>
      </w:r>
    </w:p>
    <w:p w14:paraId="1A6210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reinstatement fee, in addition to delinquency fee and renewal fee of a license or permit which has expired—$25 per month;</w:t>
      </w:r>
    </w:p>
    <w:p w14:paraId="3F2F4942"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7.</w:t>
      </w:r>
      <w:r w:rsidRPr="006E50FF">
        <w:rPr>
          <w:kern w:val="2"/>
        </w:rPr>
        <w:tab/>
        <w:t>reinstatement of a license or limited purpose permit that has been revoked or suspended, $300;</w:t>
      </w:r>
    </w:p>
    <w:p w14:paraId="141A2C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C.5.</w:t>
      </w:r>
      <w:r w:rsidRPr="006E50FF">
        <w:rPr>
          <w:kern w:val="2"/>
        </w:rPr>
        <w:tab/>
        <w:t xml:space="preserve">… </w:t>
      </w:r>
    </w:p>
    <w:p w14:paraId="4B2C64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Processing and handling a request for the board’s endorsement of licensure or permit status to another state for the purpose of reciprocity, $35. All requests will be processed within 5 business days. Requests completed by the board will be mailed or emailed. No verbal responses will be provided;</w:t>
      </w:r>
    </w:p>
    <w:p w14:paraId="01057673"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C.7. - E.</w:t>
      </w:r>
      <w:r w:rsidRPr="006E50FF">
        <w:rPr>
          <w:kern w:val="2"/>
        </w:rPr>
        <w:tab/>
        <w:t>…</w:t>
      </w:r>
    </w:p>
    <w:p w14:paraId="499DC5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 and 3220. </w:t>
      </w:r>
    </w:p>
    <w:p w14:paraId="44AD15B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21:181 (February 1995), amended LR 40:2266 (November 2014), amended by the Department of Health, Radiologic Technology Board of Examiners, LR 42:2191 (December 2016), amended by the Department of Health, Radiologic Technology Board of Examiners, LR 52:</w:t>
      </w:r>
    </w:p>
    <w:p w14:paraId="3F27B8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0" w:name="_Toc201153879"/>
      <w:r w:rsidRPr="006E50FF">
        <w:rPr>
          <w:b/>
          <w:kern w:val="2"/>
        </w:rPr>
        <w:t>§1219.</w:t>
      </w:r>
      <w:r w:rsidRPr="006E50FF">
        <w:rPr>
          <w:b/>
          <w:kern w:val="2"/>
        </w:rPr>
        <w:tab/>
        <w:t>Reinstatement of License</w:t>
      </w:r>
      <w:bookmarkEnd w:id="750"/>
    </w:p>
    <w:p w14:paraId="71E73C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a license lapses or is inactive for a period of less than four years and if the person is otherwise eligible for renewal of license, the person must supply evidence of having met the continuing education requirements and pay the designated standard renewal fee and any other associated fees as required by the board.</w:t>
      </w:r>
    </w:p>
    <w:p w14:paraId="4F1BD2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a license lapses or is inactive for a period of four or more years and if the person is otherwise eligible for renewal of license, the individual must pass the entry-level examination and pay the designated special reinstatement fee.</w:t>
      </w:r>
    </w:p>
    <w:p w14:paraId="796D76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following groups of licensees may be exempt from compliance with the continuing education requirement:</w:t>
      </w:r>
    </w:p>
    <w:p w14:paraId="77788A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Louisiana licensees who are unable to fulfill the requirement because of illness or other personal hardship. The number of hours may be modified by the board on a case-by-case review of supporting documentation, evidence and/or testimony;</w:t>
      </w:r>
    </w:p>
    <w:p w14:paraId="6678CF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board must receive a timely request for an exemption. Such a request shall be considered timely if </w:t>
      </w:r>
      <w:r w:rsidRPr="006E50FF">
        <w:rPr>
          <w:kern w:val="2"/>
        </w:rPr>
        <w:t>submitted to the board prior to March 31 of the license renewal year.</w:t>
      </w:r>
    </w:p>
    <w:p w14:paraId="43BFEE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353820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21:181 (February 1995), amended LR 23:74 (January 1997), repromulgated by the Department of Health, Radiologic Technology Board of Examiners, LR 52:</w:t>
      </w:r>
    </w:p>
    <w:p w14:paraId="4551663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51" w:name="TOC_Chap22"/>
      <w:bookmarkStart w:id="752" w:name="_Toc201153880"/>
      <w:r w:rsidRPr="006E50FF">
        <w:rPr>
          <w:b/>
          <w:kern w:val="2"/>
        </w:rPr>
        <w:t>Chapter 13.</w:t>
      </w:r>
      <w:bookmarkStart w:id="753" w:name="TOCT_Chap22"/>
      <w:bookmarkEnd w:id="751"/>
      <w:r w:rsidRPr="006E50FF">
        <w:rPr>
          <w:b/>
          <w:kern w:val="2"/>
        </w:rPr>
        <w:tab/>
        <w:t>Minimum Standards for the Accreditation of Education Programs</w:t>
      </w:r>
      <w:bookmarkEnd w:id="752"/>
      <w:bookmarkEnd w:id="753"/>
    </w:p>
    <w:p w14:paraId="5ECB6B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4" w:name="_Toc201153881"/>
      <w:r w:rsidRPr="006E50FF">
        <w:rPr>
          <w:b/>
          <w:kern w:val="2"/>
        </w:rPr>
        <w:t>§1301.</w:t>
      </w:r>
      <w:r w:rsidRPr="006E50FF">
        <w:rPr>
          <w:b/>
          <w:kern w:val="2"/>
        </w:rPr>
        <w:tab/>
        <w:t>Minimum Standards for the Accreditation of Education Programs</w:t>
      </w:r>
      <w:bookmarkEnd w:id="754"/>
    </w:p>
    <w:p w14:paraId="3CE522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37:3207(3), the board adopts as its standards for education programs and colleges that are programmatic or regionally recognized by the Council for Higher Education Accreditation (CHEA).</w:t>
      </w:r>
    </w:p>
    <w:p w14:paraId="3D758D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program director shall submit evidence of compliance with minimum standards of education for the accreditation of educational programs to the board upon forms provided by the board.</w:t>
      </w:r>
    </w:p>
    <w:p w14:paraId="61B615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21533A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and Hospitals, Radiologic Technology Board of Examiners, LR 23:74 (January 1997), LR 40:2266 (November 2014), repromulgated by the Department of Health, Radiologic Technology Board of Examiners, LR 52:</w:t>
      </w:r>
    </w:p>
    <w:p w14:paraId="1108FC8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55" w:name="TOC_Chap23"/>
      <w:bookmarkStart w:id="756" w:name="_Toc201153882"/>
      <w:r w:rsidRPr="006E50FF">
        <w:rPr>
          <w:b/>
          <w:kern w:val="2"/>
        </w:rPr>
        <w:t>Chapter 15.</w:t>
      </w:r>
      <w:bookmarkStart w:id="757" w:name="TOCT_Chap23"/>
      <w:bookmarkEnd w:id="755"/>
      <w:r w:rsidRPr="006E50FF">
        <w:rPr>
          <w:b/>
          <w:kern w:val="2"/>
        </w:rPr>
        <w:tab/>
        <w:t>Code of Ethics</w:t>
      </w:r>
      <w:bookmarkEnd w:id="756"/>
      <w:bookmarkEnd w:id="757"/>
    </w:p>
    <w:p w14:paraId="20CBA9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8" w:name="_Toc201153883"/>
      <w:r w:rsidRPr="006E50FF">
        <w:rPr>
          <w:b/>
          <w:kern w:val="2"/>
        </w:rPr>
        <w:t>§1501.</w:t>
      </w:r>
      <w:r w:rsidRPr="006E50FF">
        <w:rPr>
          <w:b/>
          <w:kern w:val="2"/>
        </w:rPr>
        <w:tab/>
        <w:t>Code of Ethics</w:t>
      </w:r>
      <w:bookmarkEnd w:id="758"/>
    </w:p>
    <w:p w14:paraId="40289B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code of ethics has been adopted by the board and shall be sent to each licensure candidate.</w:t>
      </w:r>
    </w:p>
    <w:p w14:paraId="70D6A7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75EB81D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repromulgated by the Department of Health, Radiologic Technology Board of Examiners, LR 52:</w:t>
      </w:r>
    </w:p>
    <w:p w14:paraId="66E222BF" w14:textId="77777777" w:rsidR="006E50FF" w:rsidRPr="006E50FF" w:rsidRDefault="006E50FF" w:rsidP="006E50FF">
      <w:pPr>
        <w:keepNext/>
        <w:jc w:val="center"/>
        <w:rPr>
          <w:b/>
          <w:kern w:val="28"/>
        </w:rPr>
      </w:pPr>
      <w:r w:rsidRPr="006E50FF">
        <w:rPr>
          <w:b/>
          <w:kern w:val="28"/>
        </w:rPr>
        <w:t>Family Impact Statement</w:t>
      </w:r>
    </w:p>
    <w:p w14:paraId="0C5BF8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After considering R.S. 49:972, it is anticipated that the proposed Rule should not have any known or foreseeable impact on family formation, stability, and autonomy. In particular, the proposed Rule has no known or foreseeable impact on: </w:t>
      </w:r>
    </w:p>
    <w:p w14:paraId="3F54E9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stability of the family; </w:t>
      </w:r>
    </w:p>
    <w:p w14:paraId="379261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authority and rights of persons regarding the education and supervision of their children; </w:t>
      </w:r>
    </w:p>
    <w:p w14:paraId="05A710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75295E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family earnings and family budget; </w:t>
      </w:r>
    </w:p>
    <w:p w14:paraId="4F0ABB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behavior and personal responsibility of children; </w:t>
      </w:r>
    </w:p>
    <w:p w14:paraId="69C015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090C30C5" w14:textId="77777777" w:rsidR="006E50FF" w:rsidRPr="006E50FF" w:rsidRDefault="006E50FF" w:rsidP="006E50FF">
      <w:pPr>
        <w:keepNext/>
        <w:jc w:val="center"/>
        <w:rPr>
          <w:b/>
          <w:kern w:val="28"/>
        </w:rPr>
      </w:pPr>
      <w:r w:rsidRPr="006E50FF">
        <w:rPr>
          <w:b/>
          <w:kern w:val="28"/>
        </w:rPr>
        <w:t>Poverty Impact Statement</w:t>
      </w:r>
    </w:p>
    <w:p w14:paraId="33B79B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It is anticipated that the proposed Rule should not have any known or foreseeable impact on any child, individual, or family as defined by R.S. 49:973.B. In particular there is no known or foreseeable effect on:</w:t>
      </w:r>
    </w:p>
    <w:p w14:paraId="25D1B4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8FB1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4A41B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effect on employment and workforce development;</w:t>
      </w:r>
    </w:p>
    <w:p w14:paraId="36CFA0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5653B6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649EB1FD" w14:textId="77777777" w:rsidR="006E50FF" w:rsidRPr="006E50FF" w:rsidRDefault="006E50FF" w:rsidP="006E50FF">
      <w:pPr>
        <w:keepNext/>
        <w:jc w:val="center"/>
        <w:rPr>
          <w:b/>
          <w:kern w:val="28"/>
        </w:rPr>
      </w:pPr>
      <w:r w:rsidRPr="006E50FF">
        <w:rPr>
          <w:b/>
          <w:kern w:val="28"/>
        </w:rPr>
        <w:t>Small Business Analysis</w:t>
      </w:r>
    </w:p>
    <w:p w14:paraId="371F20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Pursuant to R.S. 49:965.6, methods for reduction of the impact on small business, as defined in the Regulatory Flexibility Act, have been considered when creating this proposed Rule. </w:t>
      </w:r>
    </w:p>
    <w:p w14:paraId="4036AB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is not anticipated to have an adverse impact on small businesses; therefore, a Small Business Economic Impact Statement has not been prepared. </w:t>
      </w:r>
    </w:p>
    <w:p w14:paraId="0C6C8E57" w14:textId="77777777" w:rsidR="006E50FF" w:rsidRPr="006E50FF" w:rsidRDefault="006E50FF" w:rsidP="006E50FF">
      <w:pPr>
        <w:keepNext/>
        <w:jc w:val="center"/>
        <w:rPr>
          <w:b/>
          <w:kern w:val="28"/>
        </w:rPr>
      </w:pPr>
      <w:r w:rsidRPr="006E50FF">
        <w:rPr>
          <w:b/>
          <w:kern w:val="28"/>
        </w:rPr>
        <w:t>Provider Impact Statement</w:t>
      </w:r>
    </w:p>
    <w:p w14:paraId="3B9D4A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After considering HCR 170 of the 2014 Regular Legislative Session, it is anticipated that the proposed Rule should not have any known or foreseeable impact on:</w:t>
      </w:r>
    </w:p>
    <w:p w14:paraId="1C416D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50121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677B8B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09B2ADC8" w14:textId="77777777" w:rsidR="006E50FF" w:rsidRPr="006E50FF" w:rsidRDefault="006E50FF" w:rsidP="006E50FF">
      <w:pPr>
        <w:keepNext/>
        <w:jc w:val="center"/>
        <w:rPr>
          <w:b/>
          <w:kern w:val="28"/>
        </w:rPr>
      </w:pPr>
      <w:r w:rsidRPr="006E50FF">
        <w:rPr>
          <w:b/>
          <w:kern w:val="28"/>
        </w:rPr>
        <w:t xml:space="preserve">Public Comments </w:t>
      </w:r>
    </w:p>
    <w:p w14:paraId="26C180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the Executive Director, Louisiana State Radiologic Technology Board of Examiners, at 3108 Cleary Avenue, Suite 207, Metairie, LA 70002, or via email to execdirector@lsrtbe.org. Comments will be accepted until 4 p.m. on October 10, 2026.</w:t>
      </w:r>
    </w:p>
    <w:p w14:paraId="685CA3B0" w14:textId="77777777" w:rsidR="006E50FF" w:rsidRPr="006E50FF" w:rsidRDefault="006E50FF" w:rsidP="006E50FF">
      <w:pPr>
        <w:keepNext/>
        <w:jc w:val="center"/>
        <w:rPr>
          <w:b/>
          <w:kern w:val="28"/>
        </w:rPr>
      </w:pPr>
      <w:r w:rsidRPr="006E50FF">
        <w:rPr>
          <w:b/>
          <w:kern w:val="28"/>
        </w:rPr>
        <w:t>Public Hearing</w:t>
      </w:r>
    </w:p>
    <w:p w14:paraId="450077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 public hearing on this proposed Rule has been scheduled. If a public hearing is needed, all interested parties will be afforded an opportunity to submit data, views, or arguments either orally or in writing. Interested parties may submit a written request to conduct a public hearing to the Executive Director, Louisiana State Radiologic Technology Board of Examiners, at 3108 Cleary Avenue, Suite 207, Metairie, LA 70002, or via email to execdirector@lsrtbe.org; however, such request must be received no later than 4 p.m. on October 10, 2026. Any person wishing to attend should call to confirm that a hearing is being held by calling 504-838-5231.</w:t>
      </w:r>
    </w:p>
    <w:p w14:paraId="3E0467AE" w14:textId="77777777" w:rsidR="006E50FF" w:rsidRPr="006E50FF" w:rsidRDefault="006E50FF" w:rsidP="006E50FF">
      <w:pPr>
        <w:keepNext/>
        <w:ind w:left="2160"/>
        <w:jc w:val="both"/>
      </w:pPr>
    </w:p>
    <w:p w14:paraId="4A0A4FBC" w14:textId="77777777" w:rsidR="006E50FF" w:rsidRPr="006E50FF" w:rsidRDefault="006E50FF" w:rsidP="006E50FF">
      <w:pPr>
        <w:keepNext/>
        <w:tabs>
          <w:tab w:val="left" w:pos="3510"/>
          <w:tab w:val="left" w:pos="3600"/>
          <w:tab w:val="left" w:pos="4140"/>
          <w:tab w:val="left" w:pos="4500"/>
        </w:tabs>
        <w:ind w:left="1980"/>
        <w:jc w:val="both"/>
      </w:pPr>
      <w:r w:rsidRPr="006E50FF">
        <w:t>Hollie Taranto, M.B.A., R.T. (R) Executive Director</w:t>
      </w:r>
    </w:p>
    <w:p w14:paraId="08A1AAC1" w14:textId="77777777" w:rsidR="006E50FF" w:rsidRPr="006E50FF" w:rsidRDefault="006E50FF" w:rsidP="006E50FF">
      <w:pPr>
        <w:keepNext/>
        <w:jc w:val="center"/>
        <w:rPr>
          <w:b/>
        </w:rPr>
      </w:pPr>
    </w:p>
    <w:p w14:paraId="3D205E38" w14:textId="77777777" w:rsidR="006E50FF" w:rsidRPr="006E50FF" w:rsidRDefault="006E50FF" w:rsidP="006E50FF">
      <w:pPr>
        <w:keepNext/>
        <w:jc w:val="center"/>
        <w:rPr>
          <w:b/>
        </w:rPr>
      </w:pPr>
      <w:r w:rsidRPr="006E50FF">
        <w:rPr>
          <w:b/>
        </w:rPr>
        <w:t>FISCAL AND ECONOMIC IMPACT STATEMENT FOR ADMINISTRATIVE RULES</w:t>
      </w:r>
    </w:p>
    <w:p w14:paraId="1DCB5559" w14:textId="77777777" w:rsidR="006E50FF" w:rsidRPr="006E50FF" w:rsidRDefault="006E50FF" w:rsidP="006E50FF">
      <w:pPr>
        <w:keepNext/>
        <w:jc w:val="center"/>
        <w:rPr>
          <w:b/>
          <w:noProof/>
        </w:rPr>
      </w:pPr>
      <w:r w:rsidRPr="006E50FF">
        <w:rPr>
          <w:b/>
          <w:noProof/>
        </w:rPr>
        <w:t>RULE TITLE:  Radiologic Technologists</w:t>
      </w:r>
    </w:p>
    <w:p w14:paraId="1C960A5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318026D"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B21E060" w14:textId="77777777" w:rsidR="006E50FF" w:rsidRPr="006E50FF" w:rsidRDefault="006E50FF" w:rsidP="006E50FF">
      <w:pPr>
        <w:ind w:left="288" w:firstLine="288"/>
        <w:jc w:val="both"/>
        <w:rPr>
          <w:noProof/>
          <w:sz w:val="18"/>
        </w:rPr>
      </w:pPr>
      <w:r w:rsidRPr="006E50FF">
        <w:rPr>
          <w:noProof/>
          <w:sz w:val="18"/>
        </w:rPr>
        <w:t xml:space="preserve">The cost for the Louisiana State Radiologic Technology Board of Examiners (LSRTBE) is approximately $2,600 in FY 27 for the notice and rule publication in the </w:t>
      </w:r>
      <w:r w:rsidRPr="006E50FF">
        <w:rPr>
          <w:i/>
          <w:iCs/>
          <w:noProof/>
          <w:sz w:val="18"/>
        </w:rPr>
        <w:t>Louisiana Register</w:t>
      </w:r>
      <w:r w:rsidRPr="006E50FF">
        <w:rPr>
          <w:noProof/>
          <w:sz w:val="18"/>
        </w:rPr>
        <w:t>. LSRTBE operates onself-generated revenue primarily from licensing and renewal fees. Other than the cost of rulemaking, there are no estimated implementation costs or savings to state or governmental units resulting from the promulgation of the proposed rule changes.</w:t>
      </w:r>
    </w:p>
    <w:p w14:paraId="2DA96F02" w14:textId="77777777" w:rsidR="006E50FF" w:rsidRPr="006E50FF" w:rsidRDefault="006E50FF" w:rsidP="006E50FF">
      <w:pPr>
        <w:ind w:left="288" w:firstLine="288"/>
        <w:jc w:val="both"/>
        <w:rPr>
          <w:sz w:val="18"/>
        </w:rPr>
      </w:pPr>
      <w:r w:rsidRPr="006E50FF">
        <w:rPr>
          <w:sz w:val="18"/>
        </w:rPr>
        <w:br w:type="column"/>
      </w:r>
      <w:r w:rsidRPr="006E50FF">
        <w:rPr>
          <w:sz w:val="18"/>
        </w:rPr>
        <w:t>Pursuant to Act 929 of the 2026 RS, the proposed rule establishes a licensure category for Registered Radiologist Assistants (RRAs), adopts related practice provisions for these advanced-practice radiologic professionals, and clarifies temporary working permit and limited-purpose permit language throughout the rule. The proposed rule also modernizes and increases the LSRTBE’s fee schedule to better align fee collections with the cost of administering licensure, permitting, compliance monitoring, and regulation of the profession.</w:t>
      </w:r>
    </w:p>
    <w:p w14:paraId="5814790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4746241" w14:textId="77777777" w:rsidR="006E50FF" w:rsidRPr="006E50FF" w:rsidRDefault="006E50FF" w:rsidP="006E50FF">
      <w:pPr>
        <w:ind w:left="288" w:firstLine="288"/>
        <w:jc w:val="both"/>
        <w:rPr>
          <w:sz w:val="18"/>
        </w:rPr>
      </w:pPr>
      <w:r w:rsidRPr="006E50FF">
        <w:rPr>
          <w:sz w:val="18"/>
        </w:rPr>
        <w:t>The proposed rule is expected to generate approximately $183,000 in additional SGR in FY 27, $176,000 in FY 28, and $155,200 in FY 29. The exact amount will depend upon future licensure, renewal, permit, and verification activity.</w:t>
      </w:r>
    </w:p>
    <w:p w14:paraId="1FEA277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4F9B203" w14:textId="77777777" w:rsidR="006E50FF" w:rsidRPr="006E50FF" w:rsidRDefault="006E50FF" w:rsidP="006E50FF">
      <w:pPr>
        <w:ind w:left="288" w:firstLine="288"/>
        <w:jc w:val="both"/>
        <w:rPr>
          <w:noProof/>
          <w:sz w:val="18"/>
        </w:rPr>
      </w:pPr>
      <w:r w:rsidRPr="006E50FF">
        <w:rPr>
          <w:noProof/>
          <w:sz w:val="18"/>
        </w:rPr>
        <w:t>While license applicants, permit applicants, licensees, and permit holders will experience increased fees for applications, renewals, and related administrative services, the rule is expected to increase LSRTBE’s SGR beginning in FY 27. The additional revenue will help maintain effective regulatory oversight that protects public health and safety through licensure, compliance monitoring, and disciplinary review, while also supporting modernization of administrative processes and technology systems to improve the licensing and permit experience.</w:t>
      </w:r>
    </w:p>
    <w:p w14:paraId="2A2F017F" w14:textId="77777777" w:rsidR="006E50FF" w:rsidRPr="006E50FF" w:rsidRDefault="006E50FF" w:rsidP="006E50FF">
      <w:pPr>
        <w:ind w:left="288" w:firstLine="288"/>
        <w:jc w:val="both"/>
        <w:rPr>
          <w:sz w:val="18"/>
        </w:rPr>
      </w:pPr>
      <w:r w:rsidRPr="006E50FF">
        <w:rPr>
          <w:sz w:val="18"/>
        </w:rPr>
        <w:t>The establishment of RRA licensure creates a formal regulatory pathway for nationally credentialed RRAs to practice in Louisiana. RRAs are advanced-practice radiologic professionals who work under radiologist supervision and may assist with patient management and certain imaging procedures as part of a radiologist-led healthcare team. Healthcare facilities, physician practices, hospitals, and imaging centers may benefit from improved workforce utilization and operational efficiency through the use of licensed RRAs.</w:t>
      </w:r>
    </w:p>
    <w:p w14:paraId="685927E5"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F5C7653" w14:textId="77777777" w:rsidR="006E50FF" w:rsidRPr="006E50FF" w:rsidRDefault="006E50FF" w:rsidP="006E50FF">
      <w:pPr>
        <w:ind w:left="288" w:firstLine="288"/>
        <w:jc w:val="both"/>
        <w:rPr>
          <w:noProof/>
          <w:sz w:val="18"/>
        </w:rPr>
      </w:pPr>
      <w:r w:rsidRPr="006E50FF">
        <w:rPr>
          <w:noProof/>
          <w:sz w:val="18"/>
        </w:rPr>
        <w:t>The proposed rule change, including the addition of RRA licensure, is not expected to adversely affect competition within Louisiana’s healthcare market. Instead, recognition of RRAs as a licensed category may have a positive effect on employment opportunities and workforce mobility by establishing a recognized licensure pathway for individuals who hold national RRA credentials. The rule may encourage qualified practitioners to practice in Louisiana and provide career advancement opportunities for radiologic technologists pursuing advanced education and certification.</w:t>
      </w:r>
    </w:p>
    <w:p w14:paraId="59342AD6" w14:textId="77777777" w:rsidR="006E50FF" w:rsidRPr="006E50FF" w:rsidRDefault="006E50FF" w:rsidP="006E50FF">
      <w:pPr>
        <w:ind w:left="288" w:firstLine="288"/>
        <w:jc w:val="both"/>
        <w:rPr>
          <w:sz w:val="18"/>
        </w:rPr>
      </w:pPr>
      <w:r w:rsidRPr="006E50FF">
        <w:rPr>
          <w:sz w:val="18"/>
        </w:rPr>
        <w:t>The rule is not expected to displace radiologists or other licensed healthcare professionals. Rather, RRAs serve as physician extenders who operate under radiologist supervision within a radiologist-led care model. The principal effect of the rule is anticipated to be improved utilization of specialized healthcare personnel, greater operational efficiency in imaging services, and enhanced patient access to radiologic services where facilities use advanced imaging support personnel. Additionally, any direct employment impact of the proposed rule change is expected to be positive but modest.</w:t>
      </w:r>
    </w:p>
    <w:p w14:paraId="415C4808" w14:textId="77777777" w:rsidR="006E50FF" w:rsidRPr="006E50FF" w:rsidRDefault="006E50FF" w:rsidP="006E50FF">
      <w:pPr>
        <w:ind w:left="288" w:firstLine="288"/>
        <w:jc w:val="both"/>
        <w:rPr>
          <w:sz w:val="18"/>
        </w:rPr>
      </w:pPr>
    </w:p>
    <w:p w14:paraId="0C443127" w14:textId="77777777" w:rsidR="006E50FF" w:rsidRPr="006E50FF" w:rsidRDefault="006E50FF" w:rsidP="006E50FF">
      <w:pPr>
        <w:tabs>
          <w:tab w:val="left" w:pos="2880"/>
          <w:tab w:val="decimal" w:pos="2988"/>
        </w:tabs>
        <w:outlineLvl w:val="8"/>
        <w:rPr>
          <w:kern w:val="2"/>
          <w:sz w:val="18"/>
        </w:rPr>
      </w:pPr>
      <w:r w:rsidRPr="006E50FF">
        <w:rPr>
          <w:kern w:val="2"/>
          <w:sz w:val="18"/>
        </w:rPr>
        <w:t>Hollie Taranto</w:t>
      </w:r>
      <w:r w:rsidRPr="006E50FF">
        <w:rPr>
          <w:kern w:val="2"/>
          <w:sz w:val="18"/>
        </w:rPr>
        <w:tab/>
        <w:t>Alan M. Boxberger</w:t>
      </w:r>
    </w:p>
    <w:p w14:paraId="2F1E5B44"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3AA01F16" w14:textId="77777777" w:rsidR="006E50FF" w:rsidRPr="006E50FF" w:rsidRDefault="006E50FF" w:rsidP="006E50FF">
      <w:pPr>
        <w:tabs>
          <w:tab w:val="left" w:pos="2880"/>
          <w:tab w:val="decimal" w:pos="2988"/>
        </w:tabs>
        <w:outlineLvl w:val="8"/>
        <w:rPr>
          <w:kern w:val="2"/>
          <w:sz w:val="18"/>
        </w:rPr>
      </w:pPr>
      <w:r w:rsidRPr="006E50FF">
        <w:rPr>
          <w:noProof/>
          <w:sz w:val="16"/>
        </w:rPr>
        <w:t>2609#044</w:t>
      </w:r>
      <w:r w:rsidRPr="006E50FF">
        <w:rPr>
          <w:kern w:val="2"/>
        </w:rPr>
        <w:tab/>
      </w:r>
      <w:r w:rsidRPr="006E50FF">
        <w:rPr>
          <w:kern w:val="2"/>
          <w:sz w:val="18"/>
        </w:rPr>
        <w:t>Legislative Fiscal Office</w:t>
      </w:r>
    </w:p>
    <w:p w14:paraId="2BD57199" w14:textId="77777777" w:rsidR="006E50FF" w:rsidRPr="006E50FF" w:rsidRDefault="006E50FF" w:rsidP="006E50FF">
      <w:pPr>
        <w:rPr>
          <w:noProof/>
        </w:rPr>
      </w:pPr>
    </w:p>
    <w:p w14:paraId="3673D5EC" w14:textId="77777777" w:rsidR="006E50FF" w:rsidRPr="006E50FF" w:rsidRDefault="006E50FF" w:rsidP="006E50FF"/>
    <w:p w14:paraId="14E28253" w14:textId="77777777" w:rsidR="006E50FF" w:rsidRPr="006E50FF" w:rsidRDefault="006E50FF" w:rsidP="006E50FF"/>
    <w:p w14:paraId="50AE577C"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4B5F05C4" w14:textId="77777777" w:rsidR="006E50FF" w:rsidRPr="006E50FF" w:rsidRDefault="006E50FF" w:rsidP="006E50FF">
      <w:pPr>
        <w:keepNext/>
        <w:jc w:val="center"/>
        <w:rPr>
          <w:b/>
          <w:noProof/>
        </w:rPr>
      </w:pPr>
      <w:r w:rsidRPr="006E50FF">
        <w:rPr>
          <w:b/>
          <w:noProof/>
        </w:rPr>
        <w:t>Department of Public Safety and Corrections</w:t>
      </w:r>
    </w:p>
    <w:p w14:paraId="176D0241" w14:textId="77777777" w:rsidR="006E50FF" w:rsidRPr="006E50FF" w:rsidRDefault="006E50FF" w:rsidP="006E50FF">
      <w:pPr>
        <w:keepNext/>
        <w:jc w:val="center"/>
        <w:rPr>
          <w:b/>
          <w:noProof/>
        </w:rPr>
      </w:pPr>
      <w:r w:rsidRPr="006E50FF">
        <w:rPr>
          <w:b/>
          <w:noProof/>
        </w:rPr>
        <w:t>Corrections Services</w:t>
      </w:r>
    </w:p>
    <w:p w14:paraId="4BFC271E" w14:textId="77777777" w:rsidR="006E50FF" w:rsidRPr="006E50FF" w:rsidRDefault="006E50FF" w:rsidP="006E50FF">
      <w:pPr>
        <w:keepNext/>
        <w:spacing w:before="240" w:after="240"/>
        <w:jc w:val="center"/>
        <w:rPr>
          <w:noProof/>
        </w:rPr>
      </w:pPr>
      <w:r w:rsidRPr="006E50FF">
        <w:rPr>
          <w:noProof/>
        </w:rPr>
        <w:t>Telephone Use and Policy on Monitoring of Calls</w:t>
      </w:r>
      <w:r w:rsidRPr="006E50FF">
        <w:rPr>
          <w:noProof/>
        </w:rPr>
        <w:br/>
        <w:t>(LAC 22:I.315)</w:t>
      </w:r>
    </w:p>
    <w:p w14:paraId="237589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provisions of the Administrative Procedure Act (R.S. 49:950), the Department of Public Safety and Corrections, Corrections Services, hereby gives notice of its intent to amend the contents of §315, Telephone Use and Policy on Monitoring of Calls.</w:t>
      </w:r>
    </w:p>
    <w:p w14:paraId="6F377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Public Safety and Corrections, Corrections Services, proposes to revise this regulation to ensure correctness and compliance with current standards and to reflect the intentions of the Department of Public Safety and Corrections. Changes include terminology revisions such as offender to inmate, unit and/or institution to facility and cellblock to segregation.</w:t>
      </w:r>
    </w:p>
    <w:p w14:paraId="3CEC704E" w14:textId="77777777" w:rsidR="006E50FF" w:rsidRPr="006E50FF" w:rsidRDefault="006E50FF" w:rsidP="006E50FF">
      <w:pPr>
        <w:keepNext/>
        <w:jc w:val="center"/>
        <w:rPr>
          <w:b/>
          <w:kern w:val="28"/>
        </w:rPr>
      </w:pPr>
      <w:r w:rsidRPr="006E50FF">
        <w:rPr>
          <w:b/>
          <w:kern w:val="28"/>
        </w:rPr>
        <w:t>Title 22</w:t>
      </w:r>
    </w:p>
    <w:p w14:paraId="559D26FE" w14:textId="77777777" w:rsidR="006E50FF" w:rsidRPr="006E50FF" w:rsidRDefault="006E50FF" w:rsidP="006E50FF">
      <w:pPr>
        <w:keepNext/>
        <w:jc w:val="center"/>
        <w:rPr>
          <w:b/>
          <w:kern w:val="28"/>
        </w:rPr>
      </w:pPr>
      <w:r w:rsidRPr="006E50FF">
        <w:rPr>
          <w:b/>
          <w:kern w:val="28"/>
        </w:rPr>
        <w:t>CORRECTIONS, CRIMINAL JUSTICE AND LAW ENFORCEMENT</w:t>
      </w:r>
    </w:p>
    <w:p w14:paraId="08EDC321" w14:textId="77777777" w:rsidR="006E50FF" w:rsidRPr="006E50FF" w:rsidRDefault="006E50FF" w:rsidP="006E50FF">
      <w:pPr>
        <w:keepNext/>
        <w:jc w:val="center"/>
        <w:rPr>
          <w:b/>
          <w:noProof/>
        </w:rPr>
      </w:pPr>
      <w:r w:rsidRPr="006E50FF">
        <w:rPr>
          <w:b/>
          <w:noProof/>
        </w:rPr>
        <w:t>Part I.  Corrections</w:t>
      </w:r>
    </w:p>
    <w:p w14:paraId="24638F3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08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Adult Services</w:t>
      </w:r>
    </w:p>
    <w:p w14:paraId="1A79529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General</w:t>
      </w:r>
    </w:p>
    <w:p w14:paraId="3B6189F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9" w:name="_Toc218771769"/>
      <w:r w:rsidRPr="006E50FF">
        <w:rPr>
          <w:b/>
          <w:kern w:val="2"/>
        </w:rPr>
        <w:t>§315.</w:t>
      </w:r>
      <w:r w:rsidRPr="006E50FF">
        <w:rPr>
          <w:b/>
          <w:kern w:val="2"/>
        </w:rPr>
        <w:tab/>
        <w:t>Telephone Use and Policy on Monitoring of Calls</w:t>
      </w:r>
      <w:bookmarkEnd w:id="759"/>
    </w:p>
    <w:p w14:paraId="27F6F4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Purpose—t</w:t>
      </w:r>
      <w:r w:rsidRPr="006E50FF">
        <w:rPr>
          <w:spacing w:val="-8"/>
          <w:kern w:val="2"/>
        </w:rPr>
        <w:t xml:space="preserve">o </w:t>
      </w:r>
      <w:r w:rsidRPr="006E50FF">
        <w:rPr>
          <w:kern w:val="2"/>
        </w:rPr>
        <w:t>state the secretary's policy regarding the use of telephones by inmates and the monitoring of inmate telephone calls at all adult</w:t>
      </w:r>
      <w:r w:rsidRPr="006E50FF">
        <w:rPr>
          <w:spacing w:val="-13"/>
          <w:kern w:val="2"/>
        </w:rPr>
        <w:t xml:space="preserve"> </w:t>
      </w:r>
      <w:r w:rsidRPr="006E50FF">
        <w:rPr>
          <w:kern w:val="2"/>
        </w:rPr>
        <w:t>facilities.</w:t>
      </w:r>
    </w:p>
    <w:p w14:paraId="48131F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Applicability—Deputy </w:t>
      </w:r>
      <w:r w:rsidRPr="006E50FF">
        <w:rPr>
          <w:spacing w:val="-3"/>
          <w:kern w:val="2"/>
        </w:rPr>
        <w:t xml:space="preserve">Secretary, </w:t>
      </w:r>
      <w:r w:rsidRPr="006E50FF">
        <w:rPr>
          <w:kern w:val="2"/>
        </w:rPr>
        <w:t xml:space="preserve">Chief of Operations, Regional </w:t>
      </w:r>
      <w:r w:rsidRPr="006E50FF">
        <w:rPr>
          <w:spacing w:val="-3"/>
          <w:kern w:val="2"/>
        </w:rPr>
        <w:t xml:space="preserve">Wardens </w:t>
      </w:r>
      <w:r w:rsidRPr="006E50FF">
        <w:rPr>
          <w:kern w:val="2"/>
        </w:rPr>
        <w:t xml:space="preserve">and </w:t>
      </w:r>
      <w:r w:rsidRPr="006E50FF">
        <w:rPr>
          <w:spacing w:val="-3"/>
          <w:kern w:val="2"/>
        </w:rPr>
        <w:t xml:space="preserve">Wardens. </w:t>
      </w:r>
      <w:r w:rsidRPr="006E50FF">
        <w:rPr>
          <w:kern w:val="2"/>
        </w:rPr>
        <w:t>Each warden is responsible for ensuring that appropriate facility written policy and procedures are in place to comply with the provisions of this regulation and for implementing and notifying all affected persons of its</w:t>
      </w:r>
      <w:r w:rsidRPr="006E50FF">
        <w:rPr>
          <w:spacing w:val="-2"/>
          <w:kern w:val="2"/>
        </w:rPr>
        <w:t xml:space="preserve"> </w:t>
      </w:r>
      <w:r w:rsidRPr="006E50FF">
        <w:rPr>
          <w:kern w:val="2"/>
        </w:rPr>
        <w:t>contents.</w:t>
      </w:r>
    </w:p>
    <w:p w14:paraId="209CE9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Policy. It is the secretary's policy that uniform telephone procedures, including the ability to monitor and/or record inmate telephone calls to preserve the security and orderly management of the facility and to protect public </w:t>
      </w:r>
      <w:r w:rsidRPr="006E50FF">
        <w:rPr>
          <w:spacing w:val="-3"/>
          <w:kern w:val="2"/>
        </w:rPr>
        <w:t xml:space="preserve">safety, </w:t>
      </w:r>
      <w:r w:rsidRPr="006E50FF">
        <w:rPr>
          <w:kern w:val="2"/>
        </w:rPr>
        <w:t xml:space="preserve">shall be adhered to at all facilities. Each facility shall offer inmates (including the hearing and/or speech impaired) reasonable access to telephone communication without overtaxing the facility’s ability to properly maintain security and to avoid abuse of this privilege on the part of any </w:t>
      </w:r>
      <w:r w:rsidRPr="006E50FF">
        <w:rPr>
          <w:spacing w:val="-3"/>
          <w:kern w:val="2"/>
        </w:rPr>
        <w:t xml:space="preserve">inmate. </w:t>
      </w:r>
      <w:r w:rsidRPr="006E50FF">
        <w:rPr>
          <w:kern w:val="2"/>
        </w:rPr>
        <w:t>Inmates with hearing and/or speech disabilities and inmates who wish to communicate with parties who have such disabilities, shall be given access to appropriate auxiliary aids and services. It is further the secretary's policy to encourage inmates to maintain telephone communications while incarcerated in order to maintain family connections that will promote unification upon</w:t>
      </w:r>
      <w:r w:rsidRPr="006E50FF">
        <w:rPr>
          <w:spacing w:val="-2"/>
          <w:kern w:val="2"/>
        </w:rPr>
        <w:t xml:space="preserve"> </w:t>
      </w:r>
      <w:r w:rsidRPr="006E50FF">
        <w:rPr>
          <w:kern w:val="2"/>
        </w:rPr>
        <w:t>release.</w:t>
      </w:r>
    </w:p>
    <w:p w14:paraId="3EC186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Procedures</w:t>
      </w:r>
    </w:p>
    <w:p w14:paraId="2150FA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General</w:t>
      </w:r>
    </w:p>
    <w:p w14:paraId="3AB7DCB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Each inmate shall be assigned a personal identification number (PIN) which must be used when placing outgoing telephone calls. The PIN shall be the inmate’s DOC</w:t>
      </w:r>
      <w:r w:rsidRPr="006E50FF">
        <w:rPr>
          <w:spacing w:val="-1"/>
          <w:kern w:val="2"/>
        </w:rPr>
        <w:t xml:space="preserve"> </w:t>
      </w:r>
      <w:r w:rsidRPr="006E50FF">
        <w:rPr>
          <w:spacing w:val="-3"/>
          <w:kern w:val="2"/>
        </w:rPr>
        <w:t>number.</w:t>
      </w:r>
    </w:p>
    <w:p w14:paraId="3A9B71A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Each inmate may provide his assigned facility a master list of up to 20 frequently called telephone numbers inclusive of all </w:t>
      </w:r>
      <w:r w:rsidRPr="006E50FF">
        <w:rPr>
          <w:spacing w:val="-3"/>
          <w:kern w:val="2"/>
        </w:rPr>
        <w:t xml:space="preserve">family, </w:t>
      </w:r>
      <w:r w:rsidRPr="006E50FF">
        <w:rPr>
          <w:kern w:val="2"/>
        </w:rPr>
        <w:t xml:space="preserve">personal, and legal calls. Each inmate’s outgoing telephone calls shall be limited to those telephone numbers he has placed on his master list. Changes may be </w:t>
      </w:r>
      <w:r w:rsidRPr="006E50FF">
        <w:rPr>
          <w:kern w:val="2"/>
        </w:rPr>
        <w:t>made to the master list at the discretion of the warden or designee, but no less than once each quarter. These changes may be entered by the contractor or by appropriately trained facility staff. No inmate shall place the telephone number of the family of another</w:t>
      </w:r>
      <w:r w:rsidRPr="006E50FF">
        <w:rPr>
          <w:spacing w:val="-17"/>
          <w:kern w:val="2"/>
        </w:rPr>
        <w:t xml:space="preserve"> </w:t>
      </w:r>
      <w:r w:rsidRPr="006E50FF">
        <w:rPr>
          <w:kern w:val="2"/>
        </w:rPr>
        <w:t>inmate on his master list except for verified members of his own family.</w:t>
      </w:r>
    </w:p>
    <w:p w14:paraId="7863382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new inmates, PIN and master list numbers shall be entered into the telephone system upon intake at the reception and diagnostic</w:t>
      </w:r>
      <w:r w:rsidRPr="006E50FF">
        <w:rPr>
          <w:spacing w:val="-5"/>
          <w:kern w:val="2"/>
        </w:rPr>
        <w:t xml:space="preserve"> </w:t>
      </w:r>
      <w:r w:rsidRPr="006E50FF">
        <w:rPr>
          <w:kern w:val="2"/>
        </w:rPr>
        <w:t>centers.</w:t>
      </w:r>
    </w:p>
    <w:p w14:paraId="116F1ED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All inmate telephone calls made through use of the inmate telephone system shall be recorded and are subject to monitoring. This may include calls made to attorneys using the inmate telephone system. (See Clause D.6.a.iii for additional</w:t>
      </w:r>
      <w:r w:rsidRPr="006E50FF">
        <w:rPr>
          <w:spacing w:val="-3"/>
          <w:kern w:val="2"/>
        </w:rPr>
        <w:t xml:space="preserve"> </w:t>
      </w:r>
      <w:r w:rsidRPr="006E50FF">
        <w:rPr>
          <w:kern w:val="2"/>
        </w:rPr>
        <w:t>information.)</w:t>
      </w:r>
    </w:p>
    <w:p w14:paraId="6F0002B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visible sign by each inmate telephone shall place inmates on notice that all calls shall be recorded and are subject to</w:t>
      </w:r>
      <w:r w:rsidRPr="006E50FF">
        <w:rPr>
          <w:spacing w:val="-1"/>
          <w:kern w:val="2"/>
        </w:rPr>
        <w:t xml:space="preserve"> </w:t>
      </w:r>
      <w:r w:rsidRPr="006E50FF">
        <w:rPr>
          <w:kern w:val="2"/>
        </w:rPr>
        <w:t>monitoring.</w:t>
      </w:r>
    </w:p>
    <w:p w14:paraId="6E74042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 recorded message shall notify all parties that all calls shall be recorded and are subject to monitoring and that the call originated from a correctional</w:t>
      </w:r>
      <w:r w:rsidRPr="006E50FF">
        <w:rPr>
          <w:spacing w:val="-11"/>
          <w:kern w:val="2"/>
        </w:rPr>
        <w:t xml:space="preserve"> </w:t>
      </w:r>
      <w:r w:rsidRPr="006E50FF">
        <w:rPr>
          <w:spacing w:val="-3"/>
          <w:kern w:val="2"/>
        </w:rPr>
        <w:t>facility.</w:t>
      </w:r>
    </w:p>
    <w:p w14:paraId="73D16ECA"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Use of the inmate telephone system shall constitute consent by all parties to the recording and/or monitoring of the</w:t>
      </w:r>
      <w:r w:rsidRPr="006E50FF">
        <w:rPr>
          <w:spacing w:val="-4"/>
          <w:kern w:val="2"/>
        </w:rPr>
        <w:t xml:space="preserve"> </w:t>
      </w:r>
      <w:r w:rsidRPr="006E50FF">
        <w:rPr>
          <w:kern w:val="2"/>
        </w:rPr>
        <w:t>call.</w:t>
      </w:r>
    </w:p>
    <w:p w14:paraId="449434FE"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 xml:space="preserve">Upon the request of a telephone subscriber, the facility shall block a telephone number and prevent the subscriber from receiving calls from an inmate housed in the </w:t>
      </w:r>
      <w:r w:rsidRPr="006E50FF">
        <w:rPr>
          <w:spacing w:val="-3"/>
          <w:kern w:val="2"/>
        </w:rPr>
        <w:t xml:space="preserve">facility. </w:t>
      </w:r>
      <w:r w:rsidRPr="006E50FF">
        <w:rPr>
          <w:spacing w:val="-8"/>
          <w:kern w:val="2"/>
        </w:rPr>
        <w:t xml:space="preserve">To </w:t>
      </w:r>
      <w:r w:rsidRPr="006E50FF">
        <w:rPr>
          <w:kern w:val="2"/>
        </w:rPr>
        <w:t>accomplish a block of a particular number for all state facilities, the facility should contact the contractor to request that a universal block be put into</w:t>
      </w:r>
      <w:r w:rsidRPr="006E50FF">
        <w:rPr>
          <w:spacing w:val="-21"/>
          <w:kern w:val="2"/>
        </w:rPr>
        <w:t xml:space="preserve"> </w:t>
      </w:r>
      <w:r w:rsidRPr="006E50FF">
        <w:rPr>
          <w:kern w:val="2"/>
        </w:rPr>
        <w:t>place.</w:t>
      </w:r>
    </w:p>
    <w:p w14:paraId="04C1C6A0"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 xml:space="preserve">Inmates are allowed to make collect calls to cell phones. These calls must be set up as direct remit accounts with the department's phone service provider. This shall be done after approval is received from the department to add the cell </w:t>
      </w:r>
      <w:r w:rsidRPr="006E50FF">
        <w:rPr>
          <w:spacing w:val="-3"/>
          <w:kern w:val="2"/>
        </w:rPr>
        <w:t xml:space="preserve">number. </w:t>
      </w:r>
      <w:r w:rsidRPr="006E50FF">
        <w:rPr>
          <w:kern w:val="2"/>
        </w:rPr>
        <w:t xml:space="preserve">Prepaid cell phones are not permitted to set up direct bill accounts. Cell phones must have a provider from a major wireless company i.e., </w:t>
      </w:r>
      <w:r w:rsidRPr="006E50FF">
        <w:rPr>
          <w:spacing w:val="-11"/>
          <w:kern w:val="2"/>
        </w:rPr>
        <w:t xml:space="preserve">AT </w:t>
      </w:r>
      <w:r w:rsidRPr="006E50FF">
        <w:rPr>
          <w:kern w:val="2"/>
        </w:rPr>
        <w:t xml:space="preserve">and </w:t>
      </w:r>
      <w:r w:rsidRPr="006E50FF">
        <w:rPr>
          <w:spacing w:val="-8"/>
          <w:kern w:val="2"/>
        </w:rPr>
        <w:t xml:space="preserve">T, </w:t>
      </w:r>
      <w:r w:rsidRPr="006E50FF">
        <w:rPr>
          <w:kern w:val="2"/>
        </w:rPr>
        <w:t xml:space="preserve">Sprint, </w:t>
      </w:r>
      <w:r w:rsidRPr="006E50FF">
        <w:rPr>
          <w:spacing w:val="-4"/>
          <w:kern w:val="2"/>
        </w:rPr>
        <w:t xml:space="preserve">Verizon, </w:t>
      </w:r>
      <w:r w:rsidRPr="006E50FF">
        <w:rPr>
          <w:spacing w:val="-3"/>
          <w:kern w:val="2"/>
        </w:rPr>
        <w:t>T-Mobile,</w:t>
      </w:r>
      <w:r w:rsidRPr="006E50FF">
        <w:rPr>
          <w:spacing w:val="-4"/>
          <w:kern w:val="2"/>
        </w:rPr>
        <w:t xml:space="preserve"> </w:t>
      </w:r>
      <w:r w:rsidRPr="006E50FF">
        <w:rPr>
          <w:kern w:val="2"/>
        </w:rPr>
        <w:t>etc.</w:t>
      </w:r>
    </w:p>
    <w:p w14:paraId="18ED8D24"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Disciplinary sanctions may include certain restrictions on phone privileges; however, all inmates shall be allowed two collect calls per</w:t>
      </w:r>
      <w:r w:rsidRPr="006E50FF">
        <w:rPr>
          <w:spacing w:val="-9"/>
          <w:kern w:val="2"/>
        </w:rPr>
        <w:t xml:space="preserve"> </w:t>
      </w:r>
      <w:r w:rsidRPr="006E50FF">
        <w:rPr>
          <w:kern w:val="2"/>
        </w:rPr>
        <w:t>month. Loss of phone privileges shall only be a permissible sanction where the rule violation is directly related to the use of telephone privileges.</w:t>
      </w:r>
    </w:p>
    <w:p w14:paraId="6C4C6D93"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Any inmate placed in segregation shall be allowed one phone call (either at the inmate’s expense or via a collect call) within 24 hours of placement into a segregated housing</w:t>
      </w:r>
      <w:r w:rsidRPr="006E50FF">
        <w:rPr>
          <w:spacing w:val="-3"/>
          <w:kern w:val="2"/>
        </w:rPr>
        <w:t xml:space="preserve"> </w:t>
      </w:r>
      <w:r w:rsidRPr="006E50FF">
        <w:rPr>
          <w:kern w:val="2"/>
        </w:rPr>
        <w:t>unit, including inmates who have lost their phone privileges as a separate disciplinary sanction.</w:t>
      </w:r>
    </w:p>
    <w:p w14:paraId="4B1495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Dormitory Housing (Minimum or </w:t>
      </w:r>
      <w:r w:rsidRPr="006E50FF">
        <w:rPr>
          <w:spacing w:val="-1"/>
          <w:kern w:val="2"/>
        </w:rPr>
        <w:t xml:space="preserve">Medium </w:t>
      </w:r>
      <w:r w:rsidRPr="006E50FF">
        <w:rPr>
          <w:kern w:val="2"/>
        </w:rPr>
        <w:t>Custody)</w:t>
      </w:r>
    </w:p>
    <w:p w14:paraId="6FC71E7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Routine Personal or Family Calls. Collect telephone access shall be available on a relatively non-restricted basis. The specific hours in the various living areas at the individual facilities shall be established by the warden of each facility. The warden or designee shall communicate the telephone schedule to the inmate population. A time limit for call duration may be</w:t>
      </w:r>
      <w:r w:rsidRPr="006E50FF">
        <w:rPr>
          <w:spacing w:val="-3"/>
          <w:kern w:val="2"/>
        </w:rPr>
        <w:t xml:space="preserve"> </w:t>
      </w:r>
      <w:r w:rsidRPr="006E50FF">
        <w:rPr>
          <w:kern w:val="2"/>
        </w:rPr>
        <w:t>established; however, call duration shall not be limited to less than 15 minutes.</w:t>
      </w:r>
    </w:p>
    <w:p w14:paraId="44E8EF3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Emergency Personal or Family Calls. Requests for phone access outside of normally scheduled hours may be made through the Warden’s designee (dormitory officer, shift supervisor or other appropriate staff). The staff person to whom the request is made shall determine if an emergency phone call is warranted and shall make a written record of </w:t>
      </w:r>
      <w:r w:rsidRPr="006E50FF">
        <w:rPr>
          <w:kern w:val="2"/>
        </w:rPr>
        <w:lastRenderedPageBreak/>
        <w:t>their determination. No maximum frequency for this type call shall be established, as the severity and duration of emergencies may</w:t>
      </w:r>
      <w:r w:rsidRPr="006E50FF">
        <w:rPr>
          <w:spacing w:val="-10"/>
          <w:kern w:val="2"/>
        </w:rPr>
        <w:t xml:space="preserve"> </w:t>
      </w:r>
      <w:r w:rsidRPr="006E50FF">
        <w:rPr>
          <w:spacing w:val="-3"/>
          <w:kern w:val="2"/>
        </w:rPr>
        <w:t>vary.</w:t>
      </w:r>
    </w:p>
    <w:p w14:paraId="372DA9C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Legal Calls. The warden shall establish a schedule for legal calls. Generally, inmates shall be able to place legal calls during the lunch period non-working hours, or after the afternoon count (when normal office hours are in effect for attorneys.) The warden shall establish an alternate procedure if this is not</w:t>
      </w:r>
      <w:r w:rsidRPr="006E50FF">
        <w:rPr>
          <w:spacing w:val="-4"/>
          <w:kern w:val="2"/>
        </w:rPr>
        <w:t xml:space="preserve"> </w:t>
      </w:r>
      <w:r w:rsidRPr="006E50FF">
        <w:rPr>
          <w:kern w:val="2"/>
        </w:rPr>
        <w:t>adequate.</w:t>
      </w:r>
    </w:p>
    <w:p w14:paraId="6DD73C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Segregated Housing (Maximum</w:t>
      </w:r>
      <w:r w:rsidRPr="006E50FF">
        <w:rPr>
          <w:spacing w:val="-5"/>
          <w:kern w:val="2"/>
        </w:rPr>
        <w:t xml:space="preserve"> </w:t>
      </w:r>
      <w:r w:rsidRPr="006E50FF">
        <w:rPr>
          <w:kern w:val="2"/>
        </w:rPr>
        <w:t>Custody)</w:t>
      </w:r>
    </w:p>
    <w:p w14:paraId="752DECA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Routine Personal or Family Calls. Collect telephone access is generally located in the segregated housing area </w:t>
      </w:r>
      <w:r w:rsidRPr="006E50FF">
        <w:rPr>
          <w:spacing w:val="-3"/>
          <w:kern w:val="2"/>
        </w:rPr>
        <w:t xml:space="preserve">lobby. </w:t>
      </w:r>
      <w:r w:rsidRPr="006E50FF">
        <w:rPr>
          <w:kern w:val="2"/>
        </w:rPr>
        <w:t xml:space="preserve">(In those situations where the telephone is on the </w:t>
      </w:r>
      <w:r w:rsidRPr="006E50FF">
        <w:rPr>
          <w:spacing w:val="-3"/>
          <w:kern w:val="2"/>
        </w:rPr>
        <w:t xml:space="preserve">tier, </w:t>
      </w:r>
      <w:r w:rsidRPr="006E50FF">
        <w:rPr>
          <w:kern w:val="2"/>
        </w:rPr>
        <w:t>the inmate may be allowed access during the shower or exercise period.) Posted policy may limit routine personal calls for inmates assigned to segregation in the event that lobby placement restricts inmate access. Access may vary by inmate classification status. A time limit for call duration may be established; however, call duration shall not be limited to less than 15 minutes.</w:t>
      </w:r>
    </w:p>
    <w:p w14:paraId="7DDCF1C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Emergency Personal or Family Calls. In all subclasses of maximum custody, the inmate is required to request consideration for this type call from the warden's designee (shift supervisor, unit </w:t>
      </w:r>
      <w:r w:rsidRPr="006E50FF">
        <w:rPr>
          <w:spacing w:val="-2"/>
          <w:kern w:val="2"/>
        </w:rPr>
        <w:t xml:space="preserve">major, </w:t>
      </w:r>
      <w:r w:rsidRPr="006E50FF">
        <w:rPr>
          <w:kern w:val="2"/>
        </w:rPr>
        <w:t>or program staff). The staff person to whom the request is made shall determine if an emergency phone call is warranted and shall make a written record of their determination. No frequency for this type call shall be established as the severity and duration of the emergency may</w:t>
      </w:r>
      <w:r w:rsidRPr="006E50FF">
        <w:rPr>
          <w:spacing w:val="-3"/>
          <w:kern w:val="2"/>
        </w:rPr>
        <w:t xml:space="preserve"> vary.</w:t>
      </w:r>
    </w:p>
    <w:p w14:paraId="203425C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Legal Calls. The warden shall establish a procedure for placing legal calls on a reasonable basis during an attorney’s normal office hours. Each housing unit shall maintain a telephone log for the purpose of monitoring the number of legal calls made by inmates on a weekly basis. All legal calls shall be logged with the attorney's full name, bar number, telephone number called, date, time, and whether completed.</w:t>
      </w:r>
    </w:p>
    <w:p w14:paraId="0B9B00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Incoming Calls</w:t>
      </w:r>
    </w:p>
    <w:p w14:paraId="546DAAA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Routine Personal or Family calls. Messages are not accepted or relayed on a routine basis for any</w:t>
      </w:r>
      <w:r w:rsidRPr="006E50FF">
        <w:rPr>
          <w:spacing w:val="-23"/>
          <w:kern w:val="2"/>
        </w:rPr>
        <w:t xml:space="preserve"> </w:t>
      </w:r>
      <w:r w:rsidRPr="006E50FF">
        <w:rPr>
          <w:spacing w:val="-3"/>
          <w:kern w:val="2"/>
        </w:rPr>
        <w:t>inmate.</w:t>
      </w:r>
    </w:p>
    <w:p w14:paraId="0E387ED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Legal Calls. Inmates may be given notice that their attorney has requested contact. Complete verification that the requested contact is the inmate’s attorney is required prior to processing. If minimum or medium </w:t>
      </w:r>
      <w:r w:rsidRPr="006E50FF">
        <w:rPr>
          <w:spacing w:val="-3"/>
          <w:kern w:val="2"/>
        </w:rPr>
        <w:t xml:space="preserve">custody, </w:t>
      </w:r>
      <w:r w:rsidRPr="006E50FF">
        <w:rPr>
          <w:kern w:val="2"/>
        </w:rPr>
        <w:t>the inmate may call from the dormitory during lunch or after work. If maximum custody, the inmate may be allowed to call during their attorney’s normal office hours at a time which does not interfere with the orderly operation of the facility.</w:t>
      </w:r>
    </w:p>
    <w:p w14:paraId="2866E4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Emergency Messages/Important </w:t>
      </w:r>
      <w:r w:rsidRPr="006E50FF">
        <w:rPr>
          <w:spacing w:val="-3"/>
          <w:kern w:val="2"/>
        </w:rPr>
        <w:t xml:space="preserve">Telephone </w:t>
      </w:r>
      <w:r w:rsidRPr="006E50FF">
        <w:rPr>
          <w:kern w:val="2"/>
        </w:rPr>
        <w:t>Calls Based upon Faith-Based Programs and</w:t>
      </w:r>
      <w:r w:rsidRPr="006E50FF">
        <w:rPr>
          <w:spacing w:val="-9"/>
          <w:kern w:val="2"/>
        </w:rPr>
        <w:t xml:space="preserve"> </w:t>
      </w:r>
      <w:r w:rsidRPr="006E50FF">
        <w:rPr>
          <w:kern w:val="2"/>
        </w:rPr>
        <w:t>Services</w:t>
      </w:r>
    </w:p>
    <w:p w14:paraId="0E573AF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Emergency messages concerning a serious illness, </w:t>
      </w:r>
      <w:r w:rsidRPr="006E50FF">
        <w:rPr>
          <w:spacing w:val="-3"/>
          <w:kern w:val="2"/>
        </w:rPr>
        <w:t xml:space="preserve">injury, </w:t>
      </w:r>
      <w:r w:rsidRPr="006E50FF">
        <w:rPr>
          <w:kern w:val="2"/>
        </w:rPr>
        <w:t>death, or other family crisis, etc. shall be delivered to an inmate by the chaplain or other person designated by the warden. Exceptions to this paragraph shall only be granted by the warden or</w:t>
      </w:r>
      <w:r w:rsidRPr="006E50FF">
        <w:rPr>
          <w:spacing w:val="-10"/>
          <w:kern w:val="2"/>
        </w:rPr>
        <w:t xml:space="preserve"> </w:t>
      </w:r>
      <w:r w:rsidRPr="006E50FF">
        <w:rPr>
          <w:kern w:val="2"/>
        </w:rPr>
        <w:t>designee.</w:t>
      </w:r>
    </w:p>
    <w:p w14:paraId="437ED79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Notification to an inmate’s emergency contact (or other appropriate person as the situation warrants) of an inmate’s serious illness, injury, or death shall be made in a timely manner by the chaplain or other person designated by the</w:t>
      </w:r>
      <w:r w:rsidRPr="006E50FF">
        <w:rPr>
          <w:spacing w:val="-1"/>
          <w:kern w:val="2"/>
        </w:rPr>
        <w:t xml:space="preserve"> </w:t>
      </w:r>
      <w:r w:rsidRPr="006E50FF">
        <w:rPr>
          <w:kern w:val="2"/>
        </w:rPr>
        <w:t>warden.</w:t>
      </w:r>
    </w:p>
    <w:p w14:paraId="7422D53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Chaplains are allowed discretion to make telephone calls for inmates for the purposes of dealing with emergency</w:t>
      </w:r>
      <w:r w:rsidRPr="006E50FF">
        <w:rPr>
          <w:spacing w:val="-2"/>
          <w:kern w:val="2"/>
        </w:rPr>
        <w:t xml:space="preserve"> </w:t>
      </w:r>
      <w:r w:rsidRPr="006E50FF">
        <w:rPr>
          <w:kern w:val="2"/>
        </w:rPr>
        <w:t>matters.</w:t>
      </w:r>
    </w:p>
    <w:p w14:paraId="775977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Monitoring</w:t>
      </w:r>
    </w:p>
    <w:p w14:paraId="3E593D9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Inmates shall be put on notice of the</w:t>
      </w:r>
      <w:r w:rsidRPr="006E50FF">
        <w:rPr>
          <w:spacing w:val="-12"/>
          <w:kern w:val="2"/>
        </w:rPr>
        <w:t xml:space="preserve"> </w:t>
      </w:r>
      <w:r w:rsidRPr="006E50FF">
        <w:rPr>
          <w:kern w:val="2"/>
        </w:rPr>
        <w:t>following:</w:t>
      </w:r>
    </w:p>
    <w:p w14:paraId="009BD87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telephone calls in housing areas shall be recorded and are subject to monitoring. Use of telephones constitutes consent to recordation and monitoring;</w:t>
      </w:r>
    </w:p>
    <w:p w14:paraId="75CD141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recorded message shall notify all parties that all calls shall be recorded and are subject to monitoring and that the call originated from a correctional facility;</w:t>
      </w:r>
    </w:p>
    <w:p w14:paraId="5787B62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telephone calls to the inmate’s designated attorney(s) shall be recorded, but</w:t>
      </w:r>
      <w:r w:rsidRPr="006E50FF">
        <w:rPr>
          <w:spacing w:val="25"/>
          <w:kern w:val="2"/>
        </w:rPr>
        <w:t xml:space="preserve"> </w:t>
      </w:r>
      <w:r w:rsidRPr="006E50FF">
        <w:rPr>
          <w:kern w:val="2"/>
        </w:rPr>
        <w:t>shall</w:t>
      </w:r>
      <w:r w:rsidRPr="006E50FF">
        <w:rPr>
          <w:spacing w:val="26"/>
          <w:kern w:val="2"/>
        </w:rPr>
        <w:t xml:space="preserve"> </w:t>
      </w:r>
      <w:r w:rsidRPr="006E50FF">
        <w:rPr>
          <w:kern w:val="2"/>
        </w:rPr>
        <w:t>not</w:t>
      </w:r>
      <w:r w:rsidRPr="006E50FF">
        <w:rPr>
          <w:spacing w:val="25"/>
          <w:kern w:val="2"/>
        </w:rPr>
        <w:t xml:space="preserve"> </w:t>
      </w:r>
      <w:r w:rsidRPr="006E50FF">
        <w:rPr>
          <w:kern w:val="2"/>
        </w:rPr>
        <w:t>be</w:t>
      </w:r>
      <w:r w:rsidRPr="006E50FF">
        <w:rPr>
          <w:spacing w:val="25"/>
          <w:kern w:val="2"/>
        </w:rPr>
        <w:t xml:space="preserve"> </w:t>
      </w:r>
      <w:r w:rsidRPr="006E50FF">
        <w:rPr>
          <w:kern w:val="2"/>
        </w:rPr>
        <w:t>routinely</w:t>
      </w:r>
      <w:r w:rsidRPr="006E50FF">
        <w:rPr>
          <w:spacing w:val="27"/>
          <w:kern w:val="2"/>
        </w:rPr>
        <w:t xml:space="preserve"> </w:t>
      </w:r>
      <w:r w:rsidRPr="006E50FF">
        <w:rPr>
          <w:kern w:val="2"/>
        </w:rPr>
        <w:t>monitored.</w:t>
      </w:r>
      <w:r w:rsidRPr="006E50FF">
        <w:rPr>
          <w:spacing w:val="15"/>
          <w:kern w:val="2"/>
        </w:rPr>
        <w:t xml:space="preserve"> </w:t>
      </w:r>
      <w:r w:rsidRPr="006E50FF">
        <w:rPr>
          <w:kern w:val="2"/>
        </w:rPr>
        <w:t xml:space="preserve">However, such calls may be monitored upon the warden’s determination of good cause, such as where a security need exists. Prior to examination of the content of the conversation with the </w:t>
      </w:r>
      <w:r w:rsidRPr="006E50FF">
        <w:rPr>
          <w:spacing w:val="-3"/>
          <w:kern w:val="2"/>
        </w:rPr>
        <w:t xml:space="preserve">attorney, the authorized staff member </w:t>
      </w:r>
      <w:r w:rsidRPr="006E50FF">
        <w:rPr>
          <w:kern w:val="2"/>
        </w:rPr>
        <w:t>requesting examination must submit in writing the factors supporting good cause to the warden for approval. The warden’s determination of good cause shall be documented with written reasons. Only after written approval has been received shall the conversation be examined. Only investigators approved by the chief of operations shall be allowed to monitor calls.</w:t>
      </w:r>
    </w:p>
    <w:p w14:paraId="0C63E3C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telephone system typically terminates a call at the end of the authorized period (generally 15 minutes); however, the warden or designee may authorize calls of a longer duration as circumstances warrant. Persons using the telecommunication device for the deaf (TDD) system shall be allowed one-hour telephone calls.</w:t>
      </w:r>
    </w:p>
    <w:p w14:paraId="6F268C4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Inmates shall not be allowed access to home telephone numbers of staff members, nor be allowed to contact any staff member of the department (including volunteers, contract workers, etc.) by any means, whether through call forwarding, texting, web-based communication, or other similar communication platforms or</w:t>
      </w:r>
      <w:r w:rsidRPr="006E50FF">
        <w:rPr>
          <w:spacing w:val="-16"/>
          <w:kern w:val="2"/>
        </w:rPr>
        <w:t xml:space="preserve"> </w:t>
      </w:r>
      <w:r w:rsidRPr="006E50FF">
        <w:rPr>
          <w:kern w:val="2"/>
        </w:rPr>
        <w:t>systems.</w:t>
      </w:r>
    </w:p>
    <w:p w14:paraId="34DF8B9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Only authorized personnel (i.e., those who have been assigned a login/password) approved by the warden or designee may monitor inmate telephone calls. Only investigators authorized by the chief of operations may monitor an inmate’s calls to his attorney. Information gained from monitoring calls which affects the security of the facility or threatens the protection of the public shall be communicated to the warden and other law enforcement</w:t>
      </w:r>
      <w:r w:rsidRPr="006E50FF">
        <w:rPr>
          <w:spacing w:val="-1"/>
          <w:kern w:val="2"/>
        </w:rPr>
        <w:t xml:space="preserve"> </w:t>
      </w:r>
      <w:r w:rsidRPr="006E50FF">
        <w:rPr>
          <w:kern w:val="2"/>
        </w:rPr>
        <w:t>agencies.</w:t>
      </w:r>
    </w:p>
    <w:p w14:paraId="7EFA913E"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Inmates being processed for intake through the reception and diagnostic centers shall be required to give consent in writing, acknowledging that they are aware that their telephone calls shall be recorded and are subject to monitoring. A copy of this consent shall be placed in the inmate’s master</w:t>
      </w:r>
      <w:r w:rsidRPr="006E50FF">
        <w:rPr>
          <w:spacing w:val="-3"/>
          <w:kern w:val="2"/>
        </w:rPr>
        <w:t xml:space="preserve"> </w:t>
      </w:r>
      <w:r w:rsidRPr="006E50FF">
        <w:rPr>
          <w:kern w:val="2"/>
        </w:rPr>
        <w:t>record.</w:t>
      </w:r>
    </w:p>
    <w:p w14:paraId="6DA2E79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Each facility’s orientation manual shall include the information contained in this regulation as a means to notify the inmate population of its contents and verbal notification shall be given during the orientation program. A sign shall be posted at each inmate telephone which states the following</w:t>
      </w:r>
      <w:r w:rsidRPr="006E50FF">
        <w:rPr>
          <w:spacing w:val="-3"/>
          <w:kern w:val="2"/>
        </w:rPr>
        <w:t xml:space="preserve"> </w:t>
      </w:r>
      <w:r w:rsidRPr="006E50FF">
        <w:rPr>
          <w:kern w:val="2"/>
        </w:rPr>
        <w:t>information.</w:t>
      </w:r>
    </w:p>
    <w:p w14:paraId="1D9C680D" w14:textId="77777777" w:rsidR="006E50FF" w:rsidRPr="006E50FF" w:rsidRDefault="006E50FF" w:rsidP="006E50FF">
      <w:pPr>
        <w:ind w:left="432" w:right="432"/>
        <w:jc w:val="center"/>
        <w:rPr>
          <w:noProof/>
          <w:sz w:val="16"/>
          <w:szCs w:val="16"/>
        </w:rPr>
      </w:pPr>
      <w:r w:rsidRPr="006E50FF">
        <w:rPr>
          <w:noProof/>
          <w:sz w:val="16"/>
          <w:szCs w:val="16"/>
        </w:rPr>
        <w:br w:type="page"/>
      </w:r>
    </w:p>
    <w:p w14:paraId="14507180" w14:textId="77777777" w:rsidR="006E50FF" w:rsidRPr="006E50FF" w:rsidRDefault="006E50FF" w:rsidP="006E50FF">
      <w:pPr>
        <w:ind w:left="432" w:right="432"/>
        <w:jc w:val="center"/>
        <w:rPr>
          <w:noProof/>
          <w:sz w:val="16"/>
          <w:szCs w:val="16"/>
        </w:rPr>
      </w:pPr>
      <w:r w:rsidRPr="006E50FF">
        <w:rPr>
          <w:noProof/>
          <w:sz w:val="16"/>
          <w:szCs w:val="16"/>
        </w:rPr>
        <w:lastRenderedPageBreak/>
        <w:t>ATTENTION</w:t>
      </w:r>
    </w:p>
    <w:p w14:paraId="6D1EE682" w14:textId="77777777" w:rsidR="006E50FF" w:rsidRPr="006E50FF" w:rsidRDefault="006E50FF" w:rsidP="006E50FF">
      <w:pPr>
        <w:ind w:left="432" w:right="432"/>
        <w:jc w:val="both"/>
        <w:rPr>
          <w:noProof/>
          <w:sz w:val="16"/>
          <w:szCs w:val="16"/>
        </w:rPr>
      </w:pPr>
      <w:r w:rsidRPr="006E50FF">
        <w:rPr>
          <w:noProof/>
          <w:sz w:val="16"/>
          <w:szCs w:val="16"/>
        </w:rPr>
        <w:t>This telephone has been electronically programmed to monitor and/or record telephone calls. By using this telephone, you consent to the monitoring and/or recording of your conversation. Telephone calls to your designated attorney(s) will not be routinely monitored.</w:t>
      </w:r>
    </w:p>
    <w:p w14:paraId="557DED1B" w14:textId="77777777" w:rsidR="006E50FF" w:rsidRPr="006E50FF" w:rsidRDefault="006E50FF" w:rsidP="006E50FF">
      <w:pPr>
        <w:ind w:left="432" w:right="432"/>
        <w:jc w:val="center"/>
        <w:rPr>
          <w:noProof/>
          <w:sz w:val="16"/>
          <w:szCs w:val="16"/>
        </w:rPr>
      </w:pPr>
    </w:p>
    <w:p w14:paraId="5AFE0397" w14:textId="77777777" w:rsidR="006E50FF" w:rsidRPr="006E50FF" w:rsidRDefault="006E50FF" w:rsidP="006E50FF">
      <w:pPr>
        <w:ind w:left="432" w:right="432"/>
        <w:jc w:val="center"/>
        <w:rPr>
          <w:noProof/>
          <w:sz w:val="16"/>
          <w:szCs w:val="16"/>
        </w:rPr>
      </w:pPr>
      <w:r w:rsidRPr="006E50FF">
        <w:rPr>
          <w:noProof/>
          <w:sz w:val="16"/>
          <w:szCs w:val="16"/>
        </w:rPr>
        <w:t>Department of Public Safety and Corrections</w:t>
      </w:r>
    </w:p>
    <w:p w14:paraId="5DDCAF71" w14:textId="77777777" w:rsidR="006E50FF" w:rsidRPr="006E50FF" w:rsidRDefault="006E50FF" w:rsidP="006E50FF">
      <w:pPr>
        <w:ind w:left="432" w:right="432"/>
        <w:jc w:val="center"/>
        <w:rPr>
          <w:noProof/>
          <w:sz w:val="16"/>
          <w:szCs w:val="16"/>
        </w:rPr>
      </w:pPr>
      <w:r w:rsidRPr="006E50FF">
        <w:rPr>
          <w:noProof/>
          <w:sz w:val="16"/>
          <w:szCs w:val="16"/>
        </w:rPr>
        <w:t>Department Regulation No. OP-C-8</w:t>
      </w:r>
    </w:p>
    <w:p w14:paraId="764357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09392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Remote Call</w:t>
      </w:r>
      <w:r w:rsidRPr="006E50FF">
        <w:rPr>
          <w:spacing w:val="-1"/>
          <w:kern w:val="2"/>
        </w:rPr>
        <w:t xml:space="preserve"> </w:t>
      </w:r>
      <w:r w:rsidRPr="006E50FF">
        <w:rPr>
          <w:kern w:val="2"/>
        </w:rPr>
        <w:t>Forwarding</w:t>
      </w:r>
    </w:p>
    <w:p w14:paraId="085D84B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inmate population shall be put on notice that all third-party telephone calls, including remote call forwarding (RCF) calls, are strictly prohibited and such activity shall result in appropriate disciplinary action. </w:t>
      </w:r>
    </w:p>
    <w:p w14:paraId="06B99C4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RCF is a mechanism by which inmates may employ a local telephone number that automatically forwards the telephone call to a pre-selected number generally located out of the local calling area code or long distance. RCF is comparable to an automated 3-way</w:t>
      </w:r>
      <w:r w:rsidRPr="006E50FF">
        <w:rPr>
          <w:spacing w:val="-2"/>
          <w:kern w:val="2"/>
        </w:rPr>
        <w:t xml:space="preserve"> </w:t>
      </w:r>
      <w:r w:rsidRPr="006E50FF">
        <w:rPr>
          <w:kern w:val="2"/>
        </w:rPr>
        <w:t>call.</w:t>
      </w:r>
    </w:p>
    <w:p w14:paraId="19AC246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RCF is also known as automated call forwarding or private branch exchange (PBX) call forwarding. Use of this automated and remote mechanism represents significant security risks for several reasons, including because the telephone call terminated number (the end destination of the call) cannot be readily identified or verified. This number is not a traditional telephone number located at a residence, business or other such location, but merely a number within the telephone switching equipment local to the facility where the inmate is</w:t>
      </w:r>
      <w:r w:rsidRPr="006E50FF">
        <w:rPr>
          <w:spacing w:val="-13"/>
          <w:kern w:val="2"/>
        </w:rPr>
        <w:t xml:space="preserve"> </w:t>
      </w:r>
      <w:r w:rsidRPr="006E50FF">
        <w:rPr>
          <w:kern w:val="2"/>
        </w:rPr>
        <w:t>housed.</w:t>
      </w:r>
    </w:p>
    <w:p w14:paraId="7BFE805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strike/>
          <w:kern w:val="2"/>
        </w:rPr>
      </w:pPr>
      <w:r w:rsidRPr="006E50FF">
        <w:rPr>
          <w:kern w:val="2"/>
        </w:rPr>
        <w:tab/>
        <w:t>iii.</w:t>
      </w:r>
      <w:r w:rsidRPr="006E50FF">
        <w:rPr>
          <w:kern w:val="2"/>
        </w:rPr>
        <w:tab/>
        <w:t>RCF initiated calls to an unidentified terminated number can be easily forwarded to unauthorized telephones. This forwarding is done through the normal 3-way call hook ups. This negates the security mechanisms achieved by the requirement of approved telephone lists, including safeguards to prevent calls to victims and blocked or restricted numbers or to prevent other unauthorized call activities.</w:t>
      </w:r>
    </w:p>
    <w:p w14:paraId="6D8EE837" w14:textId="77777777" w:rsidR="006E50FF" w:rsidRPr="006E50FF" w:rsidRDefault="006E50FF" w:rsidP="006E50FF">
      <w:pPr>
        <w:tabs>
          <w:tab w:val="left" w:pos="907"/>
        </w:tabs>
        <w:ind w:firstLine="547"/>
        <w:jc w:val="both"/>
        <w:outlineLvl w:val="5"/>
        <w:rPr>
          <w:kern w:val="2"/>
        </w:rPr>
      </w:pPr>
      <w:r w:rsidRPr="006E50FF">
        <w:rPr>
          <w:spacing w:val="-3"/>
          <w:kern w:val="2"/>
        </w:rPr>
        <w:t>b.</w:t>
      </w:r>
      <w:r w:rsidRPr="006E50FF">
        <w:rPr>
          <w:spacing w:val="-3"/>
          <w:kern w:val="2"/>
        </w:rPr>
        <w:tab/>
        <w:t xml:space="preserve">Wardens </w:t>
      </w:r>
      <w:r w:rsidRPr="006E50FF">
        <w:rPr>
          <w:kern w:val="2"/>
        </w:rPr>
        <w:t>shall develop a monitoring system to analyze the frequency of local calls. High frequency may indicate RCF utilization. When RCF calls are discovered, a system-wide block of the number shall be initiated pursuant to Subparagraph D.1.i of this</w:t>
      </w:r>
      <w:r w:rsidRPr="006E50FF">
        <w:rPr>
          <w:spacing w:val="-7"/>
          <w:kern w:val="2"/>
        </w:rPr>
        <w:t xml:space="preserve"> </w:t>
      </w:r>
      <w:r w:rsidRPr="006E50FF">
        <w:rPr>
          <w:kern w:val="2"/>
        </w:rPr>
        <w:t>Section.</w:t>
      </w:r>
    </w:p>
    <w:p w14:paraId="1E6F78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15:829.</w:t>
      </w:r>
    </w:p>
    <w:p w14:paraId="3581A1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Corrections Services, LR 29:360 (March 2003), amended LR 29:2849 (December 2003), LR 35:87 (January 2009), LR 37:599 (February 2011),</w:t>
      </w:r>
      <w:r w:rsidRPr="006E50FF">
        <w:rPr>
          <w:sz w:val="18"/>
        </w:rPr>
        <w:t xml:space="preserve"> </w:t>
      </w:r>
      <w:r w:rsidRPr="006E50FF">
        <w:rPr>
          <w:kern w:val="2"/>
          <w:sz w:val="18"/>
        </w:rPr>
        <w:t>LR 46:1395 (October 2020), LR 48:2157 (August 2022) LR 52:</w:t>
      </w:r>
    </w:p>
    <w:p w14:paraId="4920ADE4" w14:textId="77777777" w:rsidR="006E50FF" w:rsidRPr="006E50FF" w:rsidRDefault="006E50FF" w:rsidP="006E50FF">
      <w:pPr>
        <w:keepNext/>
        <w:jc w:val="center"/>
        <w:rPr>
          <w:b/>
          <w:kern w:val="28"/>
        </w:rPr>
      </w:pPr>
      <w:r w:rsidRPr="006E50FF">
        <w:rPr>
          <w:b/>
          <w:kern w:val="28"/>
        </w:rPr>
        <w:t>Family Impact Statement</w:t>
      </w:r>
    </w:p>
    <w:p w14:paraId="05BBD8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Amendment to the current Rule should not have any known or foreseeable impact on family formation, stability or autonomy, as described in R.S. 49.972.</w:t>
      </w:r>
    </w:p>
    <w:p w14:paraId="12760355" w14:textId="77777777" w:rsidR="006E50FF" w:rsidRPr="006E50FF" w:rsidRDefault="006E50FF" w:rsidP="006E50FF">
      <w:pPr>
        <w:keepNext/>
        <w:jc w:val="center"/>
        <w:rPr>
          <w:b/>
          <w:kern w:val="28"/>
        </w:rPr>
      </w:pPr>
      <w:r w:rsidRPr="006E50FF">
        <w:rPr>
          <w:b/>
          <w:kern w:val="28"/>
        </w:rPr>
        <w:t>Poverty Impact Statement</w:t>
      </w:r>
    </w:p>
    <w:p w14:paraId="546A8A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poverty as described in R.S. 49.973.</w:t>
      </w:r>
    </w:p>
    <w:p w14:paraId="164A7A8F" w14:textId="77777777" w:rsidR="006E50FF" w:rsidRPr="006E50FF" w:rsidRDefault="006E50FF" w:rsidP="006E50FF">
      <w:pPr>
        <w:keepNext/>
        <w:jc w:val="center"/>
        <w:rPr>
          <w:b/>
          <w:kern w:val="28"/>
        </w:rPr>
      </w:pPr>
      <w:r w:rsidRPr="006E50FF">
        <w:rPr>
          <w:b/>
          <w:kern w:val="28"/>
        </w:rPr>
        <w:t>Small Business Analysis</w:t>
      </w:r>
    </w:p>
    <w:p w14:paraId="424C8D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costs and/or benefits to directly affected persons, small business, or non-governmental groups.</w:t>
      </w:r>
    </w:p>
    <w:p w14:paraId="0DEE807E" w14:textId="77777777" w:rsidR="006E50FF" w:rsidRPr="006E50FF" w:rsidRDefault="006E50FF" w:rsidP="006E50FF">
      <w:pPr>
        <w:keepNext/>
        <w:jc w:val="center"/>
        <w:rPr>
          <w:b/>
          <w:kern w:val="28"/>
        </w:rPr>
      </w:pPr>
      <w:r w:rsidRPr="006E50FF">
        <w:rPr>
          <w:b/>
          <w:kern w:val="28"/>
        </w:rPr>
        <w:t>Provider Impact Statement</w:t>
      </w:r>
    </w:p>
    <w:p w14:paraId="11C413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provisions as defined by HCR 170 of the 2014 Legislative Session.</w:t>
      </w:r>
    </w:p>
    <w:p w14:paraId="2A368C83" w14:textId="77777777" w:rsidR="006E50FF" w:rsidRPr="006E50FF" w:rsidRDefault="006E50FF" w:rsidP="006E50FF">
      <w:pPr>
        <w:keepNext/>
        <w:jc w:val="center"/>
        <w:rPr>
          <w:b/>
          <w:kern w:val="28"/>
        </w:rPr>
      </w:pPr>
      <w:r w:rsidRPr="006E50FF">
        <w:rPr>
          <w:b/>
          <w:kern w:val="28"/>
        </w:rPr>
        <w:t>Public Comments</w:t>
      </w:r>
    </w:p>
    <w:p w14:paraId="09B936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Written comments may be addressed to Shirley Bonnett, Policy Division, Department of Public Safety and Corrections, Corrections Services, P.O. Box 94304, Baton Rouge, LA 70804 until 4:30 p.m. October 12, 2026.</w:t>
      </w:r>
    </w:p>
    <w:p w14:paraId="216561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9659491" w14:textId="77777777" w:rsidR="006E50FF" w:rsidRPr="006E50FF" w:rsidRDefault="006E50FF" w:rsidP="006E50FF">
      <w:pPr>
        <w:keepNext/>
        <w:ind w:left="2160"/>
        <w:jc w:val="both"/>
      </w:pPr>
      <w:r w:rsidRPr="006E50FF">
        <w:t>Gary Westcott</w:t>
      </w:r>
    </w:p>
    <w:p w14:paraId="59016720" w14:textId="77777777" w:rsidR="006E50FF" w:rsidRPr="006E50FF" w:rsidRDefault="006E50FF" w:rsidP="006E50FF">
      <w:pPr>
        <w:keepNext/>
        <w:ind w:left="2160"/>
        <w:jc w:val="both"/>
      </w:pPr>
      <w:r w:rsidRPr="006E50FF">
        <w:t>Secretary</w:t>
      </w:r>
    </w:p>
    <w:p w14:paraId="25DE1869" w14:textId="77777777" w:rsidR="006E50FF" w:rsidRPr="006E50FF" w:rsidRDefault="006E50FF" w:rsidP="006E50FF">
      <w:pPr>
        <w:keepNext/>
        <w:jc w:val="center"/>
        <w:rPr>
          <w:b/>
        </w:rPr>
      </w:pPr>
    </w:p>
    <w:p w14:paraId="545B2931" w14:textId="77777777" w:rsidR="006E50FF" w:rsidRPr="006E50FF" w:rsidRDefault="006E50FF" w:rsidP="006E50FF">
      <w:pPr>
        <w:keepNext/>
        <w:jc w:val="center"/>
        <w:rPr>
          <w:b/>
        </w:rPr>
      </w:pPr>
      <w:r w:rsidRPr="006E50FF">
        <w:rPr>
          <w:b/>
        </w:rPr>
        <w:t>FISCAL AND ECONOMIC IMPACT STATEMENT FOR ADMINISTRATIVE RULES</w:t>
      </w:r>
    </w:p>
    <w:p w14:paraId="48482DB8" w14:textId="77777777" w:rsidR="006E50FF" w:rsidRPr="006E50FF" w:rsidRDefault="006E50FF" w:rsidP="006E50FF">
      <w:pPr>
        <w:keepNext/>
        <w:jc w:val="center"/>
        <w:rPr>
          <w:b/>
          <w:noProof/>
        </w:rPr>
      </w:pPr>
      <w:r w:rsidRPr="006E50FF">
        <w:rPr>
          <w:b/>
          <w:noProof/>
        </w:rPr>
        <w:t>RULE TITLE:  Telephone Use and Policy on Monitoring of Calls</w:t>
      </w:r>
    </w:p>
    <w:p w14:paraId="140EBB6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438CDF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2424B41"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244DE43E" w14:textId="77777777" w:rsidR="006E50FF" w:rsidRPr="006E50FF" w:rsidRDefault="006E50FF" w:rsidP="006E50FF">
      <w:pPr>
        <w:ind w:left="288" w:firstLine="288"/>
        <w:jc w:val="both"/>
        <w:rPr>
          <w:noProof/>
          <w:sz w:val="18"/>
        </w:rPr>
      </w:pPr>
      <w:r w:rsidRPr="006E50FF">
        <w:rPr>
          <w:noProof/>
          <w:sz w:val="18"/>
        </w:rPr>
        <w:t>In accordance with the provisions of the Administrative Procedure Act (R.S. 49:950), the Department of Public Safety and Corrections, Corrections Services, proposed to amend LAC Title 22: Corrections, Criminal Justice and Law Enforcement, Part I: Corrections, Chapter 3: Adult Services, Section 315 – Telephone Use and Policy on Monitoring of Calls.</w:t>
      </w:r>
    </w:p>
    <w:p w14:paraId="5B39DA04" w14:textId="77777777" w:rsidR="006E50FF" w:rsidRPr="006E50FF" w:rsidRDefault="006E50FF" w:rsidP="006E50FF">
      <w:pPr>
        <w:ind w:left="288" w:firstLine="288"/>
        <w:jc w:val="both"/>
        <w:rPr>
          <w:sz w:val="18"/>
        </w:rPr>
      </w:pPr>
      <w:r w:rsidRPr="006E50FF">
        <w:rPr>
          <w:sz w:val="18"/>
        </w:rPr>
        <w:t>The proposed rule change includes terminology revisions and changes offender to inmate, unit and/or institution to facility and cellblock to segregation, segregated and segregated housing area. The proposed amendment makes technical revisions to reflect existing departmental operations and replaces outdated terminology with current terminology.</w:t>
      </w:r>
    </w:p>
    <w:p w14:paraId="556DADD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BB2B12C"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 as a result of the proposed rule change.</w:t>
      </w:r>
    </w:p>
    <w:p w14:paraId="4143DB4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340C541" w14:textId="77777777" w:rsidR="006E50FF" w:rsidRPr="006E50FF" w:rsidRDefault="006E50FF" w:rsidP="006E50FF">
      <w:pPr>
        <w:ind w:left="288" w:firstLine="288"/>
        <w:jc w:val="both"/>
        <w:rPr>
          <w:sz w:val="18"/>
        </w:rPr>
      </w:pPr>
      <w:r w:rsidRPr="006E50FF">
        <w:rPr>
          <w:sz w:val="18"/>
        </w:rPr>
        <w:t>There are no anticipated costs and/or economic benefits to directly affected persons, small businesses, or non-governmental groups as a result of the proposed rule change.</w:t>
      </w:r>
    </w:p>
    <w:p w14:paraId="46DC35D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90B44AB" w14:textId="77777777" w:rsidR="006E50FF" w:rsidRPr="006E50FF" w:rsidRDefault="006E50FF" w:rsidP="006E50FF">
      <w:pPr>
        <w:ind w:left="288" w:firstLine="288"/>
        <w:jc w:val="both"/>
        <w:rPr>
          <w:sz w:val="18"/>
        </w:rPr>
      </w:pPr>
      <w:r w:rsidRPr="006E50FF">
        <w:rPr>
          <w:sz w:val="18"/>
        </w:rPr>
        <w:t>There is no anticipated effect on competition and employment as a result of the proposed rule change.</w:t>
      </w:r>
    </w:p>
    <w:p w14:paraId="1055FE62" w14:textId="77777777" w:rsidR="006E50FF" w:rsidRPr="006E50FF" w:rsidRDefault="006E50FF" w:rsidP="006E50FF">
      <w:pPr>
        <w:ind w:left="288" w:firstLine="288"/>
        <w:jc w:val="both"/>
        <w:rPr>
          <w:sz w:val="18"/>
        </w:rPr>
      </w:pPr>
    </w:p>
    <w:p w14:paraId="4E0CBA29" w14:textId="77777777" w:rsidR="006E50FF" w:rsidRPr="006E50FF" w:rsidRDefault="006E50FF" w:rsidP="006E50FF">
      <w:pPr>
        <w:tabs>
          <w:tab w:val="left" w:pos="2880"/>
          <w:tab w:val="decimal" w:pos="2988"/>
        </w:tabs>
        <w:outlineLvl w:val="8"/>
        <w:rPr>
          <w:kern w:val="2"/>
          <w:sz w:val="18"/>
        </w:rPr>
      </w:pPr>
      <w:r w:rsidRPr="006E50FF">
        <w:rPr>
          <w:kern w:val="2"/>
          <w:sz w:val="18"/>
        </w:rPr>
        <w:t>Tammy Grant</w:t>
      </w:r>
      <w:r w:rsidRPr="006E50FF">
        <w:rPr>
          <w:kern w:val="2"/>
          <w:sz w:val="18"/>
        </w:rPr>
        <w:tab/>
        <w:t>Patrice Thomas</w:t>
      </w:r>
    </w:p>
    <w:p w14:paraId="594E9873"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373B60A6" w14:textId="77777777" w:rsidR="006E50FF" w:rsidRPr="006E50FF" w:rsidRDefault="006E50FF" w:rsidP="006E50FF">
      <w:pPr>
        <w:tabs>
          <w:tab w:val="left" w:pos="2880"/>
          <w:tab w:val="decimal" w:pos="2988"/>
        </w:tabs>
        <w:outlineLvl w:val="8"/>
        <w:rPr>
          <w:kern w:val="2"/>
          <w:sz w:val="18"/>
        </w:rPr>
      </w:pPr>
      <w:r w:rsidRPr="006E50FF">
        <w:rPr>
          <w:noProof/>
          <w:sz w:val="16"/>
        </w:rPr>
        <w:t>2609#062</w:t>
      </w:r>
      <w:r w:rsidRPr="006E50FF">
        <w:rPr>
          <w:kern w:val="2"/>
        </w:rPr>
        <w:tab/>
      </w:r>
      <w:r w:rsidRPr="006E50FF">
        <w:rPr>
          <w:kern w:val="2"/>
          <w:sz w:val="18"/>
        </w:rPr>
        <w:t>Legislative Fiscal Office</w:t>
      </w:r>
    </w:p>
    <w:p w14:paraId="7BF79738" w14:textId="77777777" w:rsidR="006E50FF" w:rsidRPr="006E50FF" w:rsidRDefault="006E50FF" w:rsidP="006E50FF"/>
    <w:p w14:paraId="64713428"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65EAC343" w14:textId="77777777" w:rsidR="006E50FF" w:rsidRPr="006E50FF" w:rsidRDefault="006E50FF" w:rsidP="006E50FF">
      <w:pPr>
        <w:keepNext/>
        <w:jc w:val="center"/>
        <w:rPr>
          <w:rFonts w:eastAsia="Calibri"/>
          <w:b/>
          <w:noProof/>
        </w:rPr>
      </w:pPr>
      <w:r w:rsidRPr="006E50FF">
        <w:rPr>
          <w:b/>
          <w:noProof/>
        </w:rPr>
        <w:t>Department</w:t>
      </w:r>
      <w:r w:rsidRPr="006E50FF">
        <w:rPr>
          <w:rFonts w:eastAsia="Calibri"/>
          <w:b/>
          <w:noProof/>
        </w:rPr>
        <w:t xml:space="preserve"> of Public Safety and Corrections</w:t>
      </w:r>
    </w:p>
    <w:p w14:paraId="7A51CE48" w14:textId="77777777" w:rsidR="006E50FF" w:rsidRPr="006E50FF" w:rsidRDefault="006E50FF" w:rsidP="006E50FF">
      <w:pPr>
        <w:keepNext/>
        <w:jc w:val="center"/>
        <w:rPr>
          <w:rFonts w:eastAsia="Calibri"/>
          <w:b/>
          <w:noProof/>
        </w:rPr>
      </w:pPr>
      <w:r w:rsidRPr="006E50FF">
        <w:rPr>
          <w:rFonts w:eastAsia="Calibri"/>
          <w:b/>
          <w:noProof/>
        </w:rPr>
        <w:t>Gaming Control Board</w:t>
      </w:r>
    </w:p>
    <w:p w14:paraId="2F63A468" w14:textId="77777777" w:rsidR="006E50FF" w:rsidRPr="006E50FF" w:rsidRDefault="006E50FF" w:rsidP="006E50FF">
      <w:pPr>
        <w:keepNext/>
        <w:spacing w:before="240" w:after="240"/>
        <w:jc w:val="center"/>
        <w:rPr>
          <w:rFonts w:eastAsia="Calibri"/>
          <w:bCs/>
          <w:noProof/>
          <w:szCs w:val="16"/>
        </w:rPr>
      </w:pPr>
      <w:r w:rsidRPr="006E50FF">
        <w:rPr>
          <w:rFonts w:eastAsia="Calibri"/>
          <w:noProof/>
        </w:rPr>
        <w:t xml:space="preserve">Fixed Odds Wagers on Horse Races and </w:t>
      </w:r>
      <w:r w:rsidRPr="006E50FF">
        <w:rPr>
          <w:rFonts w:eastAsia="Calibri"/>
          <w:noProof/>
        </w:rPr>
        <w:br/>
        <w:t xml:space="preserve">Sports Wagering Events </w:t>
      </w:r>
      <w:r w:rsidRPr="006E50FF">
        <w:rPr>
          <w:rFonts w:eastAsia="Calibri"/>
          <w:noProof/>
        </w:rPr>
        <w:br/>
      </w:r>
      <w:r w:rsidRPr="006E50FF">
        <w:rPr>
          <w:rFonts w:eastAsia="Calibri"/>
          <w:bCs/>
          <w:noProof/>
          <w:szCs w:val="16"/>
        </w:rPr>
        <w:t>(LAC 42:VI.103, 303, 501, 521, 523, and 701)</w:t>
      </w:r>
    </w:p>
    <w:p w14:paraId="1CA6F43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color w:val="000000"/>
          <w:kern w:val="2"/>
        </w:rPr>
      </w:pPr>
      <w:r w:rsidRPr="006E50FF">
        <w:rPr>
          <w:rFonts w:eastAsia="Calibri"/>
          <w:kern w:val="2"/>
        </w:rPr>
        <w:t xml:space="preserve">The Department of Public Safety and Corrections, Gaming Control Board (“board”), in accordance with R.S. 27:15, </w:t>
      </w:r>
      <w:r w:rsidRPr="006E50FF">
        <w:rPr>
          <w:kern w:val="2"/>
        </w:rPr>
        <w:t>R.S. 27:24, and the provisions of the Administrative Procedures Act, R.S. 49:950 et seq.,</w:t>
      </w:r>
      <w:r w:rsidRPr="006E50FF">
        <w:rPr>
          <w:rFonts w:eastAsia="Calibri"/>
          <w:kern w:val="2"/>
        </w:rPr>
        <w:t xml:space="preserve"> hereby gives notice that it intends </w:t>
      </w:r>
      <w:r w:rsidRPr="006E50FF">
        <w:rPr>
          <w:kern w:val="2"/>
        </w:rPr>
        <w:t xml:space="preserve">to amend the following rules: </w:t>
      </w:r>
      <w:r w:rsidRPr="006E50FF">
        <w:rPr>
          <w:rFonts w:eastAsia="Calibri"/>
          <w:kern w:val="2"/>
        </w:rPr>
        <w:t>LAC 42:VI.103; LAC 42:VI.303; LAC 42:VI.501; LAC 42:VI. 521; LAC 42:VI.523; and LAC 42:VI.701.</w:t>
      </w:r>
      <w:r w:rsidRPr="006E50FF">
        <w:rPr>
          <w:kern w:val="2"/>
        </w:rPr>
        <w:t xml:space="preserve"> The rules are intended to provide uniform </w:t>
      </w:r>
      <w:r w:rsidRPr="006E50FF">
        <w:rPr>
          <w:kern w:val="2"/>
        </w:rPr>
        <w:lastRenderedPageBreak/>
        <w:t xml:space="preserve">guidelines for the acceptance of fixed odds horse race wagers for sports wagering in accordance with Act 291 of the 2025 Regular Session. It also provides uniform guidelines for the submission of special events or competition of relative skill for board approval and reporting requirements for fixed odds and sports wagering licensees and operators. </w:t>
      </w:r>
    </w:p>
    <w:p w14:paraId="4BF29713" w14:textId="77777777" w:rsidR="006E50FF" w:rsidRPr="006E50FF" w:rsidRDefault="006E50FF" w:rsidP="006E50FF">
      <w:pPr>
        <w:keepNext/>
        <w:jc w:val="center"/>
        <w:rPr>
          <w:rFonts w:eastAsia="Calibri"/>
          <w:b/>
          <w:kern w:val="28"/>
        </w:rPr>
      </w:pPr>
      <w:r w:rsidRPr="006E50FF">
        <w:rPr>
          <w:rFonts w:eastAsia="Calibri"/>
          <w:b/>
          <w:kern w:val="28"/>
        </w:rPr>
        <w:t>Title 42</w:t>
      </w:r>
    </w:p>
    <w:p w14:paraId="349A923D" w14:textId="77777777" w:rsidR="006E50FF" w:rsidRPr="006E50FF" w:rsidRDefault="006E50FF" w:rsidP="006E50FF">
      <w:pPr>
        <w:keepNext/>
        <w:jc w:val="center"/>
        <w:rPr>
          <w:rFonts w:eastAsia="Calibri"/>
          <w:b/>
          <w:kern w:val="28"/>
        </w:rPr>
      </w:pPr>
      <w:r w:rsidRPr="006E50FF">
        <w:rPr>
          <w:rFonts w:eastAsia="Calibri"/>
          <w:b/>
          <w:kern w:val="28"/>
        </w:rPr>
        <w:t>LOUISIANA GAMING</w:t>
      </w:r>
    </w:p>
    <w:p w14:paraId="28E8FBF0" w14:textId="77777777" w:rsidR="006E50FF" w:rsidRPr="006E50FF" w:rsidRDefault="006E50FF" w:rsidP="006E50FF">
      <w:pPr>
        <w:keepNext/>
        <w:jc w:val="center"/>
        <w:rPr>
          <w:rFonts w:eastAsia="Calibri"/>
          <w:b/>
          <w:noProof/>
        </w:rPr>
      </w:pPr>
      <w:r w:rsidRPr="006E50FF">
        <w:rPr>
          <w:rFonts w:eastAsia="Calibri"/>
          <w:b/>
          <w:noProof/>
        </w:rPr>
        <w:t>Part VI.  Sports Wagering</w:t>
      </w:r>
    </w:p>
    <w:p w14:paraId="0D15EE7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1. General Provisions</w:t>
      </w:r>
    </w:p>
    <w:p w14:paraId="1D6B3C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0" w:name="_Toc243903200"/>
      <w:bookmarkStart w:id="761" w:name="_Toc93658600"/>
      <w:r w:rsidRPr="006E50FF">
        <w:rPr>
          <w:b/>
          <w:kern w:val="2"/>
        </w:rPr>
        <w:t>§103.</w:t>
      </w:r>
      <w:r w:rsidRPr="006E50FF">
        <w:rPr>
          <w:b/>
          <w:kern w:val="2"/>
        </w:rPr>
        <w:tab/>
      </w:r>
      <w:bookmarkEnd w:id="760"/>
      <w:bookmarkEnd w:id="761"/>
      <w:r w:rsidRPr="006E50FF">
        <w:rPr>
          <w:b/>
          <w:kern w:val="2"/>
        </w:rPr>
        <w:t>Definitions</w:t>
      </w:r>
    </w:p>
    <w:p w14:paraId="35FBF2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DA464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As used in this Chapter, the following words and terms shall have the following meanings:</w:t>
      </w:r>
    </w:p>
    <w:p w14:paraId="46A8491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bCs/>
          <w:kern w:val="2"/>
        </w:rPr>
      </w:pPr>
      <w:r w:rsidRPr="006E50FF">
        <w:rPr>
          <w:kern w:val="2"/>
        </w:rPr>
        <w:t>* * *</w:t>
      </w:r>
    </w:p>
    <w:p w14:paraId="4107F76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Fixed Odds Wager on Horse Races—</w:t>
      </w:r>
      <w:r w:rsidRPr="006E50FF">
        <w:rPr>
          <w:kern w:val="2"/>
        </w:rPr>
        <w:t xml:space="preserve">the same meaning as the term has in R.S. 27:612(B). </w:t>
      </w:r>
    </w:p>
    <w:p w14:paraId="69AA14C9"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Fixed Odds Wagering on Horse Races</w:t>
      </w:r>
      <w:r w:rsidRPr="006E50FF">
        <w:rPr>
          <w:kern w:val="2"/>
        </w:rPr>
        <w:t xml:space="preserve">—the same meaning as the term has in R.S. 27:602(19)(b). </w:t>
      </w:r>
    </w:p>
    <w:p w14:paraId="3CEC46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bCs/>
          <w:kern w:val="2"/>
        </w:rPr>
      </w:pPr>
      <w:r w:rsidRPr="006E50FF">
        <w:rPr>
          <w:kern w:val="2"/>
        </w:rPr>
        <w:t>* * *</w:t>
      </w:r>
    </w:p>
    <w:p w14:paraId="4F6BA4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6F8498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48:48 (January 2022</w:t>
      </w:r>
      <w:r w:rsidRPr="006E50FF">
        <w:rPr>
          <w:kern w:val="2"/>
          <w:sz w:val="18"/>
        </w:rPr>
        <w:t>)</w:t>
      </w:r>
      <w:r w:rsidRPr="006E50FF">
        <w:rPr>
          <w:snapToGrid w:val="0"/>
          <w:kern w:val="2"/>
          <w:sz w:val="18"/>
        </w:rPr>
        <w:t xml:space="preserve">, amended </w:t>
      </w:r>
      <w:r w:rsidRPr="006E50FF">
        <w:rPr>
          <w:kern w:val="2"/>
          <w:sz w:val="18"/>
        </w:rPr>
        <w:t>LR 48:1860 (July 2022), LR 52:</w:t>
      </w:r>
    </w:p>
    <w:p w14:paraId="4CE8974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Licensing</w:t>
      </w:r>
    </w:p>
    <w:p w14:paraId="1200153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Permits, General</w:t>
      </w:r>
    </w:p>
    <w:p w14:paraId="283A04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E.3.</w:t>
      </w:r>
      <w:r w:rsidRPr="006E50FF">
        <w:rPr>
          <w:kern w:val="2"/>
        </w:rPr>
        <w:tab/>
        <w:t>…</w:t>
      </w:r>
    </w:p>
    <w:p w14:paraId="54DB78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Sports Wagering Service Providers</w:t>
      </w:r>
    </w:p>
    <w:p w14:paraId="02A990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3E10B0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Entities that must submit as a sports wagering service provider include, but are not limited to, those providing geolocation, geofencing, patron identification, risk management, player account system, data supply, and integrity monitoring services.</w:t>
      </w:r>
    </w:p>
    <w:p w14:paraId="215DC3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F.3. - G.3.</w:t>
      </w:r>
      <w:r w:rsidRPr="006E50FF">
        <w:rPr>
          <w:kern w:val="2"/>
        </w:rPr>
        <w:tab/>
        <w:t>…</w:t>
      </w:r>
    </w:p>
    <w:p w14:paraId="2515DC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52A7FA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48:50 (January 2022), amended LR 52:</w:t>
      </w:r>
    </w:p>
    <w:p w14:paraId="11364CB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5.</w:t>
      </w:r>
      <w:r w:rsidRPr="006E50FF">
        <w:rPr>
          <w:rFonts w:eastAsia="Calibri"/>
          <w:b/>
          <w:kern w:val="2"/>
        </w:rPr>
        <w:tab/>
        <w:t>Rules; Operations</w:t>
      </w:r>
    </w:p>
    <w:p w14:paraId="6B291E2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§501.</w:t>
      </w:r>
      <w:r w:rsidRPr="006E50FF">
        <w:rPr>
          <w:b/>
          <w:kern w:val="2"/>
        </w:rPr>
        <w:tab/>
        <w:t>Sports Wagering Operator Requirements and Restrictions; Internal Controls; Comprehensive Rules</w:t>
      </w:r>
    </w:p>
    <w:p w14:paraId="2376C8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1EE4E3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Licensees and operators shall implement internal controls and commercially reasonable procedures for sports wagering to ensure compliance with all requirements of the Act and these regulations including, but not limited to:</w:t>
      </w:r>
    </w:p>
    <w:p w14:paraId="4DF8845C"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1. - 28.</w:t>
      </w:r>
      <w:r w:rsidRPr="006E50FF">
        <w:rPr>
          <w:kern w:val="2"/>
        </w:rPr>
        <w:tab/>
        <w:t>…</w:t>
      </w:r>
    </w:p>
    <w:p w14:paraId="51FA95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29.</w:t>
      </w:r>
      <w:r w:rsidRPr="006E50FF">
        <w:rPr>
          <w:kern w:val="2"/>
        </w:rPr>
        <w:tab/>
        <w:t>ensuring fixed odds wagers on horse races are offered and accepted in accordance with R.S. 27:612 and the board’s sports wagering catalog.</w:t>
      </w:r>
    </w:p>
    <w:p w14:paraId="154A79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I.</w:t>
      </w:r>
      <w:r w:rsidRPr="006E50FF">
        <w:rPr>
          <w:kern w:val="2"/>
        </w:rPr>
        <w:tab/>
        <w:t>…</w:t>
      </w:r>
    </w:p>
    <w:p w14:paraId="6531AD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Operators shall adopt comprehensive rules governing sports wagering transactions with its patrons. The operator’s rules shall comply with R.S. 27:607(C) and shall be submitted to the division for approval. The comprehensive rules shall include, at a minimum:</w:t>
      </w:r>
    </w:p>
    <w:p w14:paraId="3DE8A373" w14:textId="77777777" w:rsidR="006E50FF" w:rsidRPr="006E50FF" w:rsidRDefault="006E50FF" w:rsidP="006E50FF">
      <w:pPr>
        <w:tabs>
          <w:tab w:val="left" w:pos="720"/>
          <w:tab w:val="left" w:pos="1170"/>
        </w:tabs>
        <w:ind w:firstLine="360"/>
        <w:jc w:val="both"/>
        <w:outlineLvl w:val="4"/>
        <w:rPr>
          <w:kern w:val="2"/>
        </w:rPr>
      </w:pPr>
      <w:r w:rsidRPr="006E50FF">
        <w:rPr>
          <w:kern w:val="2"/>
        </w:rPr>
        <w:t>1. - 12.</w:t>
      </w:r>
      <w:r w:rsidRPr="006E50FF">
        <w:rPr>
          <w:kern w:val="2"/>
        </w:rPr>
        <w:tab/>
        <w:t>…</w:t>
      </w:r>
    </w:p>
    <w:p w14:paraId="20D33F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 xml:space="preserve">For fixed odds wagering on horse races conducted pursuant to R.S. 27:612, additional rules governing the </w:t>
      </w:r>
      <w:r w:rsidRPr="006E50FF">
        <w:rPr>
          <w:kern w:val="2"/>
        </w:rPr>
        <w:t>acceptance and settlement of wagers on horse racing events, including but not limited to:</w:t>
      </w:r>
    </w:p>
    <w:p w14:paraId="632F72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treatment of scratched horses; and</w:t>
      </w:r>
    </w:p>
    <w:p w14:paraId="2E38BA6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treatment of dead heats.</w:t>
      </w:r>
    </w:p>
    <w:p w14:paraId="515366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w:t>
      </w:r>
    </w:p>
    <w:p w14:paraId="0793AE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478765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48:55 (January 2022</w:t>
      </w:r>
      <w:r w:rsidRPr="006E50FF">
        <w:rPr>
          <w:kern w:val="2"/>
          <w:sz w:val="18"/>
        </w:rPr>
        <w:t>)</w:t>
      </w:r>
      <w:r w:rsidRPr="006E50FF">
        <w:rPr>
          <w:snapToGrid w:val="0"/>
          <w:kern w:val="2"/>
          <w:sz w:val="18"/>
        </w:rPr>
        <w:t xml:space="preserve">, amended </w:t>
      </w:r>
      <w:r w:rsidRPr="006E50FF">
        <w:rPr>
          <w:kern w:val="2"/>
          <w:sz w:val="18"/>
        </w:rPr>
        <w:t>LR 48:1860 (July 2022), LR 52:</w:t>
      </w:r>
    </w:p>
    <w:p w14:paraId="305E48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2" w:name="_Toc193899568"/>
      <w:r w:rsidRPr="006E50FF">
        <w:rPr>
          <w:b/>
          <w:kern w:val="2"/>
        </w:rPr>
        <w:t>§521.</w:t>
      </w:r>
      <w:r w:rsidRPr="006E50FF">
        <w:rPr>
          <w:b/>
          <w:kern w:val="2"/>
        </w:rPr>
        <w:tab/>
        <w:t>Sports Events</w:t>
      </w:r>
      <w:bookmarkEnd w:id="762"/>
    </w:p>
    <w:p w14:paraId="2C03FC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FE97B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Special event or competition of relative skill.</w:t>
      </w:r>
    </w:p>
    <w:p w14:paraId="2B3E61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1323CE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request for approval to accept wagers on any other event shall be made by an operator at least 14 days prior to such event on such forms approved by the board, and shall include:</w:t>
      </w:r>
    </w:p>
    <w:p w14:paraId="5FB7B5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B.2.a. - B.4.</w:t>
      </w:r>
      <w:r w:rsidRPr="006E50FF">
        <w:rPr>
          <w:kern w:val="2"/>
        </w:rPr>
        <w:tab/>
        <w:t>…</w:t>
      </w:r>
    </w:p>
    <w:p w14:paraId="25C2F3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430B88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48:60 (January 2022</w:t>
      </w:r>
      <w:r w:rsidRPr="006E50FF">
        <w:rPr>
          <w:kern w:val="2"/>
          <w:sz w:val="18"/>
        </w:rPr>
        <w:t>), amended LR 52:</w:t>
      </w:r>
    </w:p>
    <w:p w14:paraId="2C7A76E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§523.</w:t>
      </w:r>
      <w:r w:rsidRPr="006E50FF">
        <w:rPr>
          <w:b/>
          <w:kern w:val="2"/>
        </w:rPr>
        <w:tab/>
        <w:t>Sports Wagers</w:t>
      </w:r>
    </w:p>
    <w:p w14:paraId="71305B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 operator shall not accept any sports wager on a sports event unless it has received approval from the board to conduct that type or category of sports wager. The chairman has the authority to approve, reject, and unapprove categories and types of sports wagers on behalf of the board. A type of sports wager refers to the method of determining the outcome of the sports wager. The category refers to the kind of event being wagered on. With the exception of fixed odds wagering on horse races or as otherwise specified in the board’s sports wagering catalog, all particular categories or sports wager types approved by the Act or these regulations or later approved by the board for its first use may be used on multiple events by all operators without further approval.</w:t>
      </w:r>
    </w:p>
    <w:p w14:paraId="6722DB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an operator would like to offer a new category of sports event, it must submit the request to the board on the approved form at least 14 days in advance of the proposed date of accepting sports wagers on such a category. The request shall include all requested information on the approved form including, but not limited to: a full description of the sports event and the manner which sports wagers would be placed and winning wagers would be determined; a full description of any technology which would be utilized to offer the sports event; information or documentation that demonstrates that the sports event meets the requirements of Subsection B of this Section; and any other information requested by the board or division.</w:t>
      </w:r>
    </w:p>
    <w:p w14:paraId="3F5D7A8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fixed odds wagering on horse racing, the request shall specify the types and wagers requested, track information, and the name(s) and permit number(s) of the permitted sports wagering service provider(s) who will provide the odds and content.</w:t>
      </w:r>
    </w:p>
    <w:p w14:paraId="003196A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For horse races conducted out of state but within the United States, the request shall include proof of consents or authorization in accordance with the Interstate Horseracing Act of 1978, 15 U.S.C. 3001 et seq., which may include, but not be limited to, proof of consents of the: host racetrack; the host racing association; and the host racetrack’s racing commission. The request shall also include a certification </w:t>
      </w:r>
      <w:r w:rsidRPr="006E50FF">
        <w:rPr>
          <w:kern w:val="2"/>
        </w:rPr>
        <w:lastRenderedPageBreak/>
        <w:t xml:space="preserve">from the operator that it is allowed to offer and accept fixed odds wagering on horse racing and it complies with the requirements of Interstate Horseracing Act of 1978, 15 U.S.C. 3001 et seq. to offer the requested fixed odds wager on horse races. </w:t>
      </w:r>
    </w:p>
    <w:p w14:paraId="096D85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For horse races conducted in this state, the request shall include proof of consent of the host racetrack and proof of consent of the Horsemen’s Benevolent and Protective Association. </w:t>
      </w:r>
    </w:p>
    <w:p w14:paraId="499AB0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G.6.</w:t>
      </w:r>
      <w:r w:rsidRPr="006E50FF">
        <w:rPr>
          <w:kern w:val="2"/>
        </w:rPr>
        <w:tab/>
        <w:t>…</w:t>
      </w:r>
    </w:p>
    <w:p w14:paraId="4E6538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1C44D7E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napToGrid w:val="0"/>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48:61 (January 2022</w:t>
      </w:r>
      <w:r w:rsidRPr="006E50FF">
        <w:rPr>
          <w:kern w:val="2"/>
          <w:sz w:val="18"/>
        </w:rPr>
        <w:t>), amended LR 52:</w:t>
      </w:r>
    </w:p>
    <w:p w14:paraId="181C690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7.</w:t>
      </w:r>
      <w:r w:rsidRPr="006E50FF">
        <w:rPr>
          <w:rFonts w:eastAsia="Calibri"/>
          <w:b/>
          <w:kern w:val="2"/>
        </w:rPr>
        <w:tab/>
        <w:t>Records; Accounting; Confidentiality</w:t>
      </w:r>
    </w:p>
    <w:p w14:paraId="14F6FC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§701.</w:t>
      </w:r>
      <w:r w:rsidRPr="006E50FF">
        <w:rPr>
          <w:b/>
          <w:kern w:val="2"/>
        </w:rPr>
        <w:tab/>
        <w:t>Financial Statements and Records</w:t>
      </w:r>
    </w:p>
    <w:p w14:paraId="623900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3FD4AD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Reporting net gaming proceeds.</w:t>
      </w:r>
    </w:p>
    <w:p w14:paraId="5D0940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licensee or its operators shall report the net gaming proceeds by providing the total gross revenue of all wagers placed by patrons, the total amount of all winnings paid out to patrons, and the total amount of all eligible promotional play wagers in accordance with requirements provided by the division. This report is due monthly by the tenth of the following month. Daily records shall be maintained, including those providing revenues by event type (for example: NFL, NBA, MLB, NCAA by sports, parlay, etc.). For fixed odds wagering on horse races, a licensee or its operators shall report straight wagers, parlay wagers involving only horse racing events, and parlay wagers involving horse racing events combined with other approved sports events for calculation of taxes due in accordance with R.S. 27:612(B). </w:t>
      </w:r>
    </w:p>
    <w:p w14:paraId="46F8C3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E.2. - F.5.</w:t>
      </w:r>
      <w:r w:rsidRPr="006E50FF">
        <w:rPr>
          <w:kern w:val="2"/>
        </w:rPr>
        <w:tab/>
        <w:t>…</w:t>
      </w:r>
    </w:p>
    <w:p w14:paraId="505EB6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5C9CF5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48:64 (January 2022</w:t>
      </w:r>
      <w:r w:rsidRPr="006E50FF">
        <w:rPr>
          <w:kern w:val="2"/>
          <w:sz w:val="18"/>
        </w:rPr>
        <w:t>), amended LR 52:</w:t>
      </w:r>
    </w:p>
    <w:p w14:paraId="0C7F063A" w14:textId="77777777" w:rsidR="006E50FF" w:rsidRPr="006E50FF" w:rsidRDefault="006E50FF" w:rsidP="006E50FF">
      <w:pPr>
        <w:keepNext/>
        <w:jc w:val="center"/>
        <w:rPr>
          <w:b/>
          <w:kern w:val="28"/>
        </w:rPr>
      </w:pPr>
      <w:r w:rsidRPr="006E50FF">
        <w:rPr>
          <w:b/>
          <w:kern w:val="28"/>
        </w:rPr>
        <w:t>Family Impact Statement</w:t>
      </w:r>
    </w:p>
    <w:p w14:paraId="001E8D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Gaming Control Board, through its chairman, has considered the potential family impact of the proposed Rule.</w:t>
      </w:r>
    </w:p>
    <w:p w14:paraId="2F16FF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the following:</w:t>
      </w:r>
    </w:p>
    <w:p w14:paraId="2066C6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21E4A7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w:t>
      </w:r>
    </w:p>
    <w:p w14:paraId="5C0AC4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2416C7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18EE73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0ED49E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0DCBB545" w14:textId="77777777" w:rsidR="006E50FF" w:rsidRPr="006E50FF" w:rsidRDefault="006E50FF" w:rsidP="006E50FF">
      <w:pPr>
        <w:keepNext/>
        <w:jc w:val="center"/>
        <w:rPr>
          <w:b/>
          <w:kern w:val="28"/>
        </w:rPr>
      </w:pPr>
      <w:r w:rsidRPr="006E50FF">
        <w:rPr>
          <w:b/>
          <w:kern w:val="28"/>
        </w:rPr>
        <w:t>Poverty Impact Statement</w:t>
      </w:r>
    </w:p>
    <w:p w14:paraId="5AF5D1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Gaming Control Board, through its chairman, has considered the potential poverty impact of the proposed Rule.</w:t>
      </w:r>
    </w:p>
    <w:p w14:paraId="23859A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57738E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the effect on household income, assets, and financial security.</w:t>
      </w:r>
    </w:p>
    <w:p w14:paraId="0732BE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40CCC1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0A37F2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1F6466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69ADDC31" w14:textId="77777777" w:rsidR="006E50FF" w:rsidRPr="006E50FF" w:rsidRDefault="006E50FF" w:rsidP="006E50FF">
      <w:pPr>
        <w:keepNext/>
        <w:jc w:val="center"/>
        <w:rPr>
          <w:b/>
          <w:kern w:val="28"/>
        </w:rPr>
      </w:pPr>
      <w:r w:rsidRPr="006E50FF">
        <w:rPr>
          <w:b/>
          <w:kern w:val="28"/>
        </w:rPr>
        <w:t>Small Business Analysis</w:t>
      </w:r>
    </w:p>
    <w:p w14:paraId="4DE541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49:974.2-974.8, the Regulatory Flexibility Act, the Louisiana Gaming Control Board, through its chairman, has concluded that the proposed Rule is not anticipated to have an adverse impact on small business; therefore, a Small Business Impact Statement has not been prepared.</w:t>
      </w:r>
    </w:p>
    <w:p w14:paraId="6F0CF06E" w14:textId="77777777" w:rsidR="006E50FF" w:rsidRPr="006E50FF" w:rsidRDefault="006E50FF" w:rsidP="006E50FF">
      <w:pPr>
        <w:keepNext/>
        <w:jc w:val="center"/>
        <w:rPr>
          <w:b/>
          <w:kern w:val="28"/>
        </w:rPr>
      </w:pPr>
      <w:r w:rsidRPr="006E50FF">
        <w:rPr>
          <w:b/>
          <w:kern w:val="28"/>
        </w:rPr>
        <w:t>Provider Impact Statement</w:t>
      </w:r>
    </w:p>
    <w:p w14:paraId="5E709E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Gaming Control Board, through its chairman, has considered the potential provider impact of the proposed Rule.</w:t>
      </w:r>
    </w:p>
    <w:p w14:paraId="2178B0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2E237F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22EC2D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5987474B" w14:textId="77777777" w:rsidR="006E50FF" w:rsidRPr="006E50FF" w:rsidRDefault="006E50FF" w:rsidP="006E50FF">
      <w:pPr>
        <w:tabs>
          <w:tab w:val="left" w:pos="720"/>
          <w:tab w:val="left" w:pos="979"/>
          <w:tab w:val="left" w:pos="1152"/>
        </w:tabs>
        <w:ind w:firstLine="360"/>
        <w:jc w:val="both"/>
        <w:outlineLvl w:val="4"/>
        <w:rPr>
          <w:kern w:val="28"/>
        </w:rPr>
      </w:pPr>
      <w:r w:rsidRPr="006E50FF">
        <w:rPr>
          <w:kern w:val="2"/>
        </w:rPr>
        <w:t>3.</w:t>
      </w:r>
      <w:r w:rsidRPr="006E50FF">
        <w:rPr>
          <w:kern w:val="2"/>
        </w:rPr>
        <w:tab/>
        <w:t>the overall effect on the ability of the provider to provide the same level of service.</w:t>
      </w:r>
    </w:p>
    <w:p w14:paraId="35C6F079" w14:textId="77777777" w:rsidR="006E50FF" w:rsidRPr="006E50FF" w:rsidRDefault="006E50FF" w:rsidP="006E50FF">
      <w:pPr>
        <w:keepNext/>
        <w:jc w:val="center"/>
        <w:rPr>
          <w:b/>
          <w:kern w:val="28"/>
        </w:rPr>
      </w:pPr>
      <w:r w:rsidRPr="006E50FF">
        <w:rPr>
          <w:b/>
          <w:kern w:val="28"/>
        </w:rPr>
        <w:t>Public Comments</w:t>
      </w:r>
    </w:p>
    <w:p w14:paraId="2C041E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Amy Pirtle Danageozian, Assistant Attorney General, Louisiana Department of Justice, Gaming Division, 1885 North Third Street, Fifth Floor, Baton Rouge, LA 70802. All comments must be submitted no later than the end of business day, Central time zone, of October 10, 2026.</w:t>
      </w:r>
    </w:p>
    <w:p w14:paraId="351FB9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D0EFCF7" w14:textId="77777777" w:rsidR="006E50FF" w:rsidRPr="006E50FF" w:rsidRDefault="006E50FF" w:rsidP="006E50FF">
      <w:pPr>
        <w:keepNext/>
        <w:ind w:left="2160"/>
        <w:jc w:val="both"/>
      </w:pPr>
      <w:r w:rsidRPr="006E50FF">
        <w:t>Christopher B. Hebert</w:t>
      </w:r>
    </w:p>
    <w:p w14:paraId="630B4381" w14:textId="77777777" w:rsidR="006E50FF" w:rsidRPr="006E50FF" w:rsidRDefault="006E50FF" w:rsidP="006E50FF">
      <w:pPr>
        <w:keepNext/>
        <w:ind w:left="2160"/>
        <w:jc w:val="both"/>
      </w:pPr>
      <w:r w:rsidRPr="006E50FF">
        <w:t>Chairman</w:t>
      </w:r>
    </w:p>
    <w:p w14:paraId="42299969" w14:textId="77777777" w:rsidR="006E50FF" w:rsidRPr="006E50FF" w:rsidRDefault="006E50FF" w:rsidP="006E50FF">
      <w:pPr>
        <w:keepNext/>
        <w:jc w:val="center"/>
        <w:rPr>
          <w:b/>
        </w:rPr>
      </w:pPr>
    </w:p>
    <w:p w14:paraId="50EF1A0D" w14:textId="77777777" w:rsidR="006E50FF" w:rsidRPr="006E50FF" w:rsidRDefault="006E50FF" w:rsidP="006E50FF">
      <w:pPr>
        <w:keepNext/>
        <w:jc w:val="center"/>
        <w:rPr>
          <w:b/>
        </w:rPr>
      </w:pPr>
      <w:r w:rsidRPr="006E50FF">
        <w:rPr>
          <w:b/>
        </w:rPr>
        <w:t>FISCAL AND ECONOMIC IMPACT STATEMENT FOR ADMINISTRATIVE RULES</w:t>
      </w:r>
    </w:p>
    <w:p w14:paraId="7FC73471" w14:textId="77777777" w:rsidR="006E50FF" w:rsidRPr="006E50FF" w:rsidRDefault="006E50FF" w:rsidP="006E50FF">
      <w:pPr>
        <w:keepNext/>
        <w:jc w:val="center"/>
        <w:rPr>
          <w:b/>
          <w:noProof/>
        </w:rPr>
      </w:pPr>
      <w:r w:rsidRPr="006E50FF">
        <w:rPr>
          <w:b/>
          <w:noProof/>
        </w:rPr>
        <w:t>RULE TITLE:  Fixed Odds Wagers on Horse Races and Sports Wagering Events</w:t>
      </w:r>
    </w:p>
    <w:p w14:paraId="1833DD7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8C324C6"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16688EA" w14:textId="77777777" w:rsidR="006E50FF" w:rsidRPr="006E50FF" w:rsidRDefault="006E50FF" w:rsidP="006E50FF">
      <w:pPr>
        <w:ind w:left="288" w:firstLine="288"/>
        <w:jc w:val="both"/>
        <w:rPr>
          <w:noProof/>
          <w:sz w:val="18"/>
        </w:rPr>
      </w:pPr>
      <w:r w:rsidRPr="006E50FF">
        <w:rPr>
          <w:noProof/>
          <w:sz w:val="18"/>
        </w:rPr>
        <w:t xml:space="preserve">It is not anticipated that state or local government units will incur any costs or savings as a result of this proposed rule. </w:t>
      </w:r>
    </w:p>
    <w:p w14:paraId="259F2957" w14:textId="77777777" w:rsidR="006E50FF" w:rsidRPr="006E50FF" w:rsidRDefault="006E50FF" w:rsidP="006E50FF">
      <w:pPr>
        <w:ind w:left="288" w:firstLine="288"/>
        <w:jc w:val="both"/>
        <w:rPr>
          <w:sz w:val="18"/>
        </w:rPr>
      </w:pPr>
      <w:r w:rsidRPr="006E50FF">
        <w:rPr>
          <w:sz w:val="18"/>
        </w:rPr>
        <w:t>The Department of Public Safety (DPS), Gaming Control Board proposes to amend Title 42 (Louisiana Gaming) of the Louisiana Administrative Code, Part IV (Sports Wagering), Chapter 1 (General Provisions), Section 101, Chapter 3 (Licensing), Section 303, Chapter 5 (Rules; Operations), Sections 501, 521, and 523, and Chapter 7 (Records; Accounting; Confidentiality), Section 701, relative to fixed odds wagers on horse races and sports wagering events. The proposed rule is intended to provide uniform guidelines for the acceptance of fixed odds horse race wagers for sports wagering, including operator requirements and internal controls and reporting requirements. It also modifies the time period for submitting special events or competitions of relative skill for board approval.</w:t>
      </w:r>
    </w:p>
    <w:p w14:paraId="6601A826" w14:textId="77777777" w:rsidR="006E50FF" w:rsidRPr="006E50FF" w:rsidRDefault="006E50FF" w:rsidP="006E50FF">
      <w:pPr>
        <w:ind w:left="288" w:hanging="288"/>
        <w:jc w:val="both"/>
        <w:rPr>
          <w:spacing w:val="-10"/>
          <w:sz w:val="18"/>
        </w:rPr>
      </w:pPr>
      <w:r w:rsidRPr="006E50FF">
        <w:rPr>
          <w:spacing w:val="-10"/>
          <w:sz w:val="18"/>
        </w:rPr>
        <w:br w:type="page"/>
      </w:r>
    </w:p>
    <w:p w14:paraId="689CA6D3" w14:textId="77777777" w:rsidR="006E50FF" w:rsidRPr="006E50FF" w:rsidRDefault="006E50FF" w:rsidP="006E50FF">
      <w:pPr>
        <w:ind w:left="288" w:hanging="288"/>
        <w:jc w:val="both"/>
        <w:rPr>
          <w:spacing w:val="-10"/>
          <w:sz w:val="18"/>
        </w:rPr>
      </w:pPr>
      <w:r w:rsidRPr="006E50FF">
        <w:rPr>
          <w:spacing w:val="-10"/>
          <w:sz w:val="18"/>
        </w:rPr>
        <w:lastRenderedPageBreak/>
        <w:t>II.</w:t>
      </w:r>
      <w:r w:rsidRPr="006E50FF">
        <w:rPr>
          <w:spacing w:val="-10"/>
          <w:sz w:val="18"/>
        </w:rPr>
        <w:tab/>
        <w:t>ESTIMATED EFFECT ON REVENUE COLLECTIONS OF STATE OR LOCAL GOVERNMENTAL UNITS (Summary)</w:t>
      </w:r>
    </w:p>
    <w:p w14:paraId="5CB8D181"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394A2E6F"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DE439BB"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678799D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826B8E2"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608F8AC5" w14:textId="77777777" w:rsidR="006E50FF" w:rsidRPr="006E50FF" w:rsidRDefault="006E50FF" w:rsidP="006E50FF">
      <w:pPr>
        <w:ind w:left="288" w:firstLine="288"/>
        <w:jc w:val="both"/>
        <w:rPr>
          <w:sz w:val="18"/>
        </w:rPr>
      </w:pPr>
    </w:p>
    <w:p w14:paraId="7DCB8B25" w14:textId="77777777" w:rsidR="006E50FF" w:rsidRPr="006E50FF" w:rsidRDefault="006E50FF" w:rsidP="006E50FF">
      <w:pPr>
        <w:tabs>
          <w:tab w:val="left" w:pos="2880"/>
          <w:tab w:val="decimal" w:pos="2988"/>
        </w:tabs>
        <w:outlineLvl w:val="8"/>
        <w:rPr>
          <w:kern w:val="2"/>
          <w:sz w:val="18"/>
        </w:rPr>
      </w:pPr>
      <w:r w:rsidRPr="006E50FF">
        <w:rPr>
          <w:kern w:val="2"/>
          <w:sz w:val="18"/>
        </w:rPr>
        <w:t>Christopher B. Hebert</w:t>
      </w:r>
      <w:r w:rsidRPr="006E50FF">
        <w:rPr>
          <w:kern w:val="2"/>
          <w:sz w:val="18"/>
        </w:rPr>
        <w:tab/>
        <w:t>Patrice Thomas</w:t>
      </w:r>
    </w:p>
    <w:p w14:paraId="04A5F3A5" w14:textId="77777777" w:rsidR="006E50FF" w:rsidRPr="006E50FF" w:rsidRDefault="006E50FF" w:rsidP="006E50FF">
      <w:pPr>
        <w:tabs>
          <w:tab w:val="left" w:pos="2880"/>
          <w:tab w:val="decimal" w:pos="2988"/>
        </w:tabs>
        <w:outlineLvl w:val="8"/>
        <w:rPr>
          <w:kern w:val="2"/>
          <w:sz w:val="18"/>
        </w:rPr>
      </w:pPr>
      <w:r w:rsidRPr="006E50FF">
        <w:rPr>
          <w:kern w:val="2"/>
          <w:sz w:val="18"/>
        </w:rPr>
        <w:t>Chairman</w:t>
      </w:r>
      <w:r w:rsidRPr="006E50FF">
        <w:rPr>
          <w:kern w:val="2"/>
          <w:sz w:val="18"/>
        </w:rPr>
        <w:tab/>
        <w:t>Deputy Fiscal Officer</w:t>
      </w:r>
    </w:p>
    <w:p w14:paraId="6D80B550" w14:textId="77777777" w:rsidR="006E50FF" w:rsidRPr="006E50FF" w:rsidRDefault="006E50FF" w:rsidP="006E50FF">
      <w:pPr>
        <w:tabs>
          <w:tab w:val="left" w:pos="2880"/>
          <w:tab w:val="decimal" w:pos="2988"/>
        </w:tabs>
        <w:outlineLvl w:val="8"/>
        <w:rPr>
          <w:kern w:val="2"/>
          <w:sz w:val="18"/>
        </w:rPr>
      </w:pPr>
      <w:r w:rsidRPr="006E50FF">
        <w:rPr>
          <w:noProof/>
          <w:sz w:val="16"/>
        </w:rPr>
        <w:t>2609#045</w:t>
      </w:r>
      <w:r w:rsidRPr="006E50FF">
        <w:rPr>
          <w:kern w:val="2"/>
        </w:rPr>
        <w:tab/>
      </w:r>
      <w:r w:rsidRPr="006E50FF">
        <w:rPr>
          <w:kern w:val="2"/>
          <w:sz w:val="18"/>
        </w:rPr>
        <w:t>Legislative Fiscal Office</w:t>
      </w:r>
    </w:p>
    <w:p w14:paraId="7DB8BCFD" w14:textId="77777777" w:rsidR="006E50FF" w:rsidRPr="006E50FF" w:rsidRDefault="006E50FF" w:rsidP="006E50FF"/>
    <w:p w14:paraId="33372AB9"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666EDBF0" w14:textId="77777777" w:rsidR="006E50FF" w:rsidRPr="006E50FF" w:rsidRDefault="006E50FF" w:rsidP="006E50FF">
      <w:pPr>
        <w:keepNext/>
        <w:jc w:val="center"/>
        <w:rPr>
          <w:rFonts w:eastAsia="Calibri"/>
          <w:b/>
          <w:noProof/>
        </w:rPr>
      </w:pPr>
      <w:r w:rsidRPr="006E50FF">
        <w:rPr>
          <w:rFonts w:eastAsia="Calibri"/>
          <w:b/>
          <w:noProof/>
        </w:rPr>
        <w:t>Department of Public Safety and Corrections</w:t>
      </w:r>
    </w:p>
    <w:p w14:paraId="45F87322" w14:textId="77777777" w:rsidR="006E50FF" w:rsidRPr="006E50FF" w:rsidRDefault="006E50FF" w:rsidP="006E50FF">
      <w:pPr>
        <w:keepNext/>
        <w:jc w:val="center"/>
        <w:rPr>
          <w:rFonts w:eastAsia="Calibri"/>
          <w:b/>
          <w:noProof/>
        </w:rPr>
      </w:pPr>
      <w:r w:rsidRPr="006E50FF">
        <w:rPr>
          <w:rFonts w:eastAsia="Calibri"/>
          <w:b/>
          <w:noProof/>
        </w:rPr>
        <w:t>Gaming Control Board</w:t>
      </w:r>
    </w:p>
    <w:p w14:paraId="6765BD3C" w14:textId="77777777" w:rsidR="006E50FF" w:rsidRPr="006E50FF" w:rsidRDefault="006E50FF" w:rsidP="006E50FF">
      <w:pPr>
        <w:keepNext/>
        <w:spacing w:before="240" w:after="240"/>
        <w:jc w:val="center"/>
        <w:rPr>
          <w:rFonts w:eastAsia="Calibri"/>
          <w:noProof/>
        </w:rPr>
      </w:pPr>
      <w:r w:rsidRPr="006E50FF">
        <w:rPr>
          <w:rFonts w:eastAsia="Calibri"/>
          <w:noProof/>
        </w:rPr>
        <w:t>Workplace Policies, Trainings, and Preventive Measures</w:t>
      </w:r>
      <w:r w:rsidRPr="006E50FF">
        <w:rPr>
          <w:rFonts w:eastAsia="Calibri"/>
          <w:noProof/>
        </w:rPr>
        <w:br/>
        <w:t>(LAC 42:III.Chapter 6)</w:t>
      </w:r>
    </w:p>
    <w:p w14:paraId="451997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 xml:space="preserve">The Department of Public Safety and Corrections, Gaming Control Board, in accordance with R.S. 27:15, </w:t>
      </w:r>
      <w:r w:rsidRPr="006E50FF">
        <w:rPr>
          <w:kern w:val="2"/>
        </w:rPr>
        <w:t>R.S. 27:24, and the provisions of the Administrative Procedures Act, R.S. 49:950 et seq.,</w:t>
      </w:r>
      <w:r w:rsidRPr="006E50FF">
        <w:rPr>
          <w:rFonts w:eastAsia="Calibri"/>
          <w:kern w:val="2"/>
        </w:rPr>
        <w:t xml:space="preserve"> hereby gives notice that it intends </w:t>
      </w:r>
      <w:r w:rsidRPr="006E50FF">
        <w:rPr>
          <w:kern w:val="2"/>
        </w:rPr>
        <w:t>to adopt Chapter 6—</w:t>
      </w:r>
      <w:r w:rsidRPr="006E50FF">
        <w:rPr>
          <w:rFonts w:eastAsia="Calibri"/>
          <w:kern w:val="2"/>
        </w:rPr>
        <w:t xml:space="preserve">Workplace Policies, Trainings, and Preventive Measures </w:t>
      </w:r>
      <w:r w:rsidRPr="006E50FF">
        <w:rPr>
          <w:kern w:val="2"/>
        </w:rPr>
        <w:t xml:space="preserve">of Part III of Title 42 of the </w:t>
      </w:r>
      <w:r w:rsidRPr="006E50FF">
        <w:rPr>
          <w:i/>
          <w:iCs/>
          <w:kern w:val="2"/>
        </w:rPr>
        <w:t>Louisiana Administrative Code</w:t>
      </w:r>
      <w:r w:rsidRPr="006E50FF">
        <w:rPr>
          <w:kern w:val="2"/>
        </w:rPr>
        <w:t>. The rule change is pursuant to Act 286 of the 2023 Regular Session of the Louisiana Legislature and allows for the training, identifying, reporting, signage, posting, written materials, resources available to victims, procedures, and enforcement of human trafficking, specifically for prevention and awareness thereof.</w:t>
      </w:r>
    </w:p>
    <w:p w14:paraId="01D57772" w14:textId="77777777" w:rsidR="006E50FF" w:rsidRPr="006E50FF" w:rsidRDefault="006E50FF" w:rsidP="006E50FF">
      <w:pPr>
        <w:keepNext/>
        <w:jc w:val="center"/>
        <w:rPr>
          <w:rFonts w:eastAsia="Calibri"/>
          <w:b/>
          <w:kern w:val="28"/>
        </w:rPr>
      </w:pPr>
      <w:r w:rsidRPr="006E50FF">
        <w:rPr>
          <w:rFonts w:eastAsia="Calibri"/>
          <w:b/>
          <w:kern w:val="28"/>
        </w:rPr>
        <w:t>Title 42</w:t>
      </w:r>
    </w:p>
    <w:p w14:paraId="75540C81" w14:textId="77777777" w:rsidR="006E50FF" w:rsidRPr="006E50FF" w:rsidRDefault="006E50FF" w:rsidP="006E50FF">
      <w:pPr>
        <w:keepNext/>
        <w:jc w:val="center"/>
        <w:rPr>
          <w:rFonts w:eastAsia="Calibri"/>
          <w:b/>
          <w:kern w:val="28"/>
        </w:rPr>
      </w:pPr>
      <w:r w:rsidRPr="006E50FF">
        <w:rPr>
          <w:rFonts w:eastAsia="Calibri"/>
          <w:b/>
          <w:kern w:val="28"/>
        </w:rPr>
        <w:t>LOUISIANA GAMING</w:t>
      </w:r>
    </w:p>
    <w:p w14:paraId="3470A4A2" w14:textId="77777777" w:rsidR="006E50FF" w:rsidRPr="006E50FF" w:rsidRDefault="006E50FF" w:rsidP="006E50FF">
      <w:pPr>
        <w:keepNext/>
        <w:jc w:val="center"/>
        <w:rPr>
          <w:rFonts w:eastAsia="Calibri"/>
          <w:b/>
          <w:noProof/>
        </w:rPr>
      </w:pPr>
      <w:r w:rsidRPr="006E50FF">
        <w:rPr>
          <w:rFonts w:eastAsia="Calibri"/>
          <w:b/>
          <w:noProof/>
        </w:rPr>
        <w:t>Part III.  Gaming Control Board</w:t>
      </w:r>
    </w:p>
    <w:p w14:paraId="6068975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6.</w:t>
      </w:r>
      <w:r w:rsidRPr="006E50FF">
        <w:rPr>
          <w:rFonts w:eastAsia="Calibri"/>
          <w:b/>
          <w:kern w:val="2"/>
        </w:rPr>
        <w:tab/>
        <w:t>Workplace Policies, Trainings, and Preventive Measures</w:t>
      </w:r>
    </w:p>
    <w:p w14:paraId="2781EEA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3" w:name="_Toc243903204"/>
      <w:bookmarkStart w:id="764" w:name="_Toc93658604"/>
      <w:r w:rsidRPr="006E50FF">
        <w:rPr>
          <w:b/>
          <w:kern w:val="2"/>
        </w:rPr>
        <w:t>§601.</w:t>
      </w:r>
      <w:r w:rsidRPr="006E50FF">
        <w:rPr>
          <w:b/>
          <w:kern w:val="2"/>
        </w:rPr>
        <w:tab/>
      </w:r>
      <w:bookmarkEnd w:id="763"/>
      <w:bookmarkEnd w:id="764"/>
      <w:r w:rsidRPr="006E50FF">
        <w:rPr>
          <w:b/>
          <w:kern w:val="2"/>
        </w:rPr>
        <w:t>Human Trafficking Awareness and Prevention Training</w:t>
      </w:r>
    </w:p>
    <w:p w14:paraId="3EADF3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As used in this Chapter, </w:t>
      </w:r>
      <w:r w:rsidRPr="006E50FF">
        <w:rPr>
          <w:i/>
          <w:kern w:val="2"/>
        </w:rPr>
        <w:t xml:space="preserve">training </w:t>
      </w:r>
      <w:r w:rsidRPr="006E50FF">
        <w:rPr>
          <w:kern w:val="2"/>
        </w:rPr>
        <w:t>shall mean the Human Trafficking Awareness and Prevention Training as provided in La. R.S. 27:27.5, which shall consist of an approved Human Trafficking Awareness and Prevention training video and/or PowerPoint developed by the Louisiana Gaming Control Board in conjunction with the Governor’s Office of Human Trafficking Prevention, or other approved materials, hosted and made publicly available on the official website of the board.</w:t>
      </w:r>
    </w:p>
    <w:p w14:paraId="326B3B93" w14:textId="77777777" w:rsidR="006E50FF" w:rsidRPr="006E50FF" w:rsidRDefault="006E50FF" w:rsidP="006E50FF">
      <w:pPr>
        <w:tabs>
          <w:tab w:val="left" w:pos="144"/>
          <w:tab w:val="left" w:pos="187"/>
          <w:tab w:val="left" w:pos="540"/>
          <w:tab w:val="left" w:pos="907"/>
          <w:tab w:val="left" w:pos="1080"/>
        </w:tabs>
        <w:ind w:firstLine="187"/>
        <w:jc w:val="both"/>
        <w:outlineLvl w:val="3"/>
        <w:rPr>
          <w:iCs/>
          <w:kern w:val="2"/>
        </w:rPr>
      </w:pPr>
      <w:r w:rsidRPr="006E50FF">
        <w:rPr>
          <w:kern w:val="2"/>
        </w:rPr>
        <w:t>B.</w:t>
      </w:r>
      <w:r w:rsidRPr="006E50FF">
        <w:rPr>
          <w:kern w:val="2"/>
        </w:rPr>
        <w:tab/>
        <w:t xml:space="preserve">As used in this Chapter, </w:t>
      </w:r>
      <w:r w:rsidRPr="006E50FF">
        <w:rPr>
          <w:i/>
          <w:iCs/>
          <w:kern w:val="2"/>
        </w:rPr>
        <w:t>licensee</w:t>
      </w:r>
      <w:r w:rsidRPr="006E50FF">
        <w:rPr>
          <w:kern w:val="2"/>
        </w:rPr>
        <w:t xml:space="preserve"> shall mean persons licensed or otherwise authorized under the Louisiana Gaming Control Law, R.S. 27:1 et seq. to conduct gaming activities and/or operations or perform any activity for which a license is required. For purposes of this Chapter, licensee includes, but is not be limited to, those licensed as riverboats, the land-based casino, pari-mutuel live racing facilities, eligible </w:t>
      </w:r>
      <w:r w:rsidRPr="006E50FF">
        <w:rPr>
          <w:kern w:val="2"/>
        </w:rPr>
        <w:br w:type="column"/>
      </w:r>
      <w:r w:rsidRPr="006E50FF">
        <w:rPr>
          <w:kern w:val="2"/>
        </w:rPr>
        <w:t xml:space="preserve">facilities, offtrack wagering facilities, bars, taverns, lounges, restaurants, hotels and motels, device owners, service entities, qualified truck stop facilities, </w:t>
      </w:r>
      <w:r w:rsidRPr="006E50FF">
        <w:rPr>
          <w:iCs/>
          <w:kern w:val="2"/>
        </w:rPr>
        <w:t>sports wagering licensees, and fantasy sports contest operators.</w:t>
      </w:r>
    </w:p>
    <w:p w14:paraId="56D941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As used in this Chapter, </w:t>
      </w:r>
      <w:r w:rsidRPr="006E50FF">
        <w:rPr>
          <w:i/>
          <w:kern w:val="2"/>
        </w:rPr>
        <w:t>permittee</w:t>
      </w:r>
      <w:r w:rsidRPr="006E50FF">
        <w:rPr>
          <w:kern w:val="2"/>
        </w:rPr>
        <w:t xml:space="preserve"> shall mean persons permitted or otherwise authorized under the Louisiana Gaming Control Law, R.S. 27:1 et seq. to conduct gaming operations as a sports wagering platform provider or perform any activity for which a permit is required or to manufacture or sell any gaming devices, supplies, or equipment. For purposes of this Chapter, permittee includes, but is not limited to, sports wagering platform providers, manufacturers, distributors, device owners, and gaming suppliers. </w:t>
      </w:r>
    </w:p>
    <w:p w14:paraId="67B4C5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As used in this Chapter, </w:t>
      </w:r>
      <w:r w:rsidRPr="006E50FF">
        <w:rPr>
          <w:i/>
          <w:kern w:val="2"/>
        </w:rPr>
        <w:t xml:space="preserve">employee </w:t>
      </w:r>
      <w:r w:rsidRPr="006E50FF">
        <w:rPr>
          <w:kern w:val="2"/>
        </w:rPr>
        <w:t xml:space="preserve">shall mean any person employed by a licensee or permittee, regardless of whether the person is required to hold a gaming employee permit. </w:t>
      </w:r>
    </w:p>
    <w:p w14:paraId="1D0B40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L</w:t>
      </w:r>
      <w:r w:rsidRPr="006E50FF">
        <w:rPr>
          <w:iCs/>
          <w:kern w:val="2"/>
        </w:rPr>
        <w:t>icensees and permittees</w:t>
      </w:r>
      <w:r w:rsidRPr="006E50FF">
        <w:rPr>
          <w:kern w:val="2"/>
        </w:rPr>
        <w:t xml:space="preserve"> shall, in writing, designate the personnel or department who will be designated trainers and responsible for implementing and monitoring the training. Said written designation shall be made available to the board and division upon request. The designated personnel shall also be responsible for submitting all annual certifications of completion for the licensee/permittee and employees and ensuring compliance with the provisions of this Chapter. </w:t>
      </w:r>
    </w:p>
    <w:p w14:paraId="53C8D5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Each licensee, permittee, and employee of a licensee or permittee shall successfully complete the training, in accordance with La. R.S. 27:27.5 and this Chapter.</w:t>
      </w:r>
    </w:p>
    <w:p w14:paraId="5AA2DE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 xml:space="preserve">Pursuant to R.S. 27:27.5, licensees, permittees, and employees of licensees and permittees shall certify to the division, on an annual basis, that the licensee, permittee, or employee has participated in, and completed, the training in the manner provided in Section 603. </w:t>
      </w:r>
    </w:p>
    <w:p w14:paraId="35518C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149120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1E867F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§603.</w:t>
      </w:r>
      <w:r w:rsidRPr="006E50FF">
        <w:rPr>
          <w:b/>
          <w:kern w:val="2"/>
        </w:rPr>
        <w:tab/>
        <w:t>Mandatory Training Requirements</w:t>
      </w:r>
    </w:p>
    <w:p w14:paraId="28D89B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All licensees, permittees, and employees shall complete the training within 180 days of the effective date of this Chapter. </w:t>
      </w:r>
    </w:p>
    <w:p w14:paraId="18C0C5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licensee, permittee, or employee not licensed, permitted, or employed within the time period in Subsection A shall complete the training within 60 days of the date of licensing, permitting, or employment, whichever applicable and earliest.</w:t>
      </w:r>
    </w:p>
    <w:p w14:paraId="366FE9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After the initial trainings required in Subsections A and B, licensees, permittees, and employees shall complete the training annually, by December 31 of each calendar year.</w:t>
      </w:r>
    </w:p>
    <w:p w14:paraId="7E4CE4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Licensees and permittees shall implement protocols for its employees to follow for identifying, documenting, reporting, and responding to suspected occurrences of human trafficking within gaming and non-gaming areas. The protocols shall comply with any minimum standards or directives of the division. Licensees and permittees shall train all employees on the protocols. </w:t>
      </w:r>
    </w:p>
    <w:p w14:paraId="66D88D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1CAF79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12E1D9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§605.</w:t>
      </w:r>
      <w:r w:rsidRPr="006E50FF">
        <w:rPr>
          <w:b/>
          <w:kern w:val="2"/>
        </w:rPr>
        <w:tab/>
        <w:t>Certification and Record Keeping</w:t>
      </w:r>
    </w:p>
    <w:p w14:paraId="7D5AB2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licensee, permittee, and employee of a licensee or permittee shall obtain a documentation verifying participation in, and the successful completion of, the required training, at the intervals required in Section 603.A - C. </w:t>
      </w:r>
    </w:p>
    <w:p w14:paraId="1B78C3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Licensees, permittees, and employees of licensees and permittees shall retain the documentation of completion for a minimum of five 5 years. Electronic copies are sufficient provided they are readily accessible for audit purposes. </w:t>
      </w:r>
    </w:p>
    <w:p w14:paraId="02EFA2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Licensees, permittees, and employees of licensees and permittees shall certify participation in and completion of the training to the division on an annual basis as a condition of maintaining any gaming license or permit. For those completing the board’s digital training, the incorporated online certification satisfies this requirement. For those completing the training in-person, the licensee or permittee must have each employee sign a document certifying completion. </w:t>
      </w:r>
    </w:p>
    <w:p w14:paraId="3E4700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Licensees and permittees shall compile and maintain proof of all certifications of completion for itself and its employees. Licensees and permittees shall certify that it and its employees participated in and completed the training every year. This certification shall be due to the division on or before June 30 of the following calendar year.</w:t>
      </w:r>
    </w:p>
    <w:p w14:paraId="44ECF10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Licensee and permittees shall maintain accurate and verifiable records for a minimum of five years that document the successful completion of the training by all current and former employees. These records shall be made available for inspection by the division or board upon request. Electronic copies are sufficient provided they are readily accessible for audit purposes. </w:t>
      </w:r>
    </w:p>
    <w:p w14:paraId="50E74E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54C787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05A1A42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§607.</w:t>
      </w:r>
      <w:r w:rsidRPr="006E50FF">
        <w:rPr>
          <w:b/>
          <w:kern w:val="2"/>
        </w:rPr>
        <w:tab/>
        <w:t>Signage and Materials</w:t>
      </w:r>
    </w:p>
    <w:p w14:paraId="252429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licensee shall post or provide approved human trafficking awareness materials from the Louisiana Governor’s Office of Human Trafficking Prevention or similar materials approved by the board throughout the licensed gaming establishment. </w:t>
      </w:r>
    </w:p>
    <w:p w14:paraId="775B63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Approved human trafficking awareness materials shall be placed in conspicuous locations within the gaming establishment and non-gaming areas comprising the licensed premises, licensed establishment, official gaming establishment, or facility and shall include, at a minimum, hotline telephone numbers, and other important information concerning the signs and indicators of human trafficking. Locations shall include, but are not limited to the following areas:</w:t>
      </w:r>
    </w:p>
    <w:p w14:paraId="080A34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cashier cages;</w:t>
      </w:r>
    </w:p>
    <w:p w14:paraId="0A88A1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valet areas;</w:t>
      </w:r>
    </w:p>
    <w:p w14:paraId="36ABFF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employee breakrooms;</w:t>
      </w:r>
    </w:p>
    <w:p w14:paraId="7F7DCB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public bathroom stall doors;</w:t>
      </w:r>
    </w:p>
    <w:p w14:paraId="17F4B3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public bathroom wash areas; and</w:t>
      </w:r>
    </w:p>
    <w:p w14:paraId="21A7A7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truckers lounge of a qualified truckstop facility.</w:t>
      </w:r>
    </w:p>
    <w:p w14:paraId="37DC29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Each licensee shall post one or more conspicuous approved signs at points of entry to gaming establishments to inform patrons of the national human trafficking hotline, website, and text number available to report suspected human trafficking. </w:t>
      </w:r>
    </w:p>
    <w:p w14:paraId="1430F3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350529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2208B3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§609.</w:t>
      </w:r>
      <w:r w:rsidRPr="006E50FF">
        <w:rPr>
          <w:b/>
          <w:kern w:val="2"/>
        </w:rPr>
        <w:tab/>
        <w:t>Sanctions</w:t>
      </w:r>
    </w:p>
    <w:p w14:paraId="42E5C7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Failure by any licensee, permittee, or employee of a licensee or permittee to comply with this Chapter, including, but not limited to, failure to comply, failure to ensure employee compliance, or failure to maintain adequate records shall constitute a violation, subject to administrative action including, but not limited to, penalty, suspension, or revocation.</w:t>
      </w:r>
    </w:p>
    <w:p w14:paraId="042C6D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37700C8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609C7306" w14:textId="77777777" w:rsidR="006E50FF" w:rsidRPr="006E50FF" w:rsidRDefault="006E50FF" w:rsidP="006E50FF">
      <w:pPr>
        <w:keepNext/>
        <w:jc w:val="center"/>
        <w:rPr>
          <w:b/>
          <w:kern w:val="28"/>
        </w:rPr>
      </w:pPr>
      <w:r w:rsidRPr="006E50FF">
        <w:rPr>
          <w:b/>
          <w:kern w:val="28"/>
        </w:rPr>
        <w:t>Family Impact Statement</w:t>
      </w:r>
    </w:p>
    <w:p w14:paraId="6CF595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Gaming Control Board, through its chairman, has considered the potential family impact of the proposed Rule.</w:t>
      </w:r>
    </w:p>
    <w:p w14:paraId="2485A2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the following:</w:t>
      </w:r>
    </w:p>
    <w:p w14:paraId="35C191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5DE8FE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w:t>
      </w:r>
    </w:p>
    <w:p w14:paraId="4E8861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6101F3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22DC7D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7FD47A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1569487E" w14:textId="77777777" w:rsidR="006E50FF" w:rsidRPr="006E50FF" w:rsidRDefault="006E50FF" w:rsidP="006E50FF">
      <w:pPr>
        <w:keepNext/>
        <w:jc w:val="center"/>
        <w:rPr>
          <w:b/>
          <w:kern w:val="28"/>
        </w:rPr>
      </w:pPr>
      <w:r w:rsidRPr="006E50FF">
        <w:rPr>
          <w:b/>
          <w:kern w:val="28"/>
        </w:rPr>
        <w:t>Poverty Impact Statement</w:t>
      </w:r>
    </w:p>
    <w:p w14:paraId="030ED9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Gaming Control Board, through its chairman, has considered the potential poverty impact of the proposed Rule.</w:t>
      </w:r>
    </w:p>
    <w:p w14:paraId="6BC360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416492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4A5811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2FB3B8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1CB876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6B98EC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64B368B7" w14:textId="77777777" w:rsidR="006E50FF" w:rsidRPr="006E50FF" w:rsidRDefault="006E50FF" w:rsidP="006E50FF">
      <w:pPr>
        <w:keepNext/>
        <w:jc w:val="center"/>
        <w:rPr>
          <w:b/>
          <w:kern w:val="28"/>
        </w:rPr>
      </w:pPr>
      <w:r w:rsidRPr="006E50FF">
        <w:rPr>
          <w:b/>
          <w:kern w:val="28"/>
        </w:rPr>
        <w:t>Small Business Analysis</w:t>
      </w:r>
    </w:p>
    <w:p w14:paraId="51C521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49:974.2-974.8, the Regulatory Flexibility Act, the Louisiana Gaming Control Board, through its chairman, has concluded that the proposed Rule is not anticipated to have an adverse impact on small business; therefore, a Small Business Impact Statement has not been prepared.</w:t>
      </w:r>
    </w:p>
    <w:p w14:paraId="129790E0" w14:textId="77777777" w:rsidR="006E50FF" w:rsidRPr="006E50FF" w:rsidRDefault="006E50FF" w:rsidP="006E50FF">
      <w:pPr>
        <w:keepNext/>
        <w:jc w:val="center"/>
        <w:rPr>
          <w:b/>
          <w:kern w:val="28"/>
        </w:rPr>
      </w:pPr>
      <w:r w:rsidRPr="006E50FF">
        <w:rPr>
          <w:b/>
          <w:kern w:val="28"/>
        </w:rPr>
        <w:t>Provider Impact Statement</w:t>
      </w:r>
    </w:p>
    <w:p w14:paraId="5B9D91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Gaming Control Board, through its chairman, has considered the potential provider impact of the proposed Rule.</w:t>
      </w:r>
    </w:p>
    <w:p w14:paraId="46EB86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548BFE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9B44B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34BB352D" w14:textId="77777777" w:rsidR="006E50FF" w:rsidRPr="006E50FF" w:rsidRDefault="006E50FF" w:rsidP="006E50FF">
      <w:pPr>
        <w:tabs>
          <w:tab w:val="left" w:pos="720"/>
          <w:tab w:val="left" w:pos="979"/>
          <w:tab w:val="left" w:pos="1152"/>
        </w:tabs>
        <w:ind w:firstLine="360"/>
        <w:jc w:val="both"/>
        <w:outlineLvl w:val="4"/>
        <w:rPr>
          <w:kern w:val="28"/>
        </w:rPr>
      </w:pPr>
      <w:r w:rsidRPr="006E50FF">
        <w:rPr>
          <w:kern w:val="2"/>
        </w:rPr>
        <w:t>3.</w:t>
      </w:r>
      <w:r w:rsidRPr="006E50FF">
        <w:rPr>
          <w:kern w:val="2"/>
        </w:rPr>
        <w:tab/>
        <w:t>the overall effect on the ability of the provider to provide the same level of service.</w:t>
      </w:r>
    </w:p>
    <w:p w14:paraId="0CF3E0C2" w14:textId="77777777" w:rsidR="006E50FF" w:rsidRPr="006E50FF" w:rsidRDefault="006E50FF" w:rsidP="006E50FF">
      <w:pPr>
        <w:keepNext/>
        <w:jc w:val="center"/>
        <w:rPr>
          <w:b/>
          <w:kern w:val="28"/>
        </w:rPr>
      </w:pPr>
      <w:r w:rsidRPr="006E50FF">
        <w:rPr>
          <w:b/>
          <w:kern w:val="28"/>
        </w:rPr>
        <w:lastRenderedPageBreak/>
        <w:t>Public Comments</w:t>
      </w:r>
    </w:p>
    <w:p w14:paraId="03022B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Sharon McCoy, Assistant Attorney General, Louisiana Department of Justice, Gaming Division, 1885 North Third Street, Fifth Floor, Baton Rouge, LA 70802. All comments must be submitted no later than the end of business day, central time zone, of October 10, 2026.</w:t>
      </w:r>
    </w:p>
    <w:p w14:paraId="053A4A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8499E05" w14:textId="77777777" w:rsidR="006E50FF" w:rsidRPr="006E50FF" w:rsidRDefault="006E50FF" w:rsidP="006E50FF">
      <w:pPr>
        <w:keepNext/>
        <w:ind w:left="2160"/>
        <w:jc w:val="both"/>
      </w:pPr>
      <w:r w:rsidRPr="006E50FF">
        <w:t>Christopher B. Hebert</w:t>
      </w:r>
    </w:p>
    <w:p w14:paraId="2B3FFE26" w14:textId="77777777" w:rsidR="006E50FF" w:rsidRPr="006E50FF" w:rsidRDefault="006E50FF" w:rsidP="006E50FF">
      <w:pPr>
        <w:keepNext/>
        <w:ind w:left="2160"/>
        <w:jc w:val="both"/>
      </w:pPr>
      <w:r w:rsidRPr="006E50FF">
        <w:t>Chairman</w:t>
      </w:r>
    </w:p>
    <w:p w14:paraId="5105C850" w14:textId="77777777" w:rsidR="006E50FF" w:rsidRPr="006E50FF" w:rsidRDefault="006E50FF" w:rsidP="006E50FF">
      <w:pPr>
        <w:keepNext/>
        <w:jc w:val="center"/>
        <w:rPr>
          <w:b/>
        </w:rPr>
      </w:pPr>
    </w:p>
    <w:p w14:paraId="65E298B6" w14:textId="77777777" w:rsidR="006E50FF" w:rsidRPr="006E50FF" w:rsidRDefault="006E50FF" w:rsidP="006E50FF">
      <w:pPr>
        <w:keepNext/>
        <w:jc w:val="center"/>
        <w:rPr>
          <w:b/>
        </w:rPr>
      </w:pPr>
      <w:r w:rsidRPr="006E50FF">
        <w:rPr>
          <w:b/>
        </w:rPr>
        <w:t>FISCAL AND ECONOMIC IMPACT STATEMENT FOR ADMINISTRATIVE RULES</w:t>
      </w:r>
    </w:p>
    <w:p w14:paraId="41097900" w14:textId="77777777" w:rsidR="006E50FF" w:rsidRPr="006E50FF" w:rsidRDefault="006E50FF" w:rsidP="006E50FF">
      <w:pPr>
        <w:keepNext/>
        <w:jc w:val="center"/>
        <w:rPr>
          <w:b/>
          <w:noProof/>
        </w:rPr>
      </w:pPr>
      <w:r w:rsidRPr="006E50FF">
        <w:rPr>
          <w:b/>
          <w:noProof/>
        </w:rPr>
        <w:t>RULE TITLE:  Workplace Policies, Trainings, and Preventive Measures</w:t>
      </w:r>
    </w:p>
    <w:p w14:paraId="2373CAA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C31E70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17884CF" w14:textId="77777777" w:rsidR="006E50FF" w:rsidRPr="006E50FF" w:rsidRDefault="006E50FF" w:rsidP="006E50FF">
      <w:pPr>
        <w:ind w:left="288" w:firstLine="288"/>
        <w:jc w:val="both"/>
        <w:rPr>
          <w:noProof/>
          <w:sz w:val="18"/>
        </w:rPr>
      </w:pPr>
      <w:r w:rsidRPr="006E50FF">
        <w:rPr>
          <w:noProof/>
          <w:sz w:val="18"/>
        </w:rPr>
        <w:t>The proposed rule will result in a one-time expenditure of approximately $12,900 to the Louisiana Gaming Control Board for development of a Human Trafficking Awareness and Prevention Training Video. Any additional costs associated with implementation are expected to be absorbed within existing agency operating budgets and are anticipated to have a minimal fiscal impact.</w:t>
      </w:r>
    </w:p>
    <w:p w14:paraId="578BB271" w14:textId="77777777" w:rsidR="006E50FF" w:rsidRPr="006E50FF" w:rsidRDefault="006E50FF" w:rsidP="006E50FF">
      <w:pPr>
        <w:ind w:left="288" w:firstLine="288"/>
        <w:jc w:val="both"/>
        <w:rPr>
          <w:sz w:val="18"/>
        </w:rPr>
      </w:pPr>
      <w:r w:rsidRPr="006E50FF">
        <w:rPr>
          <w:sz w:val="18"/>
        </w:rPr>
        <w:t>In accordance with Act 286 of the 2023 Regular Session, the proposed rule establishes policies, training procedures, and enforcement provisions related to human trafficking awareness and prevention, including curriculum standards and implementation of a comprehensive web-based training program.</w:t>
      </w:r>
    </w:p>
    <w:p w14:paraId="25499090"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23BB34A"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1759E29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E56AA59"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0DD1FCF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BE2411C"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41E89D8C" w14:textId="77777777" w:rsidR="006E50FF" w:rsidRPr="006E50FF" w:rsidRDefault="006E50FF" w:rsidP="006E50FF">
      <w:pPr>
        <w:ind w:left="288" w:firstLine="288"/>
        <w:jc w:val="both"/>
        <w:rPr>
          <w:sz w:val="18"/>
        </w:rPr>
      </w:pPr>
    </w:p>
    <w:p w14:paraId="13F0DD8D" w14:textId="77777777" w:rsidR="006E50FF" w:rsidRPr="006E50FF" w:rsidRDefault="006E50FF" w:rsidP="006E50FF">
      <w:pPr>
        <w:tabs>
          <w:tab w:val="left" w:pos="2880"/>
          <w:tab w:val="decimal" w:pos="2988"/>
        </w:tabs>
        <w:outlineLvl w:val="8"/>
        <w:rPr>
          <w:kern w:val="2"/>
          <w:sz w:val="18"/>
        </w:rPr>
      </w:pPr>
      <w:r w:rsidRPr="006E50FF">
        <w:rPr>
          <w:kern w:val="2"/>
          <w:sz w:val="18"/>
        </w:rPr>
        <w:t>Christopher B. Hebert</w:t>
      </w:r>
      <w:r w:rsidRPr="006E50FF">
        <w:rPr>
          <w:kern w:val="2"/>
          <w:sz w:val="18"/>
        </w:rPr>
        <w:tab/>
        <w:t>Patrice Thomas</w:t>
      </w:r>
    </w:p>
    <w:p w14:paraId="1A702DF6" w14:textId="77777777" w:rsidR="006E50FF" w:rsidRPr="006E50FF" w:rsidRDefault="006E50FF" w:rsidP="006E50FF">
      <w:pPr>
        <w:tabs>
          <w:tab w:val="left" w:pos="2880"/>
          <w:tab w:val="decimal" w:pos="2988"/>
        </w:tabs>
        <w:outlineLvl w:val="8"/>
        <w:rPr>
          <w:kern w:val="2"/>
          <w:sz w:val="18"/>
        </w:rPr>
      </w:pPr>
      <w:r w:rsidRPr="006E50FF">
        <w:rPr>
          <w:kern w:val="2"/>
          <w:sz w:val="18"/>
        </w:rPr>
        <w:t>Chairman</w:t>
      </w:r>
      <w:r w:rsidRPr="006E50FF">
        <w:rPr>
          <w:kern w:val="2"/>
          <w:sz w:val="18"/>
        </w:rPr>
        <w:tab/>
        <w:t>Deputy Fiscal Officer</w:t>
      </w:r>
    </w:p>
    <w:p w14:paraId="5C9FF1A2" w14:textId="77777777" w:rsidR="006E50FF" w:rsidRPr="006E50FF" w:rsidRDefault="006E50FF" w:rsidP="006E50FF">
      <w:pPr>
        <w:tabs>
          <w:tab w:val="left" w:pos="2880"/>
          <w:tab w:val="decimal" w:pos="2988"/>
        </w:tabs>
        <w:outlineLvl w:val="8"/>
        <w:rPr>
          <w:kern w:val="2"/>
          <w:sz w:val="18"/>
        </w:rPr>
      </w:pPr>
      <w:r w:rsidRPr="006E50FF">
        <w:rPr>
          <w:noProof/>
          <w:sz w:val="16"/>
        </w:rPr>
        <w:t>2609#079</w:t>
      </w:r>
      <w:r w:rsidRPr="006E50FF">
        <w:rPr>
          <w:kern w:val="2"/>
        </w:rPr>
        <w:tab/>
      </w:r>
      <w:r w:rsidRPr="006E50FF">
        <w:rPr>
          <w:kern w:val="2"/>
          <w:sz w:val="18"/>
        </w:rPr>
        <w:t>Legislative Fiscal Office</w:t>
      </w:r>
    </w:p>
    <w:p w14:paraId="7F05C7B0" w14:textId="77777777" w:rsidR="006E50FF" w:rsidRPr="006E50FF" w:rsidRDefault="006E50FF" w:rsidP="006E50FF"/>
    <w:p w14:paraId="1BCAA419"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480621FB" w14:textId="77777777" w:rsidR="006E50FF" w:rsidRPr="006E50FF" w:rsidRDefault="006E50FF" w:rsidP="006E50FF">
      <w:pPr>
        <w:keepNext/>
        <w:jc w:val="center"/>
        <w:rPr>
          <w:b/>
          <w:noProof/>
        </w:rPr>
      </w:pPr>
      <w:r w:rsidRPr="006E50FF">
        <w:rPr>
          <w:b/>
          <w:noProof/>
        </w:rPr>
        <w:t>Department of Public Safety and Corrections</w:t>
      </w:r>
    </w:p>
    <w:p w14:paraId="2E527E4A" w14:textId="77777777" w:rsidR="006E50FF" w:rsidRPr="006E50FF" w:rsidRDefault="006E50FF" w:rsidP="006E50FF">
      <w:pPr>
        <w:keepNext/>
        <w:jc w:val="center"/>
        <w:rPr>
          <w:b/>
          <w:noProof/>
        </w:rPr>
      </w:pPr>
      <w:r w:rsidRPr="006E50FF">
        <w:rPr>
          <w:b/>
          <w:noProof/>
        </w:rPr>
        <w:t>Office of State Police</w:t>
      </w:r>
    </w:p>
    <w:p w14:paraId="2DC3AA23" w14:textId="77777777" w:rsidR="006E50FF" w:rsidRPr="006E50FF" w:rsidRDefault="006E50FF" w:rsidP="006E50FF">
      <w:pPr>
        <w:keepNext/>
        <w:spacing w:before="240" w:after="240"/>
        <w:jc w:val="center"/>
        <w:rPr>
          <w:noProof/>
        </w:rPr>
      </w:pPr>
      <w:r w:rsidRPr="006E50FF">
        <w:rPr>
          <w:noProof/>
        </w:rPr>
        <w:t>Hazardous Material Information Development, Preparedness, and Response Act</w:t>
      </w:r>
      <w:r w:rsidRPr="006E50FF">
        <w:rPr>
          <w:noProof/>
        </w:rPr>
        <w:br/>
        <w:t xml:space="preserve">Inventory Reporting </w:t>
      </w:r>
      <w:r w:rsidRPr="006E50FF">
        <w:rPr>
          <w:bCs/>
          <w:noProof/>
        </w:rPr>
        <w:t>(LAC 33:V.10109)</w:t>
      </w:r>
    </w:p>
    <w:p w14:paraId="4662BE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the Administrative Procedure Act, R.S. 49:950 et seq., and the Louisiana Hazardous Material Information Development, Preparedness, and Response Act, R.S. 30:2361 et seq., notice is hereby given that the Department of Public Safety and Corrections, Office of State Police, intends to amend LAC 33:V.10109 (Inventory Reporting). The proposed amendments revise LAC </w:t>
      </w:r>
      <w:r w:rsidRPr="006E50FF">
        <w:rPr>
          <w:kern w:val="2"/>
        </w:rPr>
        <w:t xml:space="preserve">33:V.10109 as follows. In </w:t>
      </w:r>
      <w:r w:rsidRPr="006E50FF">
        <w:rPr>
          <w:bCs/>
          <w:kern w:val="2"/>
        </w:rPr>
        <w:t>Subsection A</w:t>
      </w:r>
      <w:r w:rsidRPr="006E50FF">
        <w:rPr>
          <w:kern w:val="2"/>
        </w:rPr>
        <w:t xml:space="preserve">, the amendments add a cross-reference to 40 CFR Part 355, Appendix A, as the source of the listed threshold quantities In </w:t>
      </w:r>
      <w:r w:rsidRPr="006E50FF">
        <w:rPr>
          <w:bCs/>
          <w:kern w:val="2"/>
        </w:rPr>
        <w:t>Subsection B</w:t>
      </w:r>
      <w:r w:rsidRPr="006E50FF">
        <w:rPr>
          <w:kern w:val="2"/>
        </w:rPr>
        <w:t xml:space="preserve">, the amendments replace the existing reporting-period and 500-pound quantity language with a requirement to report materials for which a Material Safety Data Sheet must be maintained in compliance with Section 312 of the federal Emergency Planning and Community Right-to-Know Act and 40 CFR Part 370. </w:t>
      </w:r>
      <w:r w:rsidRPr="006E50FF">
        <w:rPr>
          <w:bCs/>
          <w:kern w:val="2"/>
        </w:rPr>
        <w:t>Subsection C</w:t>
      </w:r>
      <w:r w:rsidRPr="006E50FF">
        <w:rPr>
          <w:kern w:val="2"/>
        </w:rPr>
        <w:t xml:space="preserve"> is repealed in its entirety.</w:t>
      </w:r>
    </w:p>
    <w:p w14:paraId="55371B7F" w14:textId="77777777" w:rsidR="006E50FF" w:rsidRPr="006E50FF" w:rsidRDefault="006E50FF" w:rsidP="006E50FF">
      <w:pPr>
        <w:keepNext/>
        <w:jc w:val="center"/>
        <w:rPr>
          <w:b/>
          <w:kern w:val="28"/>
        </w:rPr>
      </w:pPr>
      <w:r w:rsidRPr="006E50FF">
        <w:rPr>
          <w:b/>
          <w:kern w:val="28"/>
        </w:rPr>
        <w:t>Title 33</w:t>
      </w:r>
    </w:p>
    <w:p w14:paraId="3E26B326" w14:textId="77777777" w:rsidR="006E50FF" w:rsidRPr="006E50FF" w:rsidRDefault="006E50FF" w:rsidP="006E50FF">
      <w:pPr>
        <w:keepNext/>
        <w:jc w:val="center"/>
        <w:rPr>
          <w:b/>
          <w:kern w:val="28"/>
        </w:rPr>
      </w:pPr>
      <w:r w:rsidRPr="006E50FF">
        <w:rPr>
          <w:b/>
          <w:kern w:val="28"/>
        </w:rPr>
        <w:t>ENVIRONMENTAL QUALITY</w:t>
      </w:r>
    </w:p>
    <w:p w14:paraId="6DB394BD" w14:textId="77777777" w:rsidR="006E50FF" w:rsidRPr="006E50FF" w:rsidRDefault="006E50FF" w:rsidP="006E50FF">
      <w:pPr>
        <w:keepNext/>
        <w:jc w:val="center"/>
        <w:rPr>
          <w:b/>
          <w:noProof/>
        </w:rPr>
      </w:pPr>
      <w:r w:rsidRPr="006E50FF">
        <w:rPr>
          <w:b/>
          <w:noProof/>
        </w:rPr>
        <w:t>Part V.  Hazardous Wastes and Hazardous Materials</w:t>
      </w:r>
    </w:p>
    <w:p w14:paraId="1D5E11FF" w14:textId="77777777" w:rsidR="006E50FF" w:rsidRPr="006E50FF" w:rsidRDefault="006E50FF" w:rsidP="006E50FF">
      <w:pPr>
        <w:keepNext/>
        <w:jc w:val="center"/>
        <w:rPr>
          <w:b/>
          <w:noProof/>
        </w:rPr>
      </w:pPr>
      <w:r w:rsidRPr="006E50FF">
        <w:rPr>
          <w:b/>
          <w:noProof/>
        </w:rPr>
        <w:t>Subpart 2.  Department of Public Safety and Corrections—Hazardous Materials</w:t>
      </w:r>
    </w:p>
    <w:p w14:paraId="3CE5168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101.</w:t>
      </w:r>
      <w:r w:rsidRPr="006E50FF">
        <w:rPr>
          <w:b/>
          <w:kern w:val="2"/>
        </w:rPr>
        <w:tab/>
        <w:t>Hazardous Material Information Development, Preparedness, and Response Act</w:t>
      </w:r>
    </w:p>
    <w:p w14:paraId="3B9D86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§10109.</w:t>
      </w:r>
      <w:r w:rsidRPr="006E50FF">
        <w:rPr>
          <w:b/>
          <w:kern w:val="2"/>
        </w:rPr>
        <w:tab/>
      </w:r>
      <w:r w:rsidRPr="006E50FF">
        <w:rPr>
          <w:b/>
          <w:kern w:val="2"/>
        </w:rPr>
        <w:tab/>
        <w:t>Inventory Reporting</w:t>
      </w:r>
    </w:p>
    <w:p w14:paraId="2533C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All substances listed on the list of “Extremely Hazardous Substances” as found in 40 CFR, Part 355, Appendix A, now in effect or amended hereafter, must be reported for the prior calendar year beginning January 1 and ending December 31, on an inventory form by March 1, 1988, and annually thereafter, if the material is present on site on any single day in amounts of 500 pounds or more or the threshold quantity, as listed in 40 CFR Part 355, appendix A, if lower than 500 pounds. </w:t>
      </w:r>
    </w:p>
    <w:p w14:paraId="4F39D5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material for which a facility must prepare or maintain a Material Safety Data Sheet (MSDS) under the Occupational Safety and Health Administration (OSHA) Hazard Communication Standard (as listed in 29 CFR 1910.1200 et seq.) must be reported in compliance with Section 312 of the federal Emergency Planning and Community Right-to-Know Act, 40 CFR Part 370.</w:t>
      </w:r>
    </w:p>
    <w:p w14:paraId="78C21D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Mixtures without their own Chemical Abstract Service (CAS) numbers will be reported as follows: The mixture trade name or common name shall be listed with the hazardous component(s) which requires its reporting on the Tier Two inventory report. The component(s) Chemical Abstract Service (CAS) number, if available, will also be provided in association with the hazardous component. Any component information withheld in contradiction to the most current OSHA MSDS requirements or U.S. EPA’s trade secret claim process shall be subject to enforcement and civil liability actions at the state and federal level. If a hazardous material is part of a mixture, you should report the entire mixture, its total weight, and the hazardous material(s) contained therein, with its percentage present in the mixture, (e.g., if a hazardous solution weighs 100 pounds and is composed of only 5 percent of a particular hazardous material, you should indicate 100 pounds of the mixture, identify the hazardous material and indicate that it is 5 percent of the mixture).</w:t>
      </w:r>
    </w:p>
    <w:p w14:paraId="49EF8F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30:2361 et seq.</w:t>
      </w:r>
    </w:p>
    <w:p w14:paraId="0664D8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Office of State Police, LR 12:327 (May 1986), amended LR 13:184 (March 1987), LR 13:760 (December 1987), LR 14:803 (November 1988), LR 16:974 (November 1990), LR 27:860 (June 2001), LR 52:</w:t>
      </w:r>
    </w:p>
    <w:p w14:paraId="65E55E24" w14:textId="77777777" w:rsidR="006E50FF" w:rsidRPr="006E50FF" w:rsidRDefault="006E50FF" w:rsidP="006E50FF">
      <w:pPr>
        <w:keepNext/>
        <w:jc w:val="center"/>
        <w:rPr>
          <w:b/>
          <w:kern w:val="28"/>
        </w:rPr>
      </w:pPr>
      <w:r w:rsidRPr="006E50FF">
        <w:rPr>
          <w:b/>
          <w:kern w:val="28"/>
        </w:rPr>
        <w:t>Family Impact Statement</w:t>
      </w:r>
    </w:p>
    <w:p w14:paraId="2B596B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proposed Rule has no known impact on the following:</w:t>
      </w:r>
    </w:p>
    <w:p w14:paraId="206D12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136933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the effect on the authority and rights of parents regarding the education and supervision of their children.</w:t>
      </w:r>
    </w:p>
    <w:p w14:paraId="45E67C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364F3B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18B664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28495F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21EF5D61" w14:textId="77777777" w:rsidR="006E50FF" w:rsidRPr="006E50FF" w:rsidRDefault="006E50FF" w:rsidP="006E50FF">
      <w:pPr>
        <w:keepNext/>
        <w:jc w:val="center"/>
        <w:rPr>
          <w:b/>
          <w:kern w:val="28"/>
        </w:rPr>
      </w:pPr>
      <w:r w:rsidRPr="006E50FF">
        <w:rPr>
          <w:b/>
          <w:kern w:val="28"/>
        </w:rPr>
        <w:t>Poverty Impact Statement</w:t>
      </w:r>
    </w:p>
    <w:p w14:paraId="76DE1F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proposed Rule has no known impact on the following:</w:t>
      </w:r>
    </w:p>
    <w:p w14:paraId="4270A2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61342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BF3B6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2FA6AF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28B7D0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2ED1D057" w14:textId="77777777" w:rsidR="006E50FF" w:rsidRPr="006E50FF" w:rsidRDefault="006E50FF" w:rsidP="006E50FF">
      <w:pPr>
        <w:keepNext/>
        <w:jc w:val="center"/>
        <w:rPr>
          <w:b/>
          <w:kern w:val="28"/>
        </w:rPr>
      </w:pPr>
      <w:r w:rsidRPr="006E50FF">
        <w:rPr>
          <w:b/>
          <w:kern w:val="28"/>
        </w:rPr>
        <w:t>Small Business Analysis</w:t>
      </w:r>
    </w:p>
    <w:p w14:paraId="423276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49:965.2-965.8, the Regulatory Flexibility Act, the proposed Rule is not anticipated to have an adverse impact on small business; therefore, a Small Business Impact Statement has not been prepared.</w:t>
      </w:r>
    </w:p>
    <w:p w14:paraId="24EE094E" w14:textId="77777777" w:rsidR="006E50FF" w:rsidRPr="006E50FF" w:rsidRDefault="006E50FF" w:rsidP="006E50FF">
      <w:pPr>
        <w:keepNext/>
        <w:jc w:val="center"/>
        <w:rPr>
          <w:b/>
          <w:kern w:val="28"/>
        </w:rPr>
      </w:pPr>
      <w:r w:rsidRPr="006E50FF">
        <w:rPr>
          <w:b/>
          <w:kern w:val="28"/>
        </w:rPr>
        <w:t>Provider Impact Statement</w:t>
      </w:r>
    </w:p>
    <w:p w14:paraId="5AE7A9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proposed Rule has no known impact on the following:</w:t>
      </w:r>
    </w:p>
    <w:p w14:paraId="045824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44768D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131C39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3CC6B418" w14:textId="77777777" w:rsidR="006E50FF" w:rsidRPr="006E50FF" w:rsidRDefault="006E50FF" w:rsidP="006E50FF">
      <w:pPr>
        <w:keepNext/>
        <w:jc w:val="center"/>
        <w:rPr>
          <w:b/>
          <w:kern w:val="28"/>
        </w:rPr>
      </w:pPr>
      <w:r w:rsidRPr="006E50FF">
        <w:rPr>
          <w:b/>
          <w:kern w:val="28"/>
        </w:rPr>
        <w:t>Public Comments</w:t>
      </w:r>
    </w:p>
    <w:p w14:paraId="2DF7D1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Heather Hood, Liaison Officer &amp; Legal and Policy Strategist - Louisiana Department of Public Safety and Corrections, Office of State Police, 7919 Independence Blvd., Baton Rouge, LA 70806 or heather.hood2@la.gov. All comments must be submitted no later than the end of business day, central time zone October 10, 2026.</w:t>
      </w:r>
    </w:p>
    <w:p w14:paraId="173CC5A4"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2060"/>
          <w:kern w:val="2"/>
        </w:rPr>
      </w:pPr>
    </w:p>
    <w:p w14:paraId="1176F0EF" w14:textId="77777777" w:rsidR="006E50FF" w:rsidRPr="006E50FF" w:rsidRDefault="006E50FF" w:rsidP="006E50FF">
      <w:pPr>
        <w:keepNext/>
        <w:ind w:left="2160"/>
        <w:jc w:val="both"/>
      </w:pPr>
      <w:r w:rsidRPr="006E50FF">
        <w:t>Christopher Adams</w:t>
      </w:r>
    </w:p>
    <w:p w14:paraId="1B05B7D3" w14:textId="77777777" w:rsidR="006E50FF" w:rsidRPr="006E50FF" w:rsidRDefault="006E50FF" w:rsidP="006E50FF">
      <w:pPr>
        <w:keepNext/>
        <w:ind w:left="2160"/>
        <w:jc w:val="both"/>
      </w:pPr>
      <w:r w:rsidRPr="006E50FF">
        <w:t>Commander</w:t>
      </w:r>
    </w:p>
    <w:p w14:paraId="4569D991" w14:textId="77777777" w:rsidR="006E50FF" w:rsidRPr="006E50FF" w:rsidRDefault="006E50FF" w:rsidP="006E50FF">
      <w:pPr>
        <w:keepNext/>
        <w:jc w:val="center"/>
        <w:rPr>
          <w:b/>
        </w:rPr>
      </w:pPr>
    </w:p>
    <w:p w14:paraId="08CC6732" w14:textId="77777777" w:rsidR="006E50FF" w:rsidRPr="006E50FF" w:rsidRDefault="006E50FF" w:rsidP="006E50FF">
      <w:pPr>
        <w:keepNext/>
        <w:jc w:val="center"/>
        <w:rPr>
          <w:b/>
        </w:rPr>
      </w:pPr>
      <w:r w:rsidRPr="006E50FF">
        <w:rPr>
          <w:b/>
        </w:rPr>
        <w:t>FISCAL AND ECONOMIC IMPACT STATEMENT FOR ADMINISTRATIVE RULES</w:t>
      </w:r>
    </w:p>
    <w:p w14:paraId="249FA2A3" w14:textId="77777777" w:rsidR="006E50FF" w:rsidRPr="006E50FF" w:rsidRDefault="006E50FF" w:rsidP="006E50FF">
      <w:pPr>
        <w:keepNext/>
        <w:jc w:val="center"/>
        <w:rPr>
          <w:b/>
          <w:noProof/>
        </w:rPr>
      </w:pPr>
      <w:r w:rsidRPr="006E50FF">
        <w:rPr>
          <w:b/>
          <w:noProof/>
        </w:rPr>
        <w:t>RULE TITLE:  Hazardous Material Information Development, Preparedness, and Response Act</w:t>
      </w:r>
      <w:r w:rsidRPr="006E50FF">
        <w:rPr>
          <w:b/>
          <w:noProof/>
        </w:rPr>
        <w:br/>
        <w:t>Inventory Reporting</w:t>
      </w:r>
    </w:p>
    <w:p w14:paraId="1B2F06E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628B4E4"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2B07B07" w14:textId="77777777" w:rsidR="006E50FF" w:rsidRPr="006E50FF" w:rsidRDefault="006E50FF" w:rsidP="006E50FF">
      <w:pPr>
        <w:ind w:left="288" w:firstLine="288"/>
        <w:jc w:val="both"/>
        <w:rPr>
          <w:noProof/>
          <w:sz w:val="18"/>
        </w:rPr>
      </w:pPr>
      <w:r w:rsidRPr="006E50FF">
        <w:rPr>
          <w:noProof/>
          <w:sz w:val="18"/>
        </w:rPr>
        <w:t xml:space="preserve">There are no anticipated costs or savings to state or local governmental units as a result of the proposed rule change. </w:t>
      </w:r>
    </w:p>
    <w:p w14:paraId="176C7A1C" w14:textId="77777777" w:rsidR="006E50FF" w:rsidRPr="006E50FF" w:rsidRDefault="006E50FF" w:rsidP="006E50FF">
      <w:pPr>
        <w:ind w:left="288" w:firstLine="288"/>
        <w:jc w:val="both"/>
        <w:rPr>
          <w:noProof/>
          <w:sz w:val="18"/>
        </w:rPr>
      </w:pPr>
      <w:r w:rsidRPr="006E50FF">
        <w:rPr>
          <w:noProof/>
          <w:sz w:val="18"/>
        </w:rPr>
        <w:t xml:space="preserve">The Department of Public Safety (DPS), Office of State Police (LSP), proposes to amend Title 33 (Environmental Quality), Part V (Hazardous Waste and Hazardous Materials), Subpart 2 (Department of Public Safety and Corrections – Hazardous Materials), Chapter 101 (Hazardous Material Information Development, Preparedness, and Response Act), </w:t>
      </w:r>
      <w:r w:rsidRPr="006E50FF">
        <w:rPr>
          <w:noProof/>
          <w:sz w:val="18"/>
        </w:rPr>
        <w:t>Section 10109 (Inventory Reporting). The proposed rule updates hazardous material inventory (Tier II) reporting requirements to align with the current federal Emergency Planning and Community Right-to-Know Act (EPCRA) framework. Specifically, this proposed rule:</w:t>
      </w:r>
    </w:p>
    <w:p w14:paraId="37955159" w14:textId="77777777" w:rsidR="006E50FF" w:rsidRPr="006E50FF" w:rsidRDefault="006E50FF" w:rsidP="006E50FF">
      <w:pPr>
        <w:numPr>
          <w:ilvl w:val="0"/>
          <w:numId w:val="30"/>
        </w:numPr>
        <w:ind w:left="540" w:hanging="270"/>
        <w:jc w:val="both"/>
        <w:rPr>
          <w:noProof/>
          <w:sz w:val="18"/>
        </w:rPr>
      </w:pPr>
      <w:r w:rsidRPr="006E50FF">
        <w:rPr>
          <w:noProof/>
          <w:sz w:val="18"/>
        </w:rPr>
        <w:t>Removes language regarding split reporting thresholds and detailed criteria for applying lower thresholds to extremely hazardous substances, including provisions concerning how materials with thresholds such as 10/500 or 100/500 are to be reported and when lower thresholds apply to powdered solids, substances handled in solution or molten form, or substances with a National Fire Protection Association (NFPA) reactivity rating of 2, 3, or 4.</w:t>
      </w:r>
    </w:p>
    <w:p w14:paraId="765EA09D" w14:textId="77777777" w:rsidR="006E50FF" w:rsidRPr="006E50FF" w:rsidRDefault="006E50FF" w:rsidP="006E50FF">
      <w:pPr>
        <w:numPr>
          <w:ilvl w:val="0"/>
          <w:numId w:val="30"/>
        </w:numPr>
        <w:ind w:left="540" w:hanging="270"/>
        <w:jc w:val="both"/>
        <w:rPr>
          <w:noProof/>
          <w:sz w:val="18"/>
        </w:rPr>
      </w:pPr>
      <w:r w:rsidRPr="006E50FF">
        <w:rPr>
          <w:noProof/>
          <w:sz w:val="18"/>
        </w:rPr>
        <w:t>Removes outdated federal threshold information, including the language of the temporary 10,000-pound reporting threshold for 1987-1989 and the EPA’s subsequent establishment of the 10,000-poung threshold for the 1990 and later years.</w:t>
      </w:r>
    </w:p>
    <w:p w14:paraId="2744ACB6" w14:textId="77777777" w:rsidR="006E50FF" w:rsidRPr="006E50FF" w:rsidRDefault="006E50FF" w:rsidP="006E50FF">
      <w:pPr>
        <w:numPr>
          <w:ilvl w:val="0"/>
          <w:numId w:val="30"/>
        </w:numPr>
        <w:ind w:left="540" w:hanging="270"/>
        <w:jc w:val="both"/>
        <w:rPr>
          <w:noProof/>
          <w:sz w:val="18"/>
        </w:rPr>
      </w:pPr>
      <w:r w:rsidRPr="006E50FF">
        <w:rPr>
          <w:noProof/>
          <w:sz w:val="18"/>
        </w:rPr>
        <w:t>Removes language describing the difference between Louisiana and federal reporting thresholds, including the language that Louisiana required reporting at the 500-pound level while federal requirements used a 10,000-pound threshold.</w:t>
      </w:r>
    </w:p>
    <w:p w14:paraId="10A27765" w14:textId="77777777" w:rsidR="006E50FF" w:rsidRPr="006E50FF" w:rsidRDefault="006E50FF" w:rsidP="006E50FF">
      <w:pPr>
        <w:numPr>
          <w:ilvl w:val="0"/>
          <w:numId w:val="30"/>
        </w:numPr>
        <w:ind w:left="540" w:hanging="270"/>
        <w:jc w:val="both"/>
        <w:rPr>
          <w:sz w:val="18"/>
        </w:rPr>
      </w:pPr>
      <w:r w:rsidRPr="006E50FF">
        <w:rPr>
          <w:sz w:val="18"/>
        </w:rPr>
        <w:t xml:space="preserve">Adds a reference to Section 312 of the federal Emergency Planning and </w:t>
      </w:r>
      <w:r w:rsidRPr="006E50FF">
        <w:rPr>
          <w:noProof/>
          <w:sz w:val="18"/>
        </w:rPr>
        <w:t>Community</w:t>
      </w:r>
      <w:r w:rsidRPr="006E50FF">
        <w:rPr>
          <w:sz w:val="18"/>
        </w:rPr>
        <w:t xml:space="preserve"> Right-to-Know Act (EPCRA) and 40 CFR Part 370 to clarify that materials subject to the Occupational Safety and Health Administration’s (OSHA) Material Safety Data Sheet (MSDS) requirements must be reported in accordance with federal reporting requirements.</w:t>
      </w:r>
    </w:p>
    <w:p w14:paraId="43CB16C9"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1360697" w14:textId="77777777" w:rsidR="006E50FF" w:rsidRPr="006E50FF" w:rsidRDefault="006E50FF" w:rsidP="006E50FF">
      <w:pPr>
        <w:ind w:left="288" w:firstLine="288"/>
        <w:jc w:val="both"/>
        <w:rPr>
          <w:noProof/>
          <w:sz w:val="18"/>
        </w:rPr>
      </w:pPr>
      <w:r w:rsidRPr="006E50FF">
        <w:rPr>
          <w:noProof/>
          <w:sz w:val="18"/>
        </w:rPr>
        <w:t>The proposed rule will result in an indeterminable decrease in state revenues. The proposed rule reduces the number of chemicals subject to reporting and, consequently, the number of filing fees collected, resulting in a significant decrease in fee revenue. Preliminary data from DPS indicates that facilities filing chemical inventories during reporting year 2024 for quantities below the 10,000-pound reporting threshold generated approximately $421,000 in fee revenue.</w:t>
      </w:r>
    </w:p>
    <w:p w14:paraId="70A7CC6F"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05AA8A5" w14:textId="77777777" w:rsidR="006E50FF" w:rsidRPr="006E50FF" w:rsidRDefault="006E50FF" w:rsidP="006E50FF">
      <w:pPr>
        <w:ind w:left="288" w:firstLine="288"/>
        <w:jc w:val="both"/>
        <w:rPr>
          <w:sz w:val="18"/>
        </w:rPr>
      </w:pPr>
      <w:r w:rsidRPr="006E50FF">
        <w:rPr>
          <w:sz w:val="18"/>
        </w:rPr>
        <w:t>Organizations with chemical inventories between 500 and 10,000 pounds will benefit economically from reduced reporting requirements and potentially lower filing fees, to the extent those inventories would no longer be subject to Tier II reporting.</w:t>
      </w:r>
    </w:p>
    <w:p w14:paraId="6104B88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D28E7BF"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754F3ACA" w14:textId="77777777" w:rsidR="006E50FF" w:rsidRPr="006E50FF" w:rsidRDefault="006E50FF" w:rsidP="006E50FF">
      <w:pPr>
        <w:ind w:left="288" w:firstLine="288"/>
        <w:jc w:val="both"/>
        <w:rPr>
          <w:sz w:val="18"/>
        </w:rPr>
      </w:pPr>
    </w:p>
    <w:p w14:paraId="7B8F3E42" w14:textId="77777777" w:rsidR="006E50FF" w:rsidRPr="006E50FF" w:rsidRDefault="006E50FF" w:rsidP="006E50FF">
      <w:pPr>
        <w:tabs>
          <w:tab w:val="left" w:pos="2880"/>
          <w:tab w:val="decimal" w:pos="2988"/>
        </w:tabs>
        <w:outlineLvl w:val="8"/>
        <w:rPr>
          <w:kern w:val="2"/>
          <w:sz w:val="18"/>
        </w:rPr>
      </w:pPr>
      <w:r w:rsidRPr="006E50FF">
        <w:rPr>
          <w:kern w:val="2"/>
          <w:sz w:val="18"/>
        </w:rPr>
        <w:t>John Porter</w:t>
      </w:r>
      <w:r w:rsidRPr="006E50FF">
        <w:rPr>
          <w:kern w:val="2"/>
          <w:sz w:val="18"/>
        </w:rPr>
        <w:tab/>
        <w:t>Patrice Thomas</w:t>
      </w:r>
    </w:p>
    <w:p w14:paraId="415452F4" w14:textId="77777777" w:rsidR="006E50FF" w:rsidRPr="006E50FF" w:rsidRDefault="006E50FF" w:rsidP="006E50FF">
      <w:pPr>
        <w:tabs>
          <w:tab w:val="left" w:pos="2880"/>
          <w:tab w:val="decimal" w:pos="2988"/>
        </w:tabs>
        <w:outlineLvl w:val="8"/>
        <w:rPr>
          <w:kern w:val="2"/>
          <w:sz w:val="18"/>
        </w:rPr>
      </w:pPr>
      <w:r w:rsidRPr="006E50FF">
        <w:rPr>
          <w:kern w:val="2"/>
          <w:sz w:val="18"/>
        </w:rPr>
        <w:t>Lieutenant Colonel</w:t>
      </w:r>
      <w:r w:rsidRPr="006E50FF">
        <w:rPr>
          <w:kern w:val="2"/>
          <w:sz w:val="18"/>
        </w:rPr>
        <w:tab/>
        <w:t>Deputy Fiscal Officer</w:t>
      </w:r>
    </w:p>
    <w:p w14:paraId="5AFF208C" w14:textId="77777777" w:rsidR="006E50FF" w:rsidRPr="006E50FF" w:rsidRDefault="006E50FF" w:rsidP="006E50FF">
      <w:pPr>
        <w:tabs>
          <w:tab w:val="left" w:pos="2880"/>
          <w:tab w:val="decimal" w:pos="2988"/>
        </w:tabs>
        <w:outlineLvl w:val="8"/>
        <w:rPr>
          <w:kern w:val="2"/>
          <w:sz w:val="18"/>
        </w:rPr>
      </w:pPr>
      <w:r w:rsidRPr="006E50FF">
        <w:rPr>
          <w:noProof/>
          <w:sz w:val="16"/>
        </w:rPr>
        <w:t>2609#065</w:t>
      </w:r>
      <w:r w:rsidRPr="006E50FF">
        <w:rPr>
          <w:kern w:val="2"/>
        </w:rPr>
        <w:tab/>
      </w:r>
      <w:r w:rsidRPr="006E50FF">
        <w:rPr>
          <w:kern w:val="2"/>
          <w:sz w:val="18"/>
        </w:rPr>
        <w:t>Legislative Fiscal Office</w:t>
      </w:r>
    </w:p>
    <w:p w14:paraId="089086C3" w14:textId="77777777" w:rsidR="006E50FF" w:rsidRPr="006E50FF" w:rsidRDefault="006E50FF" w:rsidP="006E50FF"/>
    <w:p w14:paraId="2B8E8989"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63F0412" w14:textId="77777777" w:rsidR="006E50FF" w:rsidRPr="006E50FF" w:rsidRDefault="006E50FF" w:rsidP="006E50FF">
      <w:pPr>
        <w:keepNext/>
        <w:jc w:val="center"/>
        <w:rPr>
          <w:b/>
          <w:noProof/>
        </w:rPr>
      </w:pPr>
      <w:r w:rsidRPr="006E50FF">
        <w:rPr>
          <w:b/>
          <w:noProof/>
        </w:rPr>
        <w:t>Department of Transportation and Development</w:t>
      </w:r>
    </w:p>
    <w:p w14:paraId="0A8BDBF7" w14:textId="77777777" w:rsidR="006E50FF" w:rsidRPr="006E50FF" w:rsidRDefault="006E50FF" w:rsidP="006E50FF">
      <w:pPr>
        <w:keepNext/>
        <w:jc w:val="center"/>
        <w:rPr>
          <w:b/>
          <w:noProof/>
        </w:rPr>
      </w:pPr>
      <w:r w:rsidRPr="006E50FF">
        <w:rPr>
          <w:b/>
          <w:noProof/>
        </w:rPr>
        <w:t>Office of Operations</w:t>
      </w:r>
    </w:p>
    <w:p w14:paraId="328259C3" w14:textId="77777777" w:rsidR="006E50FF" w:rsidRPr="006E50FF" w:rsidRDefault="006E50FF" w:rsidP="006E50FF">
      <w:pPr>
        <w:keepNext/>
        <w:spacing w:before="240" w:after="240"/>
        <w:jc w:val="center"/>
        <w:rPr>
          <w:noProof/>
        </w:rPr>
      </w:pPr>
      <w:r w:rsidRPr="006E50FF">
        <w:rPr>
          <w:noProof/>
        </w:rPr>
        <w:t xml:space="preserve">Administrative Review of Notices of Violation </w:t>
      </w:r>
      <w:r w:rsidRPr="006E50FF">
        <w:rPr>
          <w:noProof/>
        </w:rPr>
        <w:br/>
        <w:t>(LAC 73:I.Chapter 12)</w:t>
      </w:r>
    </w:p>
    <w:p w14:paraId="4DBA6F2C"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 xml:space="preserve">Notice is hereby given in accordance with the provisions of the Administrative Procedure Act, R.S. 49:950, et seq., and through the authority granted in R.S. 36:504, that the Department of Transportation and Development proposes to amend LAC 73:I.Chapter 12, Administrative Review of </w:t>
      </w:r>
      <w:r w:rsidRPr="006E50FF">
        <w:rPr>
          <w:kern w:val="2"/>
        </w:rPr>
        <w:lastRenderedPageBreak/>
        <w:t xml:space="preserve">Notices of Violation, which regulates the enforcement, payment, collection, and administrative review procedures for notices of violation issued under R.S. 32:389. The proposed amendments simplify these rules to comply with Plain Writing Act of 2010 (Public Law 111-274) for public understanding and clarify to remove unnecessary and obsolete regulations. </w:t>
      </w:r>
    </w:p>
    <w:p w14:paraId="0447C2F4" w14:textId="77777777" w:rsidR="006E50FF" w:rsidRPr="006E50FF" w:rsidRDefault="006E50FF" w:rsidP="006E50FF">
      <w:pPr>
        <w:keepNext/>
        <w:jc w:val="center"/>
        <w:rPr>
          <w:b/>
          <w:kern w:val="28"/>
        </w:rPr>
      </w:pPr>
      <w:r w:rsidRPr="006E50FF">
        <w:rPr>
          <w:b/>
          <w:kern w:val="28"/>
        </w:rPr>
        <w:t>Title 73</w:t>
      </w:r>
    </w:p>
    <w:p w14:paraId="500EC78F" w14:textId="77777777" w:rsidR="006E50FF" w:rsidRPr="006E50FF" w:rsidRDefault="006E50FF" w:rsidP="006E50FF">
      <w:pPr>
        <w:keepNext/>
        <w:jc w:val="center"/>
        <w:rPr>
          <w:b/>
          <w:kern w:val="28"/>
        </w:rPr>
      </w:pPr>
      <w:r w:rsidRPr="006E50FF">
        <w:rPr>
          <w:b/>
          <w:kern w:val="28"/>
        </w:rPr>
        <w:t>WEIGHTS, MEASURES AND STANDARDS</w:t>
      </w:r>
    </w:p>
    <w:p w14:paraId="620A8646" w14:textId="77777777" w:rsidR="006E50FF" w:rsidRPr="006E50FF" w:rsidRDefault="006E50FF" w:rsidP="006E50FF">
      <w:pPr>
        <w:keepNext/>
        <w:jc w:val="center"/>
        <w:rPr>
          <w:b/>
          <w:noProof/>
        </w:rPr>
      </w:pPr>
      <w:r w:rsidRPr="006E50FF">
        <w:rPr>
          <w:b/>
          <w:noProof/>
        </w:rPr>
        <w:t>Part I.  Weights and Standards</w:t>
      </w:r>
    </w:p>
    <w:p w14:paraId="48CE16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12</w:t>
      </w:r>
      <w:r w:rsidRPr="006E50FF">
        <w:rPr>
          <w:b/>
          <w:kern w:val="2"/>
        </w:rPr>
        <w:tab/>
        <w:t>Administrative Review of Notices of Violation</w:t>
      </w:r>
    </w:p>
    <w:p w14:paraId="2547DBB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strike/>
          <w:kern w:val="2"/>
        </w:rPr>
      </w:pPr>
      <w:bookmarkStart w:id="765" w:name="_Toc143681219"/>
      <w:r w:rsidRPr="006E50FF">
        <w:rPr>
          <w:b/>
          <w:kern w:val="2"/>
        </w:rPr>
        <w:t>§1201.</w:t>
      </w:r>
      <w:r w:rsidRPr="006E50FF">
        <w:rPr>
          <w:b/>
          <w:kern w:val="2"/>
        </w:rPr>
        <w:tab/>
      </w:r>
      <w:bookmarkEnd w:id="765"/>
      <w:r w:rsidRPr="006E50FF">
        <w:rPr>
          <w:b/>
          <w:kern w:val="2"/>
        </w:rPr>
        <w:t>Purpose</w:t>
      </w:r>
    </w:p>
    <w:p w14:paraId="50C597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This Chapter implements the enforcement, payment, collection and administrative review procedures of R.S. 32:389 for notices of violation issued in accordance with any and all provisions of this part.</w:t>
      </w:r>
    </w:p>
    <w:p w14:paraId="4758EC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w:t>
      </w:r>
    </w:p>
    <w:p w14:paraId="39888C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Weights, Measures and Standards, LR 22:372 (May 1996), amended LR 28:522 (March 2002), LR 33:863 (May 2007), amended by the Department of Transportation and Development, Office of Operations, LR 52:</w:t>
      </w:r>
    </w:p>
    <w:p w14:paraId="4688242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6" w:name="_Toc143681220"/>
      <w:r w:rsidRPr="006E50FF">
        <w:rPr>
          <w:b/>
          <w:kern w:val="2"/>
        </w:rPr>
        <w:t>§1203.</w:t>
      </w:r>
      <w:r w:rsidRPr="006E50FF">
        <w:rPr>
          <w:b/>
          <w:kern w:val="2"/>
        </w:rPr>
        <w:tab/>
      </w:r>
      <w:bookmarkEnd w:id="766"/>
      <w:r w:rsidRPr="006E50FF">
        <w:rPr>
          <w:b/>
          <w:kern w:val="2"/>
        </w:rPr>
        <w:t>Notice of Violation</w:t>
      </w:r>
    </w:p>
    <w:p w14:paraId="6FE0BF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When a carrier, common carrier, contract carrier, private carrier, transport vehicle, or driver is found in violation of any provision of this part, the department shall send the responsible party a Notice of Violation, Proposed Finding and Proposed Civil Penalty (“notice of violation”) within 30 calendar days of the violation.</w:t>
      </w:r>
    </w:p>
    <w:p w14:paraId="1C2B9D3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Each notice of violation shall clearly indicate whether a monetary penalty is assessed or whether the notice is only a warning. When a monetary penalty is assessed, the notice of violation shall be sent to the responsible party by certificate of mailing and shall state that the responsible party has 45 calendar days from the date of issuance to either pay the penalty or request, in writing, an administrative hearing to review the notice of violation.</w:t>
      </w:r>
    </w:p>
    <w:p w14:paraId="503B8D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32:389(D).</w:t>
      </w:r>
    </w:p>
    <w:p w14:paraId="17C02D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28:522 (March 2002), amended by the Department of Transportation and Development, Office of Operations, LR 52:</w:t>
      </w:r>
    </w:p>
    <w:p w14:paraId="42A49C9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7" w:name="_Toc143681221"/>
      <w:r w:rsidRPr="006E50FF">
        <w:rPr>
          <w:b/>
          <w:kern w:val="2"/>
        </w:rPr>
        <w:t>§1205.</w:t>
      </w:r>
      <w:r w:rsidRPr="006E50FF">
        <w:rPr>
          <w:b/>
          <w:kern w:val="2"/>
        </w:rPr>
        <w:tab/>
        <w:t>Time Limitations</w:t>
      </w:r>
      <w:bookmarkEnd w:id="767"/>
    </w:p>
    <w:p w14:paraId="401716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responsible party shall have 45 calendar days from the date of issuance of the notice to either pay the penalty, or request, in writing, an administrative hearing.</w:t>
      </w:r>
    </w:p>
    <w:p w14:paraId="50D781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department fails to issue the notice of violation within 30 calendar days, the violation shall be dismissed; however, the department shall be granted an additional 60 calendar days to issue the notice if there is a data system failure caused by an act of God or an intentional act of sabotage. During a state of emergency declared by the governor, the department shall be granted an additional 60 calendar days to send the notice, terminating not later than 60 days from the date the state of emergency ends.</w:t>
      </w:r>
    </w:p>
    <w:p w14:paraId="768C17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Payment shall be made by certified check, check, money order, or credit card. Credit card payments can be made both online and over the phone with the department.</w:t>
      </w:r>
    </w:p>
    <w:p w14:paraId="7762BD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DOTD Weights and Standards Administrator must report to the protestor within seven working days from the </w:t>
      </w:r>
      <w:r w:rsidRPr="006E50FF">
        <w:rPr>
          <w:kern w:val="2"/>
        </w:rPr>
        <w:t>committee's decision. Said report shall fully inform the protestor of the decision of the committee.</w:t>
      </w:r>
    </w:p>
    <w:p w14:paraId="22122C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 and (F).</w:t>
      </w:r>
    </w:p>
    <w:p w14:paraId="2E4B72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28:522 (March 2002), amended by the Department of Transportation and Development, Office of Operations, LR 52:</w:t>
      </w:r>
    </w:p>
    <w:p w14:paraId="1F64492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8" w:name="_Toc143681222"/>
      <w:r w:rsidRPr="006E50FF">
        <w:rPr>
          <w:b/>
          <w:kern w:val="2"/>
        </w:rPr>
        <w:t>§1207.</w:t>
      </w:r>
      <w:r w:rsidRPr="006E50FF">
        <w:rPr>
          <w:b/>
          <w:kern w:val="2"/>
        </w:rPr>
        <w:tab/>
      </w:r>
      <w:bookmarkEnd w:id="768"/>
      <w:r w:rsidRPr="006E50FF">
        <w:rPr>
          <w:b/>
          <w:kern w:val="2"/>
        </w:rPr>
        <w:t>Request for an Administrative Hearing</w:t>
      </w:r>
    </w:p>
    <w:p w14:paraId="65580A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responsible party who wishes to contest a notice shall request an administrative hearing, in writing, to the department at the address listed on the notice, or by completing the request form located on the DOTD website. This request shall be deemed timely if postmarked or received within 45 days of the date of issuance of said notice.</w:t>
      </w:r>
    </w:p>
    <w:p w14:paraId="7D84AD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written request for an administrative hearing shall include all of the following:</w:t>
      </w:r>
    </w:p>
    <w:p w14:paraId="65F603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name, mailing address, and telephone number of the responsible party and their authorized representative, if applicable;</w:t>
      </w:r>
    </w:p>
    <w:p w14:paraId="29F319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notice of violation number;</w:t>
      </w:r>
    </w:p>
    <w:p w14:paraId="6E2DF4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date of issuance of violation;</w:t>
      </w:r>
    </w:p>
    <w:p w14:paraId="7401BC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vehicle identification number, or license plate of the vehicle to which the notice relates;</w:t>
      </w:r>
    </w:p>
    <w:p w14:paraId="01A10A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concise statement of the factual and legal basis on which the responsible party contests the notice;</w:t>
      </w:r>
    </w:p>
    <w:p w14:paraId="1A232D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 copy of the notice of violation, if available, and any documentation the responsible party intends to rely upon. </w:t>
      </w:r>
    </w:p>
    <w:p w14:paraId="528F60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Within a reasonable time after receipt of a timely and complete request, the department shall acknowledge the request and set the matter for an administrative hearing conducted by an administrative law judge. This acknowledgement shall be done not less than 15 calendar days before the hearing and include the following:</w:t>
      </w:r>
    </w:p>
    <w:p w14:paraId="616421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Date, time, place, and manner of hearing.</w:t>
      </w:r>
    </w:p>
    <w:p w14:paraId="5958E2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32:389(C)(2)(b).</w:t>
      </w:r>
    </w:p>
    <w:p w14:paraId="41FB384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28:522 (March 2002), amended by the Department of Transportation and Development, Office of Operations, LR 52:</w:t>
      </w:r>
    </w:p>
    <w:p w14:paraId="5DAB6E1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9" w:name="_Toc143681223"/>
      <w:r w:rsidRPr="006E50FF">
        <w:rPr>
          <w:b/>
          <w:kern w:val="2"/>
        </w:rPr>
        <w:t>§1209.</w:t>
      </w:r>
      <w:r w:rsidRPr="006E50FF">
        <w:rPr>
          <w:b/>
          <w:kern w:val="2"/>
        </w:rPr>
        <w:tab/>
      </w:r>
      <w:bookmarkEnd w:id="769"/>
      <w:r w:rsidRPr="006E50FF">
        <w:rPr>
          <w:b/>
          <w:kern w:val="2"/>
        </w:rPr>
        <w:t>Authority of the Administrative Law Judge</w:t>
      </w:r>
    </w:p>
    <w:p w14:paraId="14AC12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 administrative law judge shall conduct the hearing and review the notice of violation, and may affirm, or dismiss the proposed civil penalty.</w:t>
      </w:r>
    </w:p>
    <w:p w14:paraId="2848A2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w:t>
      </w:r>
    </w:p>
    <w:p w14:paraId="059184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amended by the Department of Transportation and Development, Office of Operations, LR 52:</w:t>
      </w:r>
    </w:p>
    <w:p w14:paraId="3A90E9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0" w:name="_Toc143681224"/>
      <w:r w:rsidRPr="006E50FF">
        <w:rPr>
          <w:b/>
          <w:kern w:val="2"/>
        </w:rPr>
        <w:t>§1211.</w:t>
      </w:r>
      <w:r w:rsidRPr="006E50FF">
        <w:rPr>
          <w:b/>
          <w:kern w:val="2"/>
        </w:rPr>
        <w:tab/>
        <w:t>Rights of the Responsible Party</w:t>
      </w:r>
      <w:bookmarkEnd w:id="770"/>
    </w:p>
    <w:p w14:paraId="64688E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responsible party has the right to request an administrative hearing to review a notice of violation as provided in R.S. 32:389 and this Chapter.</w:t>
      </w:r>
    </w:p>
    <w:p w14:paraId="1A32FF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appeal of the findings of the administrative law judge shall be filed in a state district court with proper venue over the matter.</w:t>
      </w:r>
    </w:p>
    <w:p w14:paraId="317C4C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w:t>
      </w:r>
    </w:p>
    <w:p w14:paraId="088485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Transportation and Development, Office of Weights, Measures and </w:t>
      </w:r>
      <w:r w:rsidRPr="006E50FF">
        <w:rPr>
          <w:kern w:val="2"/>
          <w:sz w:val="18"/>
        </w:rPr>
        <w:lastRenderedPageBreak/>
        <w:t>Standards, LR 22:372 (May 1996), amended LR 28:523 (March 2002), amended by the Department of Transportation and Development, Office of Operations, LR 52:</w:t>
      </w:r>
    </w:p>
    <w:p w14:paraId="5F11403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1" w:name="_Toc143681225"/>
      <w:r w:rsidRPr="006E50FF">
        <w:rPr>
          <w:b/>
          <w:kern w:val="2"/>
        </w:rPr>
        <w:t>§1213.</w:t>
      </w:r>
      <w:r w:rsidRPr="006E50FF">
        <w:rPr>
          <w:b/>
          <w:kern w:val="2"/>
        </w:rPr>
        <w:tab/>
      </w:r>
      <w:bookmarkEnd w:id="771"/>
      <w:r w:rsidRPr="006E50FF">
        <w:rPr>
          <w:b/>
          <w:kern w:val="2"/>
        </w:rPr>
        <w:t>Failure to Pay</w:t>
      </w:r>
    </w:p>
    <w:p w14:paraId="33DA37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a carrier is the responsible party and fails to pay the assessed penalty within 45 calendar days of issuance of the notice, or in the case of an administrative hearing, fails to pay within 30 calendar days of receiving a notice of final judgement, the outstanding penalty amount shall be transmitted to the Office of Motor Vehicles, which shall not renew the registration of the offending vehicle until all fines and fees are paid in full.</w:t>
      </w:r>
    </w:p>
    <w:p w14:paraId="559AC2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driver is the responsible party and fails to pay within the time provided in Subsection A, the department shall transmit the driver’s license number to the office of motor vehicles for suspension.</w:t>
      </w:r>
    </w:p>
    <w:p w14:paraId="2D20E5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Motor carriers shall not be responsible for driver violations. Neither the department nor any law enforcement officer working for the department shall seize a motor vehicle or its registration license plate for failure to pay a fine for a notice of violation.</w:t>
      </w:r>
    </w:p>
    <w:p w14:paraId="622270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32:389(D) and (E).</w:t>
      </w:r>
    </w:p>
    <w:p w14:paraId="5E4D19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amended by the Department of Transportation and Development, Office of Operations, LR 52:</w:t>
      </w:r>
    </w:p>
    <w:p w14:paraId="4EC7A9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2" w:name="_Toc143681226"/>
      <w:r w:rsidRPr="006E50FF">
        <w:rPr>
          <w:b/>
          <w:kern w:val="2"/>
        </w:rPr>
        <w:t>§1215.</w:t>
      </w:r>
      <w:r w:rsidRPr="006E50FF">
        <w:rPr>
          <w:b/>
          <w:kern w:val="2"/>
        </w:rPr>
        <w:tab/>
        <w:t>Reconsideration by Violation Ticket Review Committee</w:t>
      </w:r>
      <w:bookmarkEnd w:id="772"/>
    </w:p>
    <w:p w14:paraId="5CC8C9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DE432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32:389.D.</w:t>
      </w:r>
    </w:p>
    <w:p w14:paraId="567D41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repealed by the Department of Transportation and Development, Office of Operations, LR 52:</w:t>
      </w:r>
    </w:p>
    <w:p w14:paraId="1E3B4F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3" w:name="_Toc143681227"/>
      <w:r w:rsidRPr="006E50FF">
        <w:rPr>
          <w:b/>
          <w:kern w:val="2"/>
        </w:rPr>
        <w:t>§1216.</w:t>
      </w:r>
      <w:r w:rsidRPr="006E50FF">
        <w:rPr>
          <w:b/>
          <w:kern w:val="2"/>
        </w:rPr>
        <w:tab/>
        <w:t>Consideration by Review Panel</w:t>
      </w:r>
      <w:bookmarkEnd w:id="773"/>
    </w:p>
    <w:p w14:paraId="645ADD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CE9AC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 (D).</w:t>
      </w:r>
    </w:p>
    <w:p w14:paraId="7B7900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Weights, Measures and Standards, LR 22:372 (May 1996), amended LR 28:523 (March 2002), LR 33:863 (May 2007), repealed by the Department of Transportation and Development, Office of Operations, LR 52:</w:t>
      </w:r>
    </w:p>
    <w:p w14:paraId="6C1EA3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4" w:name="_Toc143681228"/>
      <w:r w:rsidRPr="006E50FF">
        <w:rPr>
          <w:b/>
          <w:kern w:val="2"/>
        </w:rPr>
        <w:t>§1217.</w:t>
      </w:r>
      <w:r w:rsidRPr="006E50FF">
        <w:rPr>
          <w:b/>
          <w:kern w:val="2"/>
        </w:rPr>
        <w:tab/>
      </w:r>
      <w:bookmarkEnd w:id="774"/>
      <w:r w:rsidRPr="006E50FF">
        <w:rPr>
          <w:b/>
          <w:kern w:val="2"/>
        </w:rPr>
        <w:t>Records</w:t>
      </w:r>
    </w:p>
    <w:p w14:paraId="6E7E2E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actions of the department and the administrative law judge which require monetary adjustment of notices of violation shall be recorded and maintained in accordance with the public records law.</w:t>
      </w:r>
    </w:p>
    <w:p w14:paraId="79C55F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w:t>
      </w:r>
    </w:p>
    <w:p w14:paraId="23E426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amended by the Department of Transportation and Development, Office of Operations, LR 52:</w:t>
      </w:r>
    </w:p>
    <w:p w14:paraId="02AF10AF" w14:textId="77777777" w:rsidR="006E50FF" w:rsidRPr="006E50FF" w:rsidRDefault="006E50FF" w:rsidP="006E50FF">
      <w:pPr>
        <w:keepNext/>
        <w:jc w:val="center"/>
        <w:rPr>
          <w:b/>
          <w:kern w:val="28"/>
        </w:rPr>
      </w:pPr>
      <w:r w:rsidRPr="006E50FF">
        <w:rPr>
          <w:b/>
          <w:kern w:val="28"/>
        </w:rPr>
        <w:t>Family Impact Statement</w:t>
      </w:r>
    </w:p>
    <w:p w14:paraId="111FAB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amendments are not anticipated to have any foreseeable impact on any family as defined by R.S. 49:972(D) or on </w:t>
      </w:r>
      <w:r w:rsidRPr="006E50FF">
        <w:rPr>
          <w:kern w:val="2"/>
        </w:rPr>
        <w:t>family formation, stability, and autonomy. Specifically, the implementation of the proposed amendments will have no known or foreseeable effect on:</w:t>
      </w:r>
    </w:p>
    <w:p w14:paraId="07122B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5F08F3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7563CE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10FE36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0373DA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0E9D51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4444A940" w14:textId="77777777" w:rsidR="006E50FF" w:rsidRPr="006E50FF" w:rsidRDefault="006E50FF" w:rsidP="006E50FF">
      <w:pPr>
        <w:keepNext/>
        <w:jc w:val="center"/>
        <w:rPr>
          <w:b/>
          <w:kern w:val="28"/>
        </w:rPr>
      </w:pPr>
      <w:r w:rsidRPr="006E50FF">
        <w:rPr>
          <w:b/>
          <w:kern w:val="28"/>
        </w:rPr>
        <w:t>Poverty Impact Statement</w:t>
      </w:r>
    </w:p>
    <w:p w14:paraId="191DD1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27FBA9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7CB264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62CA45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04E007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amendment of these rules will have no known or foreseeable adverse effect on employment and workforce development. </w:t>
      </w:r>
    </w:p>
    <w:p w14:paraId="217AFA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05F740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7983F22F" w14:textId="77777777" w:rsidR="006E50FF" w:rsidRPr="006E50FF" w:rsidRDefault="006E50FF" w:rsidP="006E50FF">
      <w:pPr>
        <w:keepNext/>
        <w:jc w:val="center"/>
        <w:rPr>
          <w:b/>
          <w:kern w:val="28"/>
        </w:rPr>
      </w:pPr>
      <w:r w:rsidRPr="006E50FF">
        <w:rPr>
          <w:b/>
          <w:kern w:val="28"/>
        </w:rPr>
        <w:t>Small Business Analysis</w:t>
      </w:r>
    </w:p>
    <w:p w14:paraId="55EEE6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49110FE3" w14:textId="77777777" w:rsidR="006E50FF" w:rsidRPr="006E50FF" w:rsidRDefault="006E50FF" w:rsidP="006E50FF">
      <w:pPr>
        <w:keepNext/>
        <w:jc w:val="center"/>
        <w:rPr>
          <w:b/>
          <w:kern w:val="28"/>
        </w:rPr>
      </w:pPr>
      <w:r w:rsidRPr="006E50FF">
        <w:rPr>
          <w:b/>
          <w:kern w:val="28"/>
        </w:rPr>
        <w:t>Provider Impact Statement</w:t>
      </w:r>
    </w:p>
    <w:p w14:paraId="2E9B59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18D580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51A18A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3D4CC9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45D8D0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29CF9075" w14:textId="77777777" w:rsidR="006E50FF" w:rsidRPr="006E50FF" w:rsidRDefault="006E50FF" w:rsidP="006E50FF">
      <w:pPr>
        <w:keepNext/>
        <w:jc w:val="center"/>
        <w:rPr>
          <w:b/>
          <w:kern w:val="28"/>
        </w:rPr>
      </w:pPr>
      <w:r w:rsidRPr="006E50FF">
        <w:rPr>
          <w:b/>
          <w:kern w:val="28"/>
        </w:rPr>
        <w:lastRenderedPageBreak/>
        <w:t>Public Comments</w:t>
      </w:r>
    </w:p>
    <w:p w14:paraId="1AE5AA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77CF98F5" w14:textId="77777777" w:rsidR="006E50FF" w:rsidRPr="006E50FF" w:rsidRDefault="006E50FF" w:rsidP="006E50FF">
      <w:pPr>
        <w:keepNext/>
        <w:jc w:val="center"/>
        <w:rPr>
          <w:b/>
          <w:kern w:val="28"/>
        </w:rPr>
      </w:pPr>
      <w:r w:rsidRPr="006E50FF">
        <w:rPr>
          <w:b/>
          <w:kern w:val="28"/>
        </w:rPr>
        <w:t>Public Hearing</w:t>
      </w:r>
    </w:p>
    <w:p w14:paraId="722BF1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10:30 a.m. on October 28,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1AD232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CEB695B" w14:textId="77777777" w:rsidR="006E50FF" w:rsidRPr="006E50FF" w:rsidRDefault="006E50FF" w:rsidP="006E50FF">
      <w:pPr>
        <w:keepNext/>
        <w:ind w:left="2160"/>
        <w:jc w:val="both"/>
      </w:pPr>
      <w:r w:rsidRPr="006E50FF">
        <w:t>Glenn Ledet, Jr.</w:t>
      </w:r>
    </w:p>
    <w:p w14:paraId="3E3578C3" w14:textId="77777777" w:rsidR="006E50FF" w:rsidRPr="006E50FF" w:rsidRDefault="006E50FF" w:rsidP="006E50FF">
      <w:pPr>
        <w:keepNext/>
        <w:ind w:left="2160"/>
        <w:jc w:val="both"/>
      </w:pPr>
      <w:r w:rsidRPr="006E50FF">
        <w:t>Secretary</w:t>
      </w:r>
    </w:p>
    <w:p w14:paraId="2466AD3A" w14:textId="77777777" w:rsidR="006E50FF" w:rsidRPr="006E50FF" w:rsidRDefault="006E50FF" w:rsidP="006E50FF">
      <w:pPr>
        <w:keepNext/>
        <w:jc w:val="center"/>
        <w:rPr>
          <w:b/>
        </w:rPr>
      </w:pPr>
    </w:p>
    <w:p w14:paraId="1210627D" w14:textId="77777777" w:rsidR="006E50FF" w:rsidRPr="006E50FF" w:rsidRDefault="006E50FF" w:rsidP="006E50FF">
      <w:pPr>
        <w:keepNext/>
        <w:jc w:val="center"/>
        <w:rPr>
          <w:b/>
        </w:rPr>
      </w:pPr>
      <w:r w:rsidRPr="006E50FF">
        <w:rPr>
          <w:b/>
        </w:rPr>
        <w:t>FISCAL AND ECONOMIC IMPACT STATEMENT FOR ADMINISTRATIVE RULES</w:t>
      </w:r>
    </w:p>
    <w:p w14:paraId="199F15C7" w14:textId="77777777" w:rsidR="006E50FF" w:rsidRPr="006E50FF" w:rsidRDefault="006E50FF" w:rsidP="006E50FF">
      <w:pPr>
        <w:keepNext/>
        <w:jc w:val="center"/>
        <w:rPr>
          <w:b/>
          <w:noProof/>
        </w:rPr>
      </w:pPr>
      <w:r w:rsidRPr="006E50FF">
        <w:rPr>
          <w:b/>
          <w:noProof/>
        </w:rPr>
        <w:t>RULE TITLE:  Administrative Review of Notices of Violation</w:t>
      </w:r>
    </w:p>
    <w:p w14:paraId="071327E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04EE434D"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398A2E9" w14:textId="77777777" w:rsidR="006E50FF" w:rsidRPr="006E50FF" w:rsidRDefault="006E50FF" w:rsidP="006E50FF">
      <w:pPr>
        <w:ind w:left="288" w:firstLine="288"/>
        <w:jc w:val="both"/>
        <w:rPr>
          <w:noProof/>
          <w:sz w:val="18"/>
        </w:rPr>
      </w:pPr>
      <w:r w:rsidRPr="006E50FF">
        <w:rPr>
          <w:noProof/>
          <w:sz w:val="18"/>
        </w:rPr>
        <w:t xml:space="preserve">The proposed rule changes are not anticipated to result in any implementation costs or savings to state or local governmental units. </w:t>
      </w:r>
    </w:p>
    <w:p w14:paraId="51AE987D" w14:textId="77777777" w:rsidR="006E50FF" w:rsidRPr="006E50FF" w:rsidRDefault="006E50FF" w:rsidP="006E50FF">
      <w:pPr>
        <w:ind w:left="288" w:firstLine="288"/>
        <w:jc w:val="both"/>
        <w:rPr>
          <w:sz w:val="18"/>
        </w:rPr>
      </w:pPr>
      <w:r w:rsidRPr="006E50FF">
        <w:rPr>
          <w:sz w:val="18"/>
        </w:rPr>
        <w:t>The proposed rule changes simplify and modernize the existing administrative review process for notices of violations. The Department of Transportation and Development (DOTD) currently processes notices of violation and administrative hearings under R.S. 32:389; the proposed rule changes conform the regulatory text to that existing statutory process and simplify the language.</w:t>
      </w:r>
    </w:p>
    <w:p w14:paraId="321CD711"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77370FC" w14:textId="77777777" w:rsidR="006E50FF" w:rsidRPr="006E50FF" w:rsidRDefault="006E50FF" w:rsidP="006E50FF">
      <w:pPr>
        <w:ind w:left="288" w:firstLine="288"/>
        <w:jc w:val="both"/>
        <w:rPr>
          <w:sz w:val="18"/>
        </w:rPr>
      </w:pPr>
      <w:r w:rsidRPr="006E50FF">
        <w:rPr>
          <w:sz w:val="18"/>
        </w:rPr>
        <w:t>The proposed amendments are not anticipated to have any effect on revenue collections of the state or local governmental units. Civil penalty amounts, payment obligations, and collection mechanisms for violations are established by R.S. 32:389 and are not altered by the proposed rule changes.</w:t>
      </w:r>
    </w:p>
    <w:p w14:paraId="42C223C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CE4486A" w14:textId="77777777" w:rsidR="006E50FF" w:rsidRPr="006E50FF" w:rsidRDefault="006E50FF" w:rsidP="006E50FF">
      <w:pPr>
        <w:ind w:left="288" w:firstLine="288"/>
        <w:jc w:val="both"/>
        <w:rPr>
          <w:sz w:val="18"/>
        </w:rPr>
      </w:pPr>
      <w:r w:rsidRPr="006E50FF">
        <w:rPr>
          <w:sz w:val="18"/>
        </w:rPr>
        <w:t>The proposed rule changes are not anticipated to result in costs to, and may provide a modest benefit to, directly carriers and drivers issued notices of violation. By restating the procedures in plain language and aligning them with the current administrative hearing process under R.S. 32:389, the proposed rule changes make the review and appeal process easier to understand and follow. No new forms or documentation are required. Civil penalty amounts, payment obligations, and collection mechanisms for violations are established by R.S. 32:389 and are not altered by the proposed rule changes.</w:t>
      </w:r>
    </w:p>
    <w:p w14:paraId="4CBAD54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6953600" w14:textId="77777777" w:rsidR="006E50FF" w:rsidRPr="006E50FF" w:rsidRDefault="006E50FF" w:rsidP="006E50FF">
      <w:pPr>
        <w:ind w:left="288" w:firstLine="288"/>
        <w:jc w:val="both"/>
        <w:rPr>
          <w:sz w:val="18"/>
        </w:rPr>
      </w:pPr>
      <w:r w:rsidRPr="006E50FF">
        <w:rPr>
          <w:sz w:val="18"/>
        </w:rPr>
        <w:t>The proposed amendments are not anticipated to have any effect on competition or employment in either the public or private sectors.</w:t>
      </w:r>
    </w:p>
    <w:p w14:paraId="154567BB" w14:textId="77777777" w:rsidR="006E50FF" w:rsidRPr="006E50FF" w:rsidRDefault="006E50FF" w:rsidP="006E50FF">
      <w:pPr>
        <w:ind w:left="288" w:firstLine="288"/>
        <w:jc w:val="both"/>
        <w:rPr>
          <w:sz w:val="18"/>
        </w:rPr>
      </w:pPr>
    </w:p>
    <w:p w14:paraId="22A94096"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521F7130"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1B462F35" w14:textId="77777777" w:rsidR="006E50FF" w:rsidRPr="006E50FF" w:rsidRDefault="006E50FF" w:rsidP="006E50FF">
      <w:pPr>
        <w:tabs>
          <w:tab w:val="left" w:pos="2880"/>
          <w:tab w:val="decimal" w:pos="2988"/>
        </w:tabs>
        <w:outlineLvl w:val="8"/>
        <w:rPr>
          <w:kern w:val="2"/>
          <w:sz w:val="18"/>
        </w:rPr>
      </w:pPr>
      <w:r w:rsidRPr="006E50FF">
        <w:rPr>
          <w:noProof/>
          <w:sz w:val="16"/>
        </w:rPr>
        <w:t>2609#067</w:t>
      </w:r>
      <w:r w:rsidRPr="006E50FF">
        <w:rPr>
          <w:kern w:val="2"/>
        </w:rPr>
        <w:tab/>
      </w:r>
      <w:r w:rsidRPr="006E50FF">
        <w:rPr>
          <w:kern w:val="2"/>
          <w:sz w:val="18"/>
        </w:rPr>
        <w:t>Legislative Fiscal Office</w:t>
      </w:r>
    </w:p>
    <w:p w14:paraId="6E8DC5E3" w14:textId="77777777" w:rsidR="006E50FF" w:rsidRPr="006E50FF" w:rsidRDefault="006E50FF" w:rsidP="006E50FF"/>
    <w:p w14:paraId="4FED9A2A"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69400B1B" w14:textId="77777777" w:rsidR="006E50FF" w:rsidRPr="006E50FF" w:rsidRDefault="006E50FF" w:rsidP="006E50FF">
      <w:pPr>
        <w:keepNext/>
        <w:jc w:val="center"/>
        <w:rPr>
          <w:b/>
          <w:noProof/>
        </w:rPr>
      </w:pPr>
      <w:r w:rsidRPr="006E50FF">
        <w:rPr>
          <w:b/>
          <w:noProof/>
        </w:rPr>
        <w:t>Department of Transportation and Development</w:t>
      </w:r>
    </w:p>
    <w:p w14:paraId="58F70072" w14:textId="77777777" w:rsidR="006E50FF" w:rsidRPr="006E50FF" w:rsidRDefault="006E50FF" w:rsidP="006E50FF">
      <w:pPr>
        <w:keepNext/>
        <w:jc w:val="center"/>
        <w:rPr>
          <w:b/>
          <w:noProof/>
        </w:rPr>
      </w:pPr>
      <w:r w:rsidRPr="006E50FF">
        <w:rPr>
          <w:b/>
          <w:noProof/>
        </w:rPr>
        <w:t>Office of Operations</w:t>
      </w:r>
    </w:p>
    <w:p w14:paraId="16D8F600" w14:textId="77777777" w:rsidR="006E50FF" w:rsidRPr="006E50FF" w:rsidRDefault="006E50FF" w:rsidP="006E50FF">
      <w:pPr>
        <w:keepNext/>
        <w:spacing w:before="240" w:after="240"/>
        <w:jc w:val="center"/>
        <w:rPr>
          <w:noProof/>
        </w:rPr>
      </w:pPr>
      <w:r w:rsidRPr="006E50FF">
        <w:rPr>
          <w:noProof/>
        </w:rPr>
        <w:t>Guideline for Submitting Overweight Vehicle Configurations—Exceeding 238,000 Pounds</w:t>
      </w:r>
      <w:r w:rsidRPr="006E50FF">
        <w:rPr>
          <w:noProof/>
        </w:rPr>
        <w:br/>
        <w:t>(LAC 73:I.Chapter 15)</w:t>
      </w:r>
    </w:p>
    <w:p w14:paraId="1C6216A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 xml:space="preserve">Notice is hereby given in accordance with the provisions of the Administrative Procedure Act, R.S. 49:950, et seq., and through the authority granted in R.S. 36:504, that the Department of Transportation and Development proposes to amend LAC 73:I.15, Guideline for Submitting Overweight Vehicle Configurations-Exceeding 238,000, which describes the necessary requirements accompanying the permit that is being applied for from the Department of Transportation and Development (DOTD). The proposed amendments simplify these rules to comply with Plain Writing Act of 2010 (Public Law 111-274) for public understanding and clarify to remove unnecessary and obsolete regulations. </w:t>
      </w:r>
    </w:p>
    <w:p w14:paraId="7A0B9E11" w14:textId="77777777" w:rsidR="006E50FF" w:rsidRPr="006E50FF" w:rsidRDefault="006E50FF" w:rsidP="006E50FF">
      <w:pPr>
        <w:keepNext/>
        <w:jc w:val="center"/>
        <w:rPr>
          <w:b/>
          <w:kern w:val="28"/>
        </w:rPr>
      </w:pPr>
      <w:r w:rsidRPr="006E50FF">
        <w:rPr>
          <w:b/>
          <w:kern w:val="28"/>
        </w:rPr>
        <w:t>Title 73</w:t>
      </w:r>
    </w:p>
    <w:p w14:paraId="2ABBE21F" w14:textId="77777777" w:rsidR="006E50FF" w:rsidRPr="006E50FF" w:rsidRDefault="006E50FF" w:rsidP="006E50FF">
      <w:pPr>
        <w:keepNext/>
        <w:jc w:val="center"/>
        <w:rPr>
          <w:b/>
          <w:kern w:val="28"/>
        </w:rPr>
      </w:pPr>
      <w:r w:rsidRPr="006E50FF">
        <w:rPr>
          <w:b/>
          <w:kern w:val="28"/>
        </w:rPr>
        <w:t>WEIGHTS, MEASURES AND STANDARDS</w:t>
      </w:r>
    </w:p>
    <w:p w14:paraId="04DE8121" w14:textId="77777777" w:rsidR="006E50FF" w:rsidRPr="006E50FF" w:rsidRDefault="006E50FF" w:rsidP="006E50FF">
      <w:pPr>
        <w:keepNext/>
        <w:jc w:val="center"/>
        <w:rPr>
          <w:b/>
          <w:noProof/>
        </w:rPr>
      </w:pPr>
      <w:r w:rsidRPr="006E50FF">
        <w:rPr>
          <w:b/>
          <w:noProof/>
        </w:rPr>
        <w:t>Part I.  Weights and Standards</w:t>
      </w:r>
    </w:p>
    <w:p w14:paraId="670C758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Guideline for Submitting Overweight Vehicle Configurations—Exceeding 232,000 Pounds</w:t>
      </w:r>
    </w:p>
    <w:p w14:paraId="640497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5" w:name="_Toc143681236"/>
      <w:r w:rsidRPr="006E50FF">
        <w:rPr>
          <w:b/>
          <w:kern w:val="2"/>
        </w:rPr>
        <w:t>§1501.</w:t>
      </w:r>
      <w:r w:rsidRPr="006E50FF">
        <w:rPr>
          <w:b/>
          <w:kern w:val="2"/>
        </w:rPr>
        <w:tab/>
        <w:t>Necessary Requirements Accompanying the Permit</w:t>
      </w:r>
      <w:bookmarkEnd w:id="775"/>
    </w:p>
    <w:p w14:paraId="1F2C483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Map. Submit a map showing the proposed route and any alternate proposed routes in order of preference.</w:t>
      </w:r>
    </w:p>
    <w:p w14:paraId="00DB8C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 the event there is one or more parallel, alternate modes of transportation that cannot accommodate the load, such as a navigable waterway or a railroad, but substantially reduces the length of haul on the state highway system, evidence of the physical and/or regulatory impasse(s) must be submitted with the permit request. This evidence must be a written response from the facility's authorities or offices stating the nature of the impasse which will not accommodate the load.</w:t>
      </w:r>
    </w:p>
    <w:p w14:paraId="01B728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Statement from the owner of the load certifying its gross weight. </w:t>
      </w:r>
    </w:p>
    <w:p w14:paraId="6A86EA5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32:2 et seq.</w:t>
      </w:r>
    </w:p>
    <w:p w14:paraId="54D9A6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 LR 5:26 (February 1979), amended by the Office of Weights, Measures and Standards, LR 22:120 (February 1996), amended by the Department of Transportation and Development, Office of Operations, LR 52:</w:t>
      </w:r>
    </w:p>
    <w:p w14:paraId="3CDAE3A7" w14:textId="77777777" w:rsidR="006E50FF" w:rsidRPr="006E50FF" w:rsidRDefault="006E50FF" w:rsidP="006E50FF">
      <w:pPr>
        <w:keepNext/>
        <w:jc w:val="center"/>
        <w:rPr>
          <w:b/>
          <w:kern w:val="28"/>
        </w:rPr>
      </w:pPr>
      <w:r w:rsidRPr="006E50FF">
        <w:rPr>
          <w:b/>
          <w:kern w:val="28"/>
        </w:rPr>
        <w:t>Family Impact Statement</w:t>
      </w:r>
    </w:p>
    <w:p w14:paraId="345C64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amendments are not anticipated to have any foreseeable </w:t>
      </w:r>
      <w:r w:rsidRPr="006E50FF">
        <w:rPr>
          <w:kern w:val="2"/>
        </w:rPr>
        <w:lastRenderedPageBreak/>
        <w:t>impact on any family as defined by R.S. 49:972(D) or on family formation, stability, and autonomy. Specifically, the implementation of the proposed amendments will have no known or foreseeable effect on:</w:t>
      </w:r>
    </w:p>
    <w:p w14:paraId="5778D2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5123B9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629323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41BA63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269458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24194D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79CDF426" w14:textId="77777777" w:rsidR="006E50FF" w:rsidRPr="006E50FF" w:rsidRDefault="006E50FF" w:rsidP="006E50FF">
      <w:pPr>
        <w:keepNext/>
        <w:jc w:val="center"/>
        <w:rPr>
          <w:b/>
          <w:kern w:val="28"/>
        </w:rPr>
      </w:pPr>
      <w:r w:rsidRPr="006E50FF">
        <w:rPr>
          <w:b/>
          <w:kern w:val="28"/>
        </w:rPr>
        <w:t>Poverty Impact Statement</w:t>
      </w:r>
    </w:p>
    <w:p w14:paraId="6D1C4B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717E6F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1A78DE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29EEA6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436DC9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amendment of these rules will have no known or foreseeable adverse effect on employment and workforce development. </w:t>
      </w:r>
    </w:p>
    <w:p w14:paraId="65CAFB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372A62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70186F12" w14:textId="77777777" w:rsidR="006E50FF" w:rsidRPr="006E50FF" w:rsidRDefault="006E50FF" w:rsidP="006E50FF">
      <w:pPr>
        <w:keepNext/>
        <w:jc w:val="center"/>
        <w:rPr>
          <w:b/>
          <w:kern w:val="28"/>
        </w:rPr>
      </w:pPr>
      <w:r w:rsidRPr="006E50FF">
        <w:rPr>
          <w:b/>
          <w:kern w:val="28"/>
        </w:rPr>
        <w:t>Small Business Analysis</w:t>
      </w:r>
    </w:p>
    <w:p w14:paraId="7469F8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2079D239" w14:textId="77777777" w:rsidR="006E50FF" w:rsidRPr="006E50FF" w:rsidRDefault="006E50FF" w:rsidP="006E50FF">
      <w:pPr>
        <w:keepNext/>
        <w:jc w:val="center"/>
        <w:rPr>
          <w:b/>
          <w:kern w:val="28"/>
        </w:rPr>
      </w:pPr>
      <w:r w:rsidRPr="006E50FF">
        <w:rPr>
          <w:b/>
          <w:kern w:val="28"/>
        </w:rPr>
        <w:t>Provider Impact Statement</w:t>
      </w:r>
    </w:p>
    <w:p w14:paraId="7C8285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365348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341FF0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485755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59824E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76F8CFEA" w14:textId="77777777" w:rsidR="006E50FF" w:rsidRPr="006E50FF" w:rsidRDefault="006E50FF" w:rsidP="006E50FF">
      <w:pPr>
        <w:keepNext/>
        <w:jc w:val="center"/>
        <w:rPr>
          <w:b/>
          <w:kern w:val="28"/>
        </w:rPr>
      </w:pPr>
      <w:r w:rsidRPr="006E50FF">
        <w:rPr>
          <w:b/>
          <w:kern w:val="28"/>
        </w:rPr>
        <w:t>Public Comments</w:t>
      </w:r>
    </w:p>
    <w:p w14:paraId="424D2E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2602C29D" w14:textId="77777777" w:rsidR="006E50FF" w:rsidRPr="006E50FF" w:rsidRDefault="006E50FF" w:rsidP="006E50FF">
      <w:pPr>
        <w:keepNext/>
        <w:jc w:val="center"/>
        <w:rPr>
          <w:b/>
          <w:kern w:val="28"/>
        </w:rPr>
      </w:pPr>
      <w:r w:rsidRPr="006E50FF">
        <w:rPr>
          <w:b/>
          <w:kern w:val="28"/>
        </w:rPr>
        <w:t>Public Hearing</w:t>
      </w:r>
    </w:p>
    <w:p w14:paraId="52F0B8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11:30 a.m. on October 28,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77E7F0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7F4BEB8" w14:textId="77777777" w:rsidR="006E50FF" w:rsidRPr="006E50FF" w:rsidRDefault="006E50FF" w:rsidP="006E50FF">
      <w:pPr>
        <w:keepNext/>
        <w:ind w:left="2160"/>
        <w:jc w:val="both"/>
      </w:pPr>
      <w:r w:rsidRPr="006E50FF">
        <w:t>Glenn Ledet, Jr.</w:t>
      </w:r>
    </w:p>
    <w:p w14:paraId="23455550" w14:textId="77777777" w:rsidR="006E50FF" w:rsidRPr="006E50FF" w:rsidRDefault="006E50FF" w:rsidP="006E50FF">
      <w:pPr>
        <w:keepNext/>
        <w:ind w:left="2160"/>
        <w:jc w:val="both"/>
      </w:pPr>
      <w:r w:rsidRPr="006E50FF">
        <w:t>Secretary</w:t>
      </w:r>
    </w:p>
    <w:p w14:paraId="35E6A7F1" w14:textId="77777777" w:rsidR="006E50FF" w:rsidRPr="006E50FF" w:rsidRDefault="006E50FF" w:rsidP="006E50FF">
      <w:pPr>
        <w:keepNext/>
        <w:jc w:val="center"/>
        <w:rPr>
          <w:b/>
        </w:rPr>
      </w:pPr>
    </w:p>
    <w:p w14:paraId="6CC5A622" w14:textId="77777777" w:rsidR="006E50FF" w:rsidRPr="006E50FF" w:rsidRDefault="006E50FF" w:rsidP="006E50FF">
      <w:pPr>
        <w:keepNext/>
        <w:jc w:val="center"/>
        <w:rPr>
          <w:b/>
        </w:rPr>
      </w:pPr>
      <w:r w:rsidRPr="006E50FF">
        <w:rPr>
          <w:b/>
        </w:rPr>
        <w:t>FISCAL AND ECONOMIC IMPACT STATEMENT FOR ADMINISTRATIVE RULES</w:t>
      </w:r>
    </w:p>
    <w:p w14:paraId="75836188" w14:textId="2E3E27FA" w:rsidR="006E50FF" w:rsidRPr="006E50FF" w:rsidRDefault="006E50FF" w:rsidP="006E50FF">
      <w:pPr>
        <w:keepNext/>
        <w:jc w:val="center"/>
        <w:rPr>
          <w:b/>
          <w:noProof/>
        </w:rPr>
      </w:pPr>
      <w:r w:rsidRPr="006E50FF">
        <w:rPr>
          <w:b/>
          <w:noProof/>
        </w:rPr>
        <w:t>RULE TITLE:  Guideline for Submitting Overweight Vehicle Configurations—Exceeding 238,000</w:t>
      </w:r>
      <w:r w:rsidR="00B3171F">
        <w:rPr>
          <w:b/>
          <w:noProof/>
        </w:rPr>
        <w:t xml:space="preserve"> Pounds</w:t>
      </w:r>
    </w:p>
    <w:p w14:paraId="4C418FE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0A3B31C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BF10EA9" w14:textId="77777777" w:rsidR="006E50FF" w:rsidRPr="006E50FF" w:rsidRDefault="006E50FF" w:rsidP="006E50FF">
      <w:pPr>
        <w:ind w:left="288" w:firstLine="288"/>
        <w:jc w:val="both"/>
        <w:rPr>
          <w:noProof/>
          <w:sz w:val="18"/>
        </w:rPr>
      </w:pPr>
      <w:r w:rsidRPr="006E50FF">
        <w:rPr>
          <w:noProof/>
          <w:sz w:val="18"/>
        </w:rPr>
        <w:t>The proposed rule change is anticipated to have no implementation costs or savings to state or</w:t>
      </w:r>
      <w:r w:rsidRPr="006E50FF">
        <w:rPr>
          <w:noProof/>
          <w:sz w:val="18"/>
        </w:rPr>
        <w:br/>
        <w:t xml:space="preserve">local governmental units. </w:t>
      </w:r>
    </w:p>
    <w:p w14:paraId="09CC36CD" w14:textId="77777777" w:rsidR="006E50FF" w:rsidRPr="006E50FF" w:rsidRDefault="006E50FF" w:rsidP="006E50FF">
      <w:pPr>
        <w:ind w:left="288" w:firstLine="288"/>
        <w:jc w:val="both"/>
        <w:rPr>
          <w:sz w:val="18"/>
        </w:rPr>
      </w:pPr>
      <w:r w:rsidRPr="006E50FF">
        <w:rPr>
          <w:sz w:val="18"/>
        </w:rPr>
        <w:t>The proposed rule change simplifies existing permit-submission requirements under LAC 73:I.15 by eliminating the requirement to submit a detailed assembled-vehicle drawing and related drawing elements when applying for permits to move overweight vehicle configurations exceeding 232,000 pounds.</w:t>
      </w:r>
    </w:p>
    <w:p w14:paraId="7A5EFBE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8F3F923"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state or local governmental units. The proposed rule change does not create, increase, decrease, or eliminate any fee, tax, or other revenue source.</w:t>
      </w:r>
    </w:p>
    <w:p w14:paraId="32A96A3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85B8F4D" w14:textId="77777777" w:rsidR="006E50FF" w:rsidRPr="006E50FF" w:rsidRDefault="006E50FF" w:rsidP="006E50FF">
      <w:pPr>
        <w:ind w:left="288" w:firstLine="288"/>
        <w:jc w:val="both"/>
        <w:rPr>
          <w:sz w:val="18"/>
        </w:rPr>
      </w:pPr>
      <w:r w:rsidRPr="006E50FF">
        <w:rPr>
          <w:sz w:val="18"/>
        </w:rPr>
        <w:t>Applicants for permits to move overweight vehicle configurations exceeding 232,000 pounds (typically motor carriers and heavy-haul operators) may realize a minor benefit as a result of the proposed rule change. By eliminating the requirement to submit a detailed assembled-vehicle drawing and related drawing elements, it modestly reduces the paperwork these applicants must prepare. Any resulting savings are minor and not reasonably quantifiable.</w:t>
      </w:r>
    </w:p>
    <w:p w14:paraId="5B954AF9" w14:textId="77777777" w:rsidR="006E50FF" w:rsidRPr="006E50FF" w:rsidRDefault="006E50FF" w:rsidP="006E50FF">
      <w:pPr>
        <w:ind w:left="288" w:hanging="288"/>
        <w:jc w:val="both"/>
        <w:rPr>
          <w:spacing w:val="-10"/>
          <w:sz w:val="18"/>
        </w:rPr>
      </w:pPr>
      <w:r w:rsidRPr="006E50FF">
        <w:rPr>
          <w:spacing w:val="-10"/>
          <w:sz w:val="18"/>
        </w:rPr>
        <w:lastRenderedPageBreak/>
        <w:t>IV.</w:t>
      </w:r>
      <w:r w:rsidRPr="006E50FF">
        <w:rPr>
          <w:spacing w:val="-10"/>
          <w:sz w:val="18"/>
        </w:rPr>
        <w:tab/>
        <w:t>ESTIMATED EFFECT ON COMPETITION AND EMPLOYMENT (Summary)</w:t>
      </w:r>
    </w:p>
    <w:p w14:paraId="096A0FAC" w14:textId="77777777" w:rsidR="006E50FF" w:rsidRPr="006E50FF" w:rsidRDefault="006E50FF" w:rsidP="006E50FF">
      <w:pPr>
        <w:ind w:left="288" w:firstLine="288"/>
        <w:jc w:val="both"/>
        <w:rPr>
          <w:sz w:val="18"/>
        </w:rPr>
      </w:pPr>
      <w:r w:rsidRPr="006E50FF">
        <w:rPr>
          <w:sz w:val="18"/>
        </w:rPr>
        <w:t>The proposed rule change is anticipated to have no effect on competition or employment in the public or private sectors.</w:t>
      </w:r>
    </w:p>
    <w:p w14:paraId="44E7EB76" w14:textId="77777777" w:rsidR="006E50FF" w:rsidRPr="006E50FF" w:rsidRDefault="006E50FF" w:rsidP="006E50FF">
      <w:pPr>
        <w:ind w:left="288" w:firstLine="288"/>
        <w:jc w:val="both"/>
        <w:rPr>
          <w:sz w:val="18"/>
        </w:rPr>
      </w:pPr>
    </w:p>
    <w:p w14:paraId="1040EDA1"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25E8F236"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74A0C859" w14:textId="77777777" w:rsidR="006E50FF" w:rsidRPr="006E50FF" w:rsidRDefault="006E50FF" w:rsidP="006E50FF">
      <w:pPr>
        <w:tabs>
          <w:tab w:val="left" w:pos="2880"/>
          <w:tab w:val="decimal" w:pos="2988"/>
        </w:tabs>
        <w:outlineLvl w:val="8"/>
        <w:rPr>
          <w:kern w:val="2"/>
          <w:sz w:val="18"/>
        </w:rPr>
      </w:pPr>
      <w:r w:rsidRPr="006E50FF">
        <w:rPr>
          <w:noProof/>
          <w:sz w:val="16"/>
        </w:rPr>
        <w:t>2609#066</w:t>
      </w:r>
      <w:r w:rsidRPr="006E50FF">
        <w:rPr>
          <w:kern w:val="2"/>
        </w:rPr>
        <w:tab/>
      </w:r>
      <w:r w:rsidRPr="006E50FF">
        <w:rPr>
          <w:kern w:val="2"/>
          <w:sz w:val="18"/>
        </w:rPr>
        <w:t>Legislative Fiscal Office</w:t>
      </w:r>
    </w:p>
    <w:p w14:paraId="5732EA27" w14:textId="77777777" w:rsidR="006E50FF" w:rsidRPr="006E50FF" w:rsidRDefault="006E50FF" w:rsidP="006E50FF"/>
    <w:p w14:paraId="574DC2B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5D32E90D" w14:textId="77777777" w:rsidR="006E50FF" w:rsidRPr="006E50FF" w:rsidRDefault="006E50FF" w:rsidP="006E50FF">
      <w:pPr>
        <w:keepNext/>
        <w:jc w:val="center"/>
        <w:rPr>
          <w:b/>
          <w:noProof/>
        </w:rPr>
      </w:pPr>
      <w:r w:rsidRPr="006E50FF">
        <w:rPr>
          <w:b/>
          <w:noProof/>
        </w:rPr>
        <w:t>Department of Transportation and Development</w:t>
      </w:r>
    </w:p>
    <w:p w14:paraId="05236F05" w14:textId="77777777" w:rsidR="006E50FF" w:rsidRPr="006E50FF" w:rsidRDefault="006E50FF" w:rsidP="006E50FF">
      <w:pPr>
        <w:keepNext/>
        <w:jc w:val="center"/>
        <w:rPr>
          <w:b/>
          <w:noProof/>
        </w:rPr>
      </w:pPr>
      <w:r w:rsidRPr="006E50FF">
        <w:rPr>
          <w:b/>
          <w:noProof/>
        </w:rPr>
        <w:t>Office of Operations</w:t>
      </w:r>
    </w:p>
    <w:p w14:paraId="3B66B762" w14:textId="77777777" w:rsidR="006E50FF" w:rsidRPr="006E50FF" w:rsidRDefault="006E50FF" w:rsidP="006E50FF">
      <w:pPr>
        <w:keepNext/>
        <w:spacing w:before="240" w:after="240"/>
        <w:jc w:val="center"/>
        <w:rPr>
          <w:noProof/>
        </w:rPr>
      </w:pPr>
      <w:r w:rsidRPr="006E50FF">
        <w:rPr>
          <w:noProof/>
        </w:rPr>
        <w:t xml:space="preserve">Laws and Regulations Enforced with Other Agencies </w:t>
      </w:r>
      <w:r w:rsidRPr="006E50FF">
        <w:rPr>
          <w:noProof/>
        </w:rPr>
        <w:br/>
        <w:t>(LAC 73:I.901)</w:t>
      </w:r>
    </w:p>
    <w:p w14:paraId="6E95F6A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Notice is hereby given in accordance with the provisions of the Administrative Procedure Act, R.S. 49:950, et seq., and through the authority granted in R.S. 36:504, that the Department of Transportation and Development proposes to amend LAC 73:I.Chapter 9, Laws and Regulations Enforced with Other Agencies, which sets out the motor vehicle registration, licensing, fuel-tax, and highway use requirements that the Department of Transportation and Development's (DOTD) weights and standards police enforce on Louisiana highways in coordination with other agencies. The proposed amendments simplify these rules to comply with Plain Writing Act of 2010 (Public Law 111-274) for public understanding and clarify to remove unnecessary and obsolete regulations.</w:t>
      </w:r>
    </w:p>
    <w:p w14:paraId="0A244C86" w14:textId="77777777" w:rsidR="006E50FF" w:rsidRPr="006E50FF" w:rsidRDefault="006E50FF" w:rsidP="006E50FF">
      <w:pPr>
        <w:keepNext/>
        <w:jc w:val="center"/>
        <w:rPr>
          <w:b/>
          <w:kern w:val="28"/>
        </w:rPr>
      </w:pPr>
      <w:r w:rsidRPr="006E50FF">
        <w:rPr>
          <w:b/>
          <w:kern w:val="28"/>
        </w:rPr>
        <w:t>Title 73</w:t>
      </w:r>
    </w:p>
    <w:p w14:paraId="2D985ADE" w14:textId="77777777" w:rsidR="006E50FF" w:rsidRPr="006E50FF" w:rsidRDefault="006E50FF" w:rsidP="006E50FF">
      <w:pPr>
        <w:keepNext/>
        <w:jc w:val="center"/>
        <w:rPr>
          <w:b/>
          <w:kern w:val="28"/>
        </w:rPr>
      </w:pPr>
      <w:r w:rsidRPr="006E50FF">
        <w:rPr>
          <w:b/>
          <w:kern w:val="28"/>
        </w:rPr>
        <w:t>WEIGHTS, MEASURES AND STANDARDS</w:t>
      </w:r>
    </w:p>
    <w:p w14:paraId="48E2B43D" w14:textId="77777777" w:rsidR="006E50FF" w:rsidRPr="006E50FF" w:rsidRDefault="006E50FF" w:rsidP="006E50FF">
      <w:pPr>
        <w:keepNext/>
        <w:jc w:val="center"/>
        <w:rPr>
          <w:b/>
          <w:noProof/>
        </w:rPr>
      </w:pPr>
      <w:r w:rsidRPr="006E50FF">
        <w:rPr>
          <w:b/>
          <w:noProof/>
        </w:rPr>
        <w:t>Part I.  Weights and Meausres</w:t>
      </w:r>
    </w:p>
    <w:p w14:paraId="3C296DD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w:t>
      </w:r>
      <w:r w:rsidRPr="006E50FF">
        <w:rPr>
          <w:b/>
          <w:kern w:val="2"/>
        </w:rPr>
        <w:tab/>
        <w:t>Laws and Regulations Enforced with Other Agencies</w:t>
      </w:r>
    </w:p>
    <w:p w14:paraId="1C6797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6" w:name="_Toc143681212"/>
      <w:r w:rsidRPr="006E50FF">
        <w:rPr>
          <w:b/>
          <w:kern w:val="2"/>
        </w:rPr>
        <w:t>§901.</w:t>
      </w:r>
      <w:r w:rsidRPr="006E50FF">
        <w:rPr>
          <w:b/>
          <w:kern w:val="2"/>
        </w:rPr>
        <w:tab/>
        <w:t>Vehicle Registration and Licensing</w:t>
      </w:r>
      <w:bookmarkEnd w:id="776"/>
    </w:p>
    <w:p w14:paraId="4D21D9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General Information</w:t>
      </w:r>
    </w:p>
    <w:p w14:paraId="26A5A5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Commercial vehicle owners who need license plates which are full-plated for Louisiana and noncommercial vehicle owners may obtain license plates at any district office of the Vehicle Registration Bureau (of the Office of Motor Vehicles, Department of Public Safety). If additional detailed information is needed, it may be obtained from the Title Support and Information Section, Vehicle Registration Bureau, Department of Public Safety.</w:t>
      </w:r>
    </w:p>
    <w:p w14:paraId="3BD03D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Commercial vehicle owners who need license plates which are apportioned for other states may obtain applications for apportioned plates at any district office of the Vehicle Registration Bureau of the Office of Motor Vehicles, Department of Public Safety. Applications must be mailed to Baton Rouge, and additional information can be obtained from the Prorate Section, Vehicle Registration Bureau, Department of Public Safety.</w:t>
      </w:r>
    </w:p>
    <w:p w14:paraId="3EC0FA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Common and contract carriers must purchase CCT plates; however, they must first be licensed with the Louisiana Public Service Commission.</w:t>
      </w:r>
    </w:p>
    <w:p w14:paraId="0C4C32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following vehicles are exempt from vehicle registration and licensing:</w:t>
      </w:r>
    </w:p>
    <w:p w14:paraId="623FF14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farm tractors, self-propelled farm equipment, and two-and four-wheeled, rubber-tired farm wagons or trailers of up to 2-ton capacity if the vehicles are used only in farming;</w:t>
      </w:r>
    </w:p>
    <w:p w14:paraId="4A173A7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trackless trolley coaches, buses or passenger coaches or passenger carrying trailers or semi-trailers which are operated only within the corporate limits of a municipality, of two adjoining municipalities or up to 1/2 mile from the corporate limits;</w:t>
      </w:r>
    </w:p>
    <w:p w14:paraId="782B61C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oversize or overweight self-propelled motor cranes used only for heavy construction by the building and utility industries;</w:t>
      </w:r>
    </w:p>
    <w:p w14:paraId="33536BC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oversize or overweight self-propelled oil well or gas well pulling units used only for servicing oil or gas wells on off-road property;</w:t>
      </w:r>
    </w:p>
    <w:p w14:paraId="225BAD8E"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road rollers and road machinery only temporarily moved on highways;</w:t>
      </w:r>
    </w:p>
    <w:p w14:paraId="321DF3C2"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log loaders used only for loading logs.</w:t>
      </w:r>
    </w:p>
    <w:p w14:paraId="421D24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vehicle must have Louisiana plates or Louisiana apportioned plates if the residence or employment or the owner or lessee is in Louisiana.</w:t>
      </w:r>
    </w:p>
    <w:p w14:paraId="7318D5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Nonresidents regularly employed or regularly operating a business in Louisiana for 30 days or more must obtain Louisiana plates or plates apportioned for Louisiana on all vehicles used or based in Louisiana unless the vehicles are being operated under reciprocal agreements between Louisiana and the nonresident's home state.</w:t>
      </w:r>
    </w:p>
    <w:p w14:paraId="1AB765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commercial trucks and all trucks licensed for more than 3,500 pounds must have the owner's name and address on the outside of both truck doors.</w:t>
      </w:r>
    </w:p>
    <w:p w14:paraId="08C4BC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Louisiana license plates must be attached to the front of a vehicle. The plate may not swing and must be clearly readable, and the bottom of the plate must be at least 12 inches from the ground.</w:t>
      </w:r>
    </w:p>
    <w:p w14:paraId="7E9075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registration certificate issued to a vehicle must at all times be carried in the vehicle and be subject to inspection by a state police officer, weights and standards police officer, or Department of Public Safety motor vehicle enforcement officer.</w:t>
      </w:r>
    </w:p>
    <w:p w14:paraId="06E9A9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Manufactured Homes</w:t>
      </w:r>
    </w:p>
    <w:p w14:paraId="4D068D7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manufactured home being moved from a point of origin in Louisiana or any other point, whether in Louisiana or out-of-state, must have a valid Louisiana registration certificate.</w:t>
      </w:r>
    </w:p>
    <w:p w14:paraId="0F6E0E3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Manufactured homes traveling to or through Louisiana are exempt from Louisiana registration if they are properly registered in their home state.</w:t>
      </w:r>
    </w:p>
    <w:p w14:paraId="0C23EA6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Manufactured homes being delivered by manufacturers to dealers are not required to be licensed, but an "in transit" sign must be displayed on the manufactured homes.</w:t>
      </w:r>
    </w:p>
    <w:p w14:paraId="58E397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Escort Vehicles</w:t>
      </w:r>
    </w:p>
    <w:p w14:paraId="2E324B2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Escort vehicles must be registered in accordance with Louisiana Revised Statutes or reciprocal agreements.</w:t>
      </w:r>
    </w:p>
    <w:p w14:paraId="5A7A3A3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Registrations for escort vehicles which are properly registered in other states will be accepted by Louisiana through reciprocal agreement.</w:t>
      </w:r>
    </w:p>
    <w:p w14:paraId="1E180D0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Each company, regardless of domicile must pay $10 annual fee for escort permit.</w:t>
      </w:r>
    </w:p>
    <w:p w14:paraId="1BB960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Louisiana Plates</w:t>
      </w:r>
    </w:p>
    <w:p w14:paraId="31BC96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Louisiana issues six classes of license plates for trucks, tandem trucks, truck-tractors, semi-trailers, and trailers.</w:t>
      </w:r>
    </w:p>
    <w:p w14:paraId="2AEFCED7" w14:textId="77777777" w:rsidR="006E50FF" w:rsidRPr="006E50FF" w:rsidRDefault="006E50FF" w:rsidP="006E50FF">
      <w:pPr>
        <w:tabs>
          <w:tab w:val="left" w:pos="907"/>
        </w:tabs>
        <w:ind w:firstLine="547"/>
        <w:jc w:val="both"/>
        <w:outlineLvl w:val="5"/>
        <w:rPr>
          <w:kern w:val="2"/>
        </w:rPr>
      </w:pPr>
      <w:r w:rsidRPr="006E50FF">
        <w:rPr>
          <w:kern w:val="2"/>
        </w:rPr>
        <w:br w:type="page"/>
      </w:r>
    </w:p>
    <w:p w14:paraId="4CDEE373"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Class 1. Those carrying or transporting freight, merchandise, or other property exclusively for their owners or used to transport actual employees of the owner of such vehicle, except those included in Class 5 in §901.B.1.e, shall be Class 1.</w:t>
      </w:r>
    </w:p>
    <w:p w14:paraId="1DC8885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Class 2. Those carrying or transporting passengers, freight, merchandise, or other property as common or contract carriers, including trackless street or trolley cars and excepting only those vehicles owned or operated by any person engaged in the business of operating upon rails or upon stationary tracks and operated thereon, except those included in Class 5 in §901.B.1.e, shall be in Class 2.</w:t>
      </w:r>
    </w:p>
    <w:p w14:paraId="3123827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Class 3. Those carrying and transporting products of the forest in their natural state, including, but not limited to logs, debarked logs, untreated ties, stave bolts, plywood bolts, pulpwood billets, wood chips, stumps, sawdust, moss, bark and wood shavings, and property used in the production thereof, including bulldozers which do not exceed 8 feet in width, and used to transport actual employees of the owner of such vehicle to and from the place of employment, and those carrying and transporting sugarcane which are not in Class 6, shall be Class 3.</w:t>
      </w:r>
    </w:p>
    <w:p w14:paraId="3A50072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Class 4. Those used exclusively in carrying and transporting gravel shall be Class 4.</w:t>
      </w:r>
    </w:p>
    <w:p w14:paraId="2B2F8F21"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Class 5 </w:t>
      </w:r>
    </w:p>
    <w:p w14:paraId="5A92B9A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Those operated exclusively within the corporate limits of the incorporated city, town, or village in which said vehicle was domiciled at the time of its registration, and where said city, town, or village has a population of less than 500,000 within territory contiguous to the domicile thereof and not exceeding 13 miles distance from the corporate limits thereof, and where said city, town, or village has population in excess of 500,000 within territory contiguous to the domicile thereof and not exceeding 13 miles from the corporate limits thereof, those operated exclusively within the limits of an unincorporated urban area having a population in excess of 135,000, as determined by the United States Bureau of the Census, in which said vehicle was domiciled at the time of registration, or within territory contiguous thereto not exceeding 13 miles distance from the limits of such unincorporated area, said limits to be those used by the United State Bureau of the Census in reporting the population thereof; those operated exclusively in transportation between a municipality and its airport, when supplemental to transportation by aircraft, shall be Class 5. At the time vehicles in this class are registered, the domicile of the vehicle so registered shall be shown on the registration certificate.</w:t>
      </w:r>
    </w:p>
    <w:p w14:paraId="49E9459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motor vehicle bearing a Class 5, city use license shall be entitled to operate within the confines of any city, town, village and territory contiguous thereto as followed herein for Class 5 licenses, and in any unincorporated urban area which has limits determined by the United States Bureau of the Census, without transferring its domicile or obtaining a different class of license; provided that city use truck is not authorized to carry any cargo or goods from one city or such unincorporated urban area to another. A motor vehicle bearing a Class 5 city use license is authorized to travel on the highways of this state outside of a city, town, village or such unincorporated urban area provided that it carries absolutely no cargo or goods.</w:t>
      </w:r>
    </w:p>
    <w:p w14:paraId="15205AE0" w14:textId="77777777" w:rsidR="006E50FF" w:rsidRPr="006E50FF" w:rsidRDefault="006E50FF" w:rsidP="006E50FF">
      <w:pPr>
        <w:tabs>
          <w:tab w:val="left" w:pos="907"/>
        </w:tabs>
        <w:ind w:firstLine="547"/>
        <w:jc w:val="both"/>
        <w:outlineLvl w:val="5"/>
        <w:rPr>
          <w:kern w:val="2"/>
        </w:rPr>
      </w:pPr>
      <w:r w:rsidRPr="006E50FF">
        <w:rPr>
          <w:kern w:val="2"/>
        </w:rPr>
        <w:br w:type="column"/>
      </w:r>
      <w:r w:rsidRPr="006E50FF">
        <w:rPr>
          <w:kern w:val="2"/>
        </w:rPr>
        <w:t>f.</w:t>
      </w:r>
      <w:r w:rsidRPr="006E50FF">
        <w:rPr>
          <w:kern w:val="2"/>
        </w:rPr>
        <w:tab/>
        <w:t>Class 6</w:t>
      </w:r>
    </w:p>
    <w:p w14:paraId="154AF7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Those owned by persons engaged in the business of actual farming and by them used primarily but not exclusively in carrying farm produce raised on their farms from such farms to market, or returning therefrom carrying goods and merchandise back to their farms, this individually or cooperatively, but not for hire, shall be Class 6.</w:t>
      </w:r>
    </w:p>
    <w:p w14:paraId="780F595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Farm produce shall include, but not be limited to, fruits vegetables, livestock, fish, and shellfish.</w:t>
      </w:r>
    </w:p>
    <w:p w14:paraId="7FE246B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Those owned by persons engaged exclusively in the business of hauling milk and milk products for dairy cooperatives or any other milk plant also shall be Class 6.</w:t>
      </w:r>
    </w:p>
    <w:p w14:paraId="26C020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Apportioned Plates</w:t>
      </w:r>
    </w:p>
    <w:p w14:paraId="33A685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a vehicle has plates apportioned for Louisiana, that vehicle will be allowed to operate both interstate and intrastate in Louisiana. If a Louisiana vehicle has Louisiana apportioned plates, that vehicle may travel to other states which are members of the international registration plan or which have bilateral proportional registration reciprocity agreements with Louisiana and operate both interstate and intrastate in those states for which the vehicle is apportioned.</w:t>
      </w:r>
    </w:p>
    <w:p w14:paraId="164B01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owner of any motor vehicle having three or more axles or any vehicle which alone or in combination weighs more than 26,000 pounds when loaded may purchase apportioned plates if the owner's home state is a member of the international registration plan or has a bilateral proportional registration reciprocity agreement with Louisiana. Two-axle motor vehicles or vehicles which alone or in combination weigh 26,000 pounds or less when loaded may be proportionally registered at the option of the owner.</w:t>
      </w:r>
    </w:p>
    <w:p w14:paraId="5683FF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original cab card must accompany the vehicle for which it was issued at all times. If the card is defaced or used in any vehicle except the one described on it, it is considered void.</w:t>
      </w:r>
    </w:p>
    <w:p w14:paraId="20ECF5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Vehicles with plates apportioned for Louisiana cannot exceed the licensed weight for Louisiana shown on the cab card.</w:t>
      </w:r>
    </w:p>
    <w:p w14:paraId="3DA3D3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Temporary 48-Hour Trip Permits (Out-of-State Vehicles Only)</w:t>
      </w:r>
    </w:p>
    <w:p w14:paraId="50F0E5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Out-of-state vehicles, eligible for apportioned registration but not registered as such, will be required to purchase a 48-hour trip permit for a fee of $50 before proceeding through Louisiana. The permit allows for interstate and intrastate movement.</w:t>
      </w:r>
    </w:p>
    <w:p w14:paraId="44B011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Temporary 48-hour trip permits apply to two types of vehicles.</w:t>
      </w:r>
    </w:p>
    <w:p w14:paraId="3198716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vehicle which is properly registered in a state which belongs to the IRP (or has a bilateral proportional registration reciprocity agreement with Louisiana), but the vehicle is not apportioned for Louisiana. A temporary 48-hour trip permit is required before the vehicle may operate either interstate or intrastate in Louisiana.</w:t>
      </w:r>
    </w:p>
    <w:p w14:paraId="4042BC0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vehicle which is properly registered in a state which does not belong to the IRP (or has a bilateral proportional registration reciprocity agreement with Louisiana), but which does have a reciprocal agreement with Louisiana. A temporary 48-hour trip permit is required before the vehicle may operate intrastate in Louisiana.</w:t>
      </w:r>
    </w:p>
    <w:p w14:paraId="5B353D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temporary 48-hour trip permit allows a vehicle to operate in Louisiana for 48 continuous hours.</w:t>
      </w:r>
    </w:p>
    <w:p w14:paraId="2490BD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5FCAB9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Temporary 48-hour trip permits must be purchased prior to entering Louisiana. A driver may only purchase a temporary 48-hour permit if the vehicle or load is not in violation of any other sections of this Title.</w:t>
      </w:r>
    </w:p>
    <w:p w14:paraId="7F3EEB2F"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5.</w:t>
      </w:r>
      <w:r w:rsidRPr="006E50FF">
        <w:rPr>
          <w:kern w:val="2"/>
        </w:rPr>
        <w:tab/>
        <w:t>A temporary 48-hour trip permit must be in the cab of the vehicle for which it was issued from the time the vehicle enters Louisiana.</w:t>
      </w:r>
    </w:p>
    <w:p w14:paraId="2BD16AA7"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6.</w:t>
      </w:r>
      <w:r w:rsidRPr="006E50FF">
        <w:rPr>
          <w:kern w:val="2"/>
        </w:rPr>
        <w:tab/>
        <w:t>A temporary 48-hour trip permit will allow haulers to carry the Louisiana weight limits.</w:t>
      </w:r>
    </w:p>
    <w:p w14:paraId="1BF556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Interstate and Intrastate Operation</w:t>
      </w:r>
    </w:p>
    <w:p w14:paraId="2E107B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a vehicle or combination of vehicles is from an IRP member state (or a state which has a bilateral proportional registration reciprocity agreement with Louisiana) and the motor vehicle has three or more axles or any of the vehicles alone or the combination weighs more than 26,000 pounds, then the motor vehicle must have Louisiana plates, plates which are apportioned for Louisiana, or a temporary 48-hour trip permit in order to operate either interstate or intrastate in Louisiana.</w:t>
      </w:r>
    </w:p>
    <w:p w14:paraId="494E58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a vehicle or combination of vehicles is from a non-IRP member state (or a state which does not have a bilateral proportional registration reciprocity agreement with Louisiana), but the state has a reciprocal agreement with Louisiana, then the motor vehicle must have a temporary 48-hour trip permit in order to operate intrastate in Louisiana. If the vehicle’s home state has a reciprocal agreement with Louisiana, the vehicle or vehicle combination may operate interstate in Louisiana without purchasing a temporary 48-hour trip permit.</w:t>
      </w:r>
    </w:p>
    <w:p w14:paraId="5D92D8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state's semi-trailer or trailer license plate is honored by Louisiana if the pulling unit is properly registered and licensed.</w:t>
      </w:r>
    </w:p>
    <w:p w14:paraId="6588CB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Farm, forest product, public, or any other restricted plates are honored by Louisiana if the vehicles are properly registered and licensed in their home state and are not hauling for hire.</w:t>
      </w:r>
    </w:p>
    <w:p w14:paraId="4BEAD9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Fuel Tax. Fuel tax is collected by the Louisiana Department of Revenue and Taxation, Excise Tax Section.</w:t>
      </w:r>
    </w:p>
    <w:p w14:paraId="0BB82E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Vehicles Using Gasoline</w:t>
      </w:r>
    </w:p>
    <w:p w14:paraId="33EA00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Gasoline tax is $0.20 per gallon.</w:t>
      </w:r>
    </w:p>
    <w:p w14:paraId="33115F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Interstate users domiciled outside Louisiana may pay the fuel tax by either of two methods.</w:t>
      </w:r>
    </w:p>
    <w:p w14:paraId="3C9203FD"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If the user opts to purchase enough fuel in Louisiana to cover the miles traveled in Louisiana, then the driver must obtain fuel invoices when purchasing fuel in Louisiana. These invoices must be legitimate service station purchase invoices and must show the gallons of fuel purchased. The invoices must be kept so that they can be shown to enforcement officers.</w:t>
      </w:r>
    </w:p>
    <w:p w14:paraId="48AFDB3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the user opts to post a surety bond with the Department of Revenue and Taxation, then any additional fuel tax due can be paid on a monthly basis. If fuel has been purchased in Louisiana, drivers must have a fuel invoice in their possession when leaving Louisiana.</w:t>
      </w:r>
    </w:p>
    <w:p w14:paraId="1D7908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Vehicles Using Special Fuels</w:t>
      </w:r>
    </w:p>
    <w:p w14:paraId="474D88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Special fuels are all fuels used for motor vehicles except gasoline. Special fuels include distillate fuels, such as diesel and kerosene, and also liquefied petroleum gases, such as butane and propane.</w:t>
      </w:r>
    </w:p>
    <w:p w14:paraId="048C62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Special fuels tax is $0.20 per gallon.</w:t>
      </w:r>
    </w:p>
    <w:p w14:paraId="18AE31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users of taxable special fuels whose vehicles are licensed and domiciled in Louisiana must meet the following requirements:</w:t>
      </w:r>
    </w:p>
    <w:p w14:paraId="6DB40A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vehicles must be licensed for special fuels with the Department of Revenue and Taxation.</w:t>
      </w:r>
    </w:p>
    <w:p w14:paraId="2EF7E5E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Non-IFTA must have a current special fuels invoice in their possession at all times.</w:t>
      </w:r>
    </w:p>
    <w:p w14:paraId="773C6CC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Vehicles must have a working odometer, speedometer, or hub meter.</w:t>
      </w:r>
    </w:p>
    <w:p w14:paraId="642599D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Vehicles must have the company's name and address on both cab doors in letters at least 2 inches high or adequate identification. The name and address must be legible at a distance of 25 feet in daylight hours. </w:t>
      </w:r>
    </w:p>
    <w:p w14:paraId="118B59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 interstate user of special fuels may determine an average number of miles per gallon of fuel by dividing the total miles traveled by the number of gallons consumed in the entire operation of all their vehicles. The average number of miles per gallon shall not exceed 5 miles per gallon of fuel unless adequate proof is furnished.</w:t>
      </w:r>
    </w:p>
    <w:p w14:paraId="29EE69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 the user has no proof of the average number of miles per gallon, the secretary of the Department of Revenue and Taxation will determine the rate to be applied.</w:t>
      </w:r>
    </w:p>
    <w:p w14:paraId="3A54C4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interstate users of taxable special fuels whose vehicles are not domiciled in Louisiana must meet the following requirements:</w:t>
      </w:r>
    </w:p>
    <w:p w14:paraId="60F5FC4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Users must post a surety bond with the Department of Revenue and Taxation. Users may then file quarterly reports paying the special fuels tax based on the miles traveled in Louisiana.</w:t>
      </w:r>
    </w:p>
    <w:p w14:paraId="57DB65F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Exception. Those interstate users who only occasionally travel through Louisiana may not be required to post a surety bond with the Department of Revenue and Taxation. These users must purchase enough fuel in Louisiana to cover the miles traveled in Louisiana, and the driver must have a currently dated special fuels invoice with appropriate information listed thereon before leaving Louisiana.</w:t>
      </w:r>
    </w:p>
    <w:p w14:paraId="16E477F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Vehicles must have a working odometer, speedometer, or hub meter.</w:t>
      </w:r>
    </w:p>
    <w:p w14:paraId="55DB55DC" w14:textId="77777777" w:rsidR="006E50FF" w:rsidRPr="006E50FF" w:rsidRDefault="006E50FF" w:rsidP="006E50FF">
      <w:pPr>
        <w:tabs>
          <w:tab w:val="left" w:pos="907"/>
        </w:tabs>
        <w:ind w:firstLine="547"/>
        <w:jc w:val="both"/>
        <w:outlineLvl w:val="5"/>
        <w:rPr>
          <w:strike/>
          <w:kern w:val="2"/>
        </w:rPr>
      </w:pPr>
      <w:r w:rsidRPr="006E50FF">
        <w:rPr>
          <w:kern w:val="2"/>
        </w:rPr>
        <w:t>d.</w:t>
      </w:r>
      <w:r w:rsidRPr="006E50FF">
        <w:rPr>
          <w:kern w:val="2"/>
        </w:rPr>
        <w:tab/>
        <w:t>Vehicles must have the company's name and address on both cab doors in letters at least 2 inches high or adequate identification. The name and address must be readable at a distance of 25 feet.</w:t>
      </w:r>
    </w:p>
    <w:p w14:paraId="5A79C0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Louisiana special fuels invoice:</w:t>
      </w:r>
    </w:p>
    <w:p w14:paraId="0BEAFC1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must be serially numbered;</w:t>
      </w:r>
    </w:p>
    <w:p w14:paraId="50D50C5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must be printed or rubber-stamped with the name and address of the seller;</w:t>
      </w:r>
    </w:p>
    <w:p w14:paraId="184647B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must include name and address of the purchaser (user);</w:t>
      </w:r>
    </w:p>
    <w:p w14:paraId="5B3AB5A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must indicate date of delivery;</w:t>
      </w:r>
    </w:p>
    <w:p w14:paraId="76570CD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must show license plate number of the motor vehicle;</w:t>
      </w:r>
    </w:p>
    <w:p w14:paraId="0494CA7C"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must show mileage on the odometer, speedometer, or hub meter;</w:t>
      </w:r>
    </w:p>
    <w:p w14:paraId="5B28AF04"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must show number of gallons and kind of special fuel purchased;</w:t>
      </w:r>
    </w:p>
    <w:p w14:paraId="42CF2098"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may type, print or rubber stamp fuels invoice;</w:t>
      </w:r>
    </w:p>
    <w:p w14:paraId="1F222F87"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must indicate price of fuel showing tax paid.</w:t>
      </w:r>
    </w:p>
    <w:p w14:paraId="7D860C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January 1, 1994, Louisiana became a member of the International Fuel Tax Agreement (IFTA). IFTA is a base-state agreement designed to simplify the administration of state fuel use tax for interstate motor carriers.</w:t>
      </w:r>
    </w:p>
    <w:p w14:paraId="1A95EA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9.</w:t>
      </w:r>
      <w:r w:rsidRPr="006E50FF">
        <w:rPr>
          <w:kern w:val="2"/>
        </w:rPr>
        <w:tab/>
        <w:t>Carriers based in Louisiana that operate one or more qualified motor vehicles in at least one other IFTA state must be licensed with the Department of Revenue and Taxation. Exceptions are as follows:</w:t>
      </w:r>
    </w:p>
    <w:p w14:paraId="0447E98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option to purchase fuel covering the total miles traveled if travel is seldom in Louisiana; or</w:t>
      </w:r>
    </w:p>
    <w:p w14:paraId="55D6787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engaged in lease operations, one may be exempt from the licensing requirements of IFTA depending on the terms of the lease.</w:t>
      </w:r>
    </w:p>
    <w:p w14:paraId="1FD875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 carrier's base state is any state where the carrier meets the following requirements:</w:t>
      </w:r>
    </w:p>
    <w:p w14:paraId="4E273EC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where the carrier has qualified motor vehicles registered;</w:t>
      </w:r>
    </w:p>
    <w:p w14:paraId="529FEC0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where operational control and operational records are maintained;</w:t>
      </w:r>
    </w:p>
    <w:p w14:paraId="5C2D8D1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where motor vehicles that accrue mileage in their base state and another IFTA member state.</w:t>
      </w:r>
    </w:p>
    <w:p w14:paraId="5A89D9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In Louisiana, there is a one-time application fee of $35 and a decal fee of $1 each. The agreement requires two decals for each qualified vehicle.</w:t>
      </w:r>
    </w:p>
    <w:p w14:paraId="757988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If applicable or additional information is needed, please contact the Louisiana Department of Revenue and Taxation, Excise Tax Section.</w:t>
      </w:r>
    </w:p>
    <w:p w14:paraId="527579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Vehicles Transporting Gasoline in Bulk</w:t>
      </w:r>
    </w:p>
    <w:p w14:paraId="7FB2B6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properly identify any gasoline being imported or exported on Louisiana highways, the driver must have a currently dated invoice, bill of lading, or manifest showing the following information:</w:t>
      </w:r>
    </w:p>
    <w:p w14:paraId="0601DCD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seller's and purchaser's names and addresses;</w:t>
      </w:r>
    </w:p>
    <w:p w14:paraId="1082F23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origin and destination of the gasoline;</w:t>
      </w:r>
    </w:p>
    <w:p w14:paraId="0A92D8F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authorized routes to be followed when exporting or importing (border crossing only);</w:t>
      </w:r>
    </w:p>
    <w:p w14:paraId="3E9B0D7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quantity of each type of gasoline;</w:t>
      </w:r>
    </w:p>
    <w:p w14:paraId="5D5F9658"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who will assume the Louisiana tax liability.</w:t>
      </w:r>
    </w:p>
    <w:p w14:paraId="371796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Anyone who transports any gasoline from or into Louisiana from or into a state which has a lower tax rate than Louisiana may use only routes authorized by the secretary of the Department of Revenue and Taxation. An authorization card will be issued by the Department of Revenue and Taxation for each vehicle. This card must be kept in the vehicle and is not transferable.</w:t>
      </w:r>
    </w:p>
    <w:p w14:paraId="1EE9C9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Exception. Common or contract carriers licensed by the Interstate Commerce Commission or the Louisiana Public Service Commission.</w:t>
      </w:r>
    </w:p>
    <w:p w14:paraId="09D26C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Vehicles Transporting Special Fuels in Bulk</w:t>
      </w:r>
    </w:p>
    <w:p w14:paraId="6895C1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vehicle transporting bulk special fuels into Louisiana must belong to a supplier who is bonded with the Department of Revenue and Taxation.</w:t>
      </w:r>
    </w:p>
    <w:p w14:paraId="542FFE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Exception. Common and contract carriers who are licensed to transport bulk special fuels by the Louisiana Public Service Commission.</w:t>
      </w:r>
    </w:p>
    <w:p w14:paraId="5044E1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vehicle transporting bulk special fuels cannot have the cargo tank connected to the carburetor of the motor vehicle or to the fuel supply tank which feeds the carburetor of the motor vehicle.</w:t>
      </w:r>
    </w:p>
    <w:p w14:paraId="7D929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 xml:space="preserve">Litter. No person, firm, or corporation shall intentionally dump, leave, or deposit any glass or metallic objects, trash, refuse, or garbage on any property without permission of the owner of said property, or on any highway or roadside park, or on any lands adjacent thereto. Whoever violates the provisions in respect to private property, </w:t>
      </w:r>
      <w:r w:rsidRPr="006E50FF">
        <w:rPr>
          <w:kern w:val="2"/>
        </w:rPr>
        <w:t>highways, or roadside parks, or any lands adjacent thereto, shall be punished in accordance with the Revised Statutes.</w:t>
      </w:r>
    </w:p>
    <w:p w14:paraId="7C08E3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32:2 et seq.</w:t>
      </w:r>
    </w:p>
    <w:p w14:paraId="7C112E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20:318 (March 1994), amended LR 22:120 (February 1996); amended by the Department of Transportation and Development, Office of Operations, LR 52:</w:t>
      </w:r>
    </w:p>
    <w:p w14:paraId="3A3CE81B" w14:textId="77777777" w:rsidR="006E50FF" w:rsidRPr="006E50FF" w:rsidRDefault="006E50FF" w:rsidP="006E50FF">
      <w:pPr>
        <w:keepNext/>
        <w:jc w:val="center"/>
        <w:rPr>
          <w:b/>
          <w:kern w:val="28"/>
        </w:rPr>
      </w:pPr>
      <w:r w:rsidRPr="006E50FF">
        <w:rPr>
          <w:b/>
          <w:kern w:val="28"/>
        </w:rPr>
        <w:t>Family Impact Statement</w:t>
      </w:r>
    </w:p>
    <w:p w14:paraId="4DA11C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amendment on the family has been considered. The proposed amendments are not anticipated to have any foreseeable impact on any family as defined by R.S. 49:972(D) or on family formation, stability, and autonomy. Specifically, the implementation of the proposed amendments will have no known or foreseeable effect on:</w:t>
      </w:r>
    </w:p>
    <w:p w14:paraId="38DD27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17524A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4B08A2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254BEA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6C7294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02BD3A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3087D753" w14:textId="77777777" w:rsidR="006E50FF" w:rsidRPr="006E50FF" w:rsidRDefault="006E50FF" w:rsidP="006E50FF">
      <w:pPr>
        <w:keepNext/>
        <w:jc w:val="center"/>
        <w:rPr>
          <w:b/>
          <w:kern w:val="28"/>
        </w:rPr>
      </w:pPr>
      <w:r w:rsidRPr="006E50FF">
        <w:rPr>
          <w:b/>
          <w:kern w:val="28"/>
        </w:rPr>
        <w:t>Poverty Impact Statement</w:t>
      </w:r>
    </w:p>
    <w:p w14:paraId="665C56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7F81C5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30747D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will have no known or foreseeable adverse effect on household income, assets, and financial security.</w:t>
      </w:r>
    </w:p>
    <w:p w14:paraId="7FEE0B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will have no known or foreseeable adverse effect on early childhood development and preschool through postsecondary education development.</w:t>
      </w:r>
    </w:p>
    <w:p w14:paraId="6A2EB0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will have no known or foreseeable adverse effect on employment and workforce development.</w:t>
      </w:r>
    </w:p>
    <w:p w14:paraId="1C29CC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0AA374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3BBECE69" w14:textId="77777777" w:rsidR="006E50FF" w:rsidRPr="006E50FF" w:rsidRDefault="006E50FF" w:rsidP="006E50FF">
      <w:pPr>
        <w:keepNext/>
        <w:jc w:val="center"/>
        <w:rPr>
          <w:b/>
          <w:kern w:val="28"/>
        </w:rPr>
      </w:pPr>
      <w:r w:rsidRPr="006E50FF">
        <w:rPr>
          <w:b/>
          <w:kern w:val="28"/>
        </w:rPr>
        <w:t>Small Business Analysis</w:t>
      </w:r>
    </w:p>
    <w:p w14:paraId="22015E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298A6BE3" w14:textId="77777777" w:rsidR="006E50FF" w:rsidRPr="006E50FF" w:rsidRDefault="006E50FF" w:rsidP="006E50FF">
      <w:pPr>
        <w:keepNext/>
        <w:jc w:val="center"/>
        <w:rPr>
          <w:b/>
          <w:kern w:val="28"/>
        </w:rPr>
      </w:pPr>
      <w:r w:rsidRPr="006E50FF">
        <w:rPr>
          <w:b/>
          <w:kern w:val="28"/>
        </w:rPr>
        <w:t>Provider Impact Statement</w:t>
      </w:r>
    </w:p>
    <w:p w14:paraId="3E59AF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w:t>
      </w:r>
      <w:r w:rsidRPr="006E50FF">
        <w:rPr>
          <w:kern w:val="2"/>
        </w:rPr>
        <w:lastRenderedPageBreak/>
        <w:t>House Concurrent Resolution No. 170 of the 2014 Regular Session of the Louisiana State Legislature.</w:t>
      </w:r>
    </w:p>
    <w:p w14:paraId="11B7E2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5675E6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042829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13C9F7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462C3026" w14:textId="77777777" w:rsidR="006E50FF" w:rsidRPr="006E50FF" w:rsidRDefault="006E50FF" w:rsidP="006E50FF">
      <w:pPr>
        <w:keepNext/>
        <w:jc w:val="center"/>
        <w:rPr>
          <w:b/>
          <w:kern w:val="28"/>
        </w:rPr>
      </w:pPr>
      <w:r w:rsidRPr="006E50FF">
        <w:rPr>
          <w:b/>
          <w:kern w:val="28"/>
        </w:rPr>
        <w:t>Public Comments</w:t>
      </w:r>
    </w:p>
    <w:p w14:paraId="284008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3BA283B9" w14:textId="77777777" w:rsidR="006E50FF" w:rsidRPr="006E50FF" w:rsidRDefault="006E50FF" w:rsidP="006E50FF">
      <w:pPr>
        <w:keepNext/>
        <w:jc w:val="center"/>
        <w:rPr>
          <w:b/>
          <w:kern w:val="28"/>
        </w:rPr>
      </w:pPr>
      <w:r w:rsidRPr="006E50FF">
        <w:rPr>
          <w:b/>
          <w:kern w:val="28"/>
        </w:rPr>
        <w:t>Public Hearing</w:t>
      </w:r>
    </w:p>
    <w:p w14:paraId="64A429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9:30 a.m. on October 28,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08C881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F250BB8" w14:textId="77777777" w:rsidR="006E50FF" w:rsidRPr="006E50FF" w:rsidRDefault="006E50FF" w:rsidP="006E50FF">
      <w:pPr>
        <w:keepNext/>
        <w:ind w:left="2160"/>
        <w:jc w:val="both"/>
      </w:pPr>
      <w:r w:rsidRPr="006E50FF">
        <w:t>Glenn Ledet, Jr.</w:t>
      </w:r>
    </w:p>
    <w:p w14:paraId="1B3F5B33" w14:textId="77777777" w:rsidR="006E50FF" w:rsidRPr="006E50FF" w:rsidRDefault="006E50FF" w:rsidP="006E50FF">
      <w:pPr>
        <w:keepNext/>
        <w:ind w:left="2160"/>
        <w:jc w:val="both"/>
      </w:pPr>
      <w:r w:rsidRPr="006E50FF">
        <w:t>Secretary</w:t>
      </w:r>
    </w:p>
    <w:p w14:paraId="689A86B2" w14:textId="77777777" w:rsidR="006E50FF" w:rsidRPr="006E50FF" w:rsidRDefault="006E50FF" w:rsidP="006E50FF">
      <w:pPr>
        <w:keepNext/>
        <w:jc w:val="center"/>
        <w:rPr>
          <w:b/>
        </w:rPr>
      </w:pPr>
    </w:p>
    <w:p w14:paraId="0B2E4C55" w14:textId="77777777" w:rsidR="006E50FF" w:rsidRPr="006E50FF" w:rsidRDefault="006E50FF" w:rsidP="006E50FF">
      <w:pPr>
        <w:keepNext/>
        <w:jc w:val="center"/>
        <w:rPr>
          <w:b/>
        </w:rPr>
      </w:pPr>
      <w:r w:rsidRPr="006E50FF">
        <w:rPr>
          <w:b/>
        </w:rPr>
        <w:t>FISCAL AND ECONOMIC IMPACT STATEMENT FOR ADMINISTRATIVE RULES</w:t>
      </w:r>
    </w:p>
    <w:p w14:paraId="0A33216A" w14:textId="77777777" w:rsidR="006E50FF" w:rsidRPr="006E50FF" w:rsidRDefault="006E50FF" w:rsidP="006E50FF">
      <w:pPr>
        <w:keepNext/>
        <w:jc w:val="center"/>
        <w:rPr>
          <w:b/>
          <w:noProof/>
        </w:rPr>
      </w:pPr>
      <w:r w:rsidRPr="006E50FF">
        <w:rPr>
          <w:b/>
          <w:noProof/>
        </w:rPr>
        <w:t>RULE TITLE:  Laws and Regulations Enforced with Other Agencies</w:t>
      </w:r>
    </w:p>
    <w:p w14:paraId="66958C6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237AA9A"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7C989A5A" w14:textId="77777777" w:rsidR="006E50FF" w:rsidRPr="006E50FF" w:rsidRDefault="006E50FF" w:rsidP="006E50FF">
      <w:pPr>
        <w:ind w:left="288" w:firstLine="288"/>
        <w:jc w:val="both"/>
        <w:rPr>
          <w:noProof/>
          <w:sz w:val="18"/>
        </w:rPr>
      </w:pPr>
      <w:r w:rsidRPr="006E50FF">
        <w:rPr>
          <w:noProof/>
          <w:sz w:val="18"/>
        </w:rPr>
        <w:t xml:space="preserve">The proposed rule changes are anticipated to have no implementation costs or savings to state or local governmental units. </w:t>
      </w:r>
    </w:p>
    <w:p w14:paraId="056668AF" w14:textId="77777777" w:rsidR="006E50FF" w:rsidRPr="006E50FF" w:rsidRDefault="006E50FF" w:rsidP="006E50FF">
      <w:pPr>
        <w:ind w:left="288" w:firstLine="288"/>
        <w:jc w:val="both"/>
        <w:rPr>
          <w:noProof/>
          <w:sz w:val="18"/>
        </w:rPr>
      </w:pPr>
      <w:r w:rsidRPr="006E50FF">
        <w:rPr>
          <w:noProof/>
          <w:sz w:val="18"/>
        </w:rPr>
        <w:t>The proposed rule changes amend LAC 73:I.Chapter 9, which sets out the motor vehicle registration, licensing, fuel tax, and highway use requirements that the Department of Transportation and Development’s (DOTD) weights and standards police enforce on Louisiana highways in coordination with other agencies. The changes include:</w:t>
      </w:r>
    </w:p>
    <w:p w14:paraId="44CAA9F6" w14:textId="77777777" w:rsidR="006E50FF" w:rsidRPr="006E50FF" w:rsidRDefault="006E50FF" w:rsidP="006E50FF">
      <w:pPr>
        <w:tabs>
          <w:tab w:val="left" w:pos="990"/>
        </w:tabs>
        <w:ind w:left="288" w:firstLine="288"/>
        <w:jc w:val="both"/>
        <w:rPr>
          <w:noProof/>
          <w:sz w:val="18"/>
        </w:rPr>
      </w:pPr>
      <w:r w:rsidRPr="006E50FF">
        <w:rPr>
          <w:noProof/>
          <w:sz w:val="18"/>
        </w:rPr>
        <w:br w:type="column"/>
      </w:r>
      <w:r w:rsidRPr="006E50FF">
        <w:rPr>
          <w:noProof/>
          <w:sz w:val="18"/>
        </w:rPr>
        <w:t>(1)</w:t>
      </w:r>
      <w:r w:rsidRPr="006E50FF">
        <w:rPr>
          <w:noProof/>
          <w:sz w:val="18"/>
        </w:rPr>
        <w:tab/>
        <w:t>Revise the temporary 48-hour trip permit fee stated in Section 901.E.1 from $25 to $50 to conform the rule to the fee established by R.S. 47:511.1(A);</w:t>
      </w:r>
    </w:p>
    <w:p w14:paraId="2DE71889" w14:textId="77777777" w:rsidR="006E50FF" w:rsidRPr="006E50FF" w:rsidRDefault="006E50FF" w:rsidP="006E50FF">
      <w:pPr>
        <w:tabs>
          <w:tab w:val="left" w:pos="990"/>
        </w:tabs>
        <w:ind w:left="288" w:firstLine="288"/>
        <w:jc w:val="both"/>
        <w:rPr>
          <w:noProof/>
          <w:sz w:val="18"/>
        </w:rPr>
      </w:pPr>
      <w:r w:rsidRPr="006E50FF">
        <w:rPr>
          <w:noProof/>
          <w:sz w:val="18"/>
        </w:rPr>
        <w:t>(2)</w:t>
      </w:r>
      <w:r w:rsidRPr="006E50FF">
        <w:rPr>
          <w:noProof/>
          <w:sz w:val="18"/>
        </w:rPr>
        <w:tab/>
        <w:t>Require temporary 48-hour trip permits to be purchased prior to entering Louisiana, rather than as a courtesy at enforcement units after entry;</w:t>
      </w:r>
    </w:p>
    <w:p w14:paraId="15A51544" w14:textId="77777777" w:rsidR="006E50FF" w:rsidRPr="006E50FF" w:rsidRDefault="006E50FF" w:rsidP="006E50FF">
      <w:pPr>
        <w:tabs>
          <w:tab w:val="left" w:pos="990"/>
        </w:tabs>
        <w:ind w:left="288" w:firstLine="288"/>
        <w:jc w:val="both"/>
        <w:rPr>
          <w:noProof/>
          <w:sz w:val="18"/>
        </w:rPr>
      </w:pPr>
      <w:r w:rsidRPr="006E50FF">
        <w:rPr>
          <w:noProof/>
          <w:sz w:val="18"/>
        </w:rPr>
        <w:t>(3)</w:t>
      </w:r>
      <w:r w:rsidRPr="006E50FF">
        <w:rPr>
          <w:noProof/>
          <w:sz w:val="18"/>
        </w:rPr>
        <w:tab/>
        <w:t>Delete obsolete provisions, including the list of International Registration Plan (IRP) member states, the list of reciprocal-agreement states and provinces, the wire-service vendor listings and telephone numbers, the escort vehicle commercial plate provision, and the controlled access highway subsection;</w:t>
      </w:r>
    </w:p>
    <w:p w14:paraId="792D8ED7" w14:textId="77777777" w:rsidR="006E50FF" w:rsidRPr="006E50FF" w:rsidRDefault="006E50FF" w:rsidP="006E50FF">
      <w:pPr>
        <w:tabs>
          <w:tab w:val="left" w:pos="990"/>
        </w:tabs>
        <w:ind w:left="288" w:firstLine="288"/>
        <w:jc w:val="both"/>
        <w:rPr>
          <w:noProof/>
          <w:sz w:val="18"/>
        </w:rPr>
      </w:pPr>
      <w:r w:rsidRPr="006E50FF">
        <w:rPr>
          <w:noProof/>
          <w:sz w:val="18"/>
        </w:rPr>
        <w:t>(4)</w:t>
      </w:r>
      <w:r w:rsidRPr="006E50FF">
        <w:rPr>
          <w:noProof/>
          <w:sz w:val="18"/>
        </w:rPr>
        <w:tab/>
        <w:t>Remove outdated agency mailing addresses and telephone numbers;</w:t>
      </w:r>
    </w:p>
    <w:p w14:paraId="63CDD6B3" w14:textId="77777777" w:rsidR="006E50FF" w:rsidRPr="006E50FF" w:rsidRDefault="006E50FF" w:rsidP="006E50FF">
      <w:pPr>
        <w:tabs>
          <w:tab w:val="left" w:pos="990"/>
        </w:tabs>
        <w:ind w:left="288" w:firstLine="288"/>
        <w:jc w:val="both"/>
        <w:rPr>
          <w:noProof/>
          <w:sz w:val="18"/>
        </w:rPr>
      </w:pPr>
      <w:r w:rsidRPr="006E50FF">
        <w:rPr>
          <w:noProof/>
          <w:sz w:val="18"/>
        </w:rPr>
        <w:t>(5)</w:t>
      </w:r>
      <w:r w:rsidRPr="006E50FF">
        <w:rPr>
          <w:noProof/>
          <w:sz w:val="18"/>
        </w:rPr>
        <w:tab/>
        <w:t>Replace the term "mobile home" with "manufactured home"; and</w:t>
      </w:r>
    </w:p>
    <w:p w14:paraId="6AB26FF6" w14:textId="77777777" w:rsidR="006E50FF" w:rsidRPr="006E50FF" w:rsidRDefault="006E50FF" w:rsidP="006E50FF">
      <w:pPr>
        <w:tabs>
          <w:tab w:val="left" w:pos="990"/>
        </w:tabs>
        <w:ind w:left="288" w:firstLine="288"/>
        <w:jc w:val="both"/>
        <w:rPr>
          <w:sz w:val="18"/>
        </w:rPr>
      </w:pPr>
      <w:r w:rsidRPr="006E50FF">
        <w:rPr>
          <w:sz w:val="18"/>
        </w:rPr>
        <w:t>(6)</w:t>
      </w:r>
      <w:r w:rsidRPr="006E50FF">
        <w:rPr>
          <w:sz w:val="18"/>
        </w:rPr>
        <w:tab/>
      </w:r>
      <w:r w:rsidRPr="006E50FF">
        <w:rPr>
          <w:noProof/>
          <w:sz w:val="18"/>
        </w:rPr>
        <w:t>Rewrite</w:t>
      </w:r>
      <w:r w:rsidRPr="006E50FF">
        <w:rPr>
          <w:sz w:val="18"/>
        </w:rPr>
        <w:t xml:space="preserve"> provisions in plain language for public understanding.</w:t>
      </w:r>
    </w:p>
    <w:p w14:paraId="5A7E0F8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1267BBF" w14:textId="77777777" w:rsidR="006E50FF" w:rsidRPr="006E50FF" w:rsidRDefault="006E50FF" w:rsidP="006E50FF">
      <w:pPr>
        <w:ind w:left="288" w:firstLine="288"/>
        <w:jc w:val="both"/>
        <w:rPr>
          <w:sz w:val="18"/>
        </w:rPr>
      </w:pPr>
      <w:r w:rsidRPr="006E50FF">
        <w:rPr>
          <w:sz w:val="18"/>
        </w:rPr>
        <w:t>The proposed rule changes are anticipated to have no effect on revenue collections of state or local governmental units. The proposed change to Section 901.E.1 updates the stated temporary 48-hour trip permit fee from $25 to $50 to match current practices. The Legislature increased this fee from $25 to $50 in Acts 728 of the 2006 RS, which amended and reenacted R.S. 47:511.1(A), and the Department of Transportation and Development (DOTD) has collected the fee at the statutory $50 rate since that Act took effect. The proposed rule change corrects the outdated amount in the rule text so that the regulation conforms to the fee already established and collected under R.S. 47:511.1(A).</w:t>
      </w:r>
    </w:p>
    <w:p w14:paraId="2C660FBA"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2761508" w14:textId="77777777" w:rsidR="006E50FF" w:rsidRPr="006E50FF" w:rsidRDefault="006E50FF" w:rsidP="006E50FF">
      <w:pPr>
        <w:ind w:left="288" w:firstLine="288"/>
        <w:jc w:val="both"/>
        <w:rPr>
          <w:sz w:val="18"/>
        </w:rPr>
      </w:pPr>
      <w:r w:rsidRPr="006E50FF">
        <w:rPr>
          <w:sz w:val="18"/>
        </w:rPr>
        <w:t>There is no anticipated cost or economic benefit for motor carriers, commercial vehicle owners and operators, and escort vehicle companies subject to the registration, licensing, fuel tax, and highway use requirements enforced by DOTD. No new costs are imposed on these persons, small businesses, or non-governmental groups. The temporary 48-hour trip permit fee stated in Section 901.E.1 is unchanged from the amount already required by R.S. 47:511.1(A) and already paid by affected carriers. The remaining proposed changes delete obsolete provisions, remove outdated addresses, telephone numbers, and wire-service listings, replace the term "mobile home" with "manufactured home," and rewrite provisions in plain language consistent with the Plain Writing Act of 2010 (Public Law 111-274). Affected persons may receive a non-quantifiable benefit from clearer, more accurate rule text, which reduces the time and effort required to determine their compliance obligations.</w:t>
      </w:r>
    </w:p>
    <w:p w14:paraId="6711B22A"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CECE26E" w14:textId="77777777" w:rsidR="006E50FF" w:rsidRPr="006E50FF" w:rsidRDefault="006E50FF" w:rsidP="006E50FF">
      <w:pPr>
        <w:ind w:left="288" w:firstLine="288"/>
        <w:jc w:val="both"/>
        <w:rPr>
          <w:sz w:val="18"/>
        </w:rPr>
      </w:pPr>
      <w:r w:rsidRPr="006E50FF">
        <w:rPr>
          <w:sz w:val="18"/>
        </w:rPr>
        <w:t>The proposed rule changes are anticipated to have no effect on competition or employment in either the public or private sector.</w:t>
      </w:r>
    </w:p>
    <w:p w14:paraId="16B76264" w14:textId="77777777" w:rsidR="006E50FF" w:rsidRPr="006E50FF" w:rsidRDefault="006E50FF" w:rsidP="006E50FF">
      <w:pPr>
        <w:ind w:left="288" w:firstLine="288"/>
        <w:jc w:val="both"/>
        <w:rPr>
          <w:sz w:val="18"/>
        </w:rPr>
      </w:pPr>
    </w:p>
    <w:p w14:paraId="1446544C"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691CA366"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0AB57E50" w14:textId="77777777" w:rsidR="006E50FF" w:rsidRPr="006E50FF" w:rsidRDefault="006E50FF" w:rsidP="006E50FF">
      <w:pPr>
        <w:tabs>
          <w:tab w:val="left" w:pos="2880"/>
          <w:tab w:val="decimal" w:pos="2988"/>
        </w:tabs>
        <w:outlineLvl w:val="8"/>
        <w:rPr>
          <w:kern w:val="2"/>
          <w:sz w:val="18"/>
        </w:rPr>
      </w:pPr>
      <w:r w:rsidRPr="006E50FF">
        <w:rPr>
          <w:noProof/>
          <w:sz w:val="16"/>
        </w:rPr>
        <w:t>2609#064</w:t>
      </w:r>
      <w:r w:rsidRPr="006E50FF">
        <w:rPr>
          <w:kern w:val="2"/>
        </w:rPr>
        <w:tab/>
      </w:r>
      <w:r w:rsidRPr="006E50FF">
        <w:rPr>
          <w:kern w:val="2"/>
          <w:sz w:val="18"/>
        </w:rPr>
        <w:t>Legislative Fiscal Office</w:t>
      </w:r>
    </w:p>
    <w:p w14:paraId="6FBB7902" w14:textId="77777777" w:rsidR="006E50FF" w:rsidRPr="006E50FF" w:rsidRDefault="006E50FF" w:rsidP="006E50FF"/>
    <w:p w14:paraId="061E398A"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509227B1" w14:textId="77777777" w:rsidR="006E50FF" w:rsidRPr="006E50FF" w:rsidRDefault="006E50FF" w:rsidP="006E50FF">
      <w:pPr>
        <w:keepNext/>
        <w:jc w:val="center"/>
        <w:rPr>
          <w:b/>
          <w:noProof/>
        </w:rPr>
      </w:pPr>
      <w:r w:rsidRPr="006E50FF">
        <w:rPr>
          <w:b/>
          <w:noProof/>
        </w:rPr>
        <w:t>Department of Transportation and Development</w:t>
      </w:r>
    </w:p>
    <w:p w14:paraId="120992DC" w14:textId="77777777" w:rsidR="006E50FF" w:rsidRPr="006E50FF" w:rsidRDefault="006E50FF" w:rsidP="006E50FF">
      <w:pPr>
        <w:keepNext/>
        <w:jc w:val="center"/>
        <w:rPr>
          <w:b/>
          <w:noProof/>
        </w:rPr>
      </w:pPr>
      <w:r w:rsidRPr="006E50FF">
        <w:rPr>
          <w:b/>
          <w:noProof/>
        </w:rPr>
        <w:t>Office of Project Delivery</w:t>
      </w:r>
    </w:p>
    <w:p w14:paraId="1453C86F" w14:textId="77777777" w:rsidR="006E50FF" w:rsidRPr="006E50FF" w:rsidRDefault="006E50FF" w:rsidP="006E50FF">
      <w:pPr>
        <w:keepNext/>
        <w:spacing w:before="240" w:after="240"/>
        <w:jc w:val="center"/>
        <w:rPr>
          <w:noProof/>
        </w:rPr>
      </w:pPr>
      <w:r w:rsidRPr="006E50FF">
        <w:rPr>
          <w:noProof/>
        </w:rPr>
        <w:t xml:space="preserve">Department Relocation of Publicly Owned or </w:t>
      </w:r>
      <w:r w:rsidRPr="006E50FF">
        <w:rPr>
          <w:noProof/>
        </w:rPr>
        <w:br/>
        <w:t>Non-Profit Utilities (LAC 70:II.Chapter 3)</w:t>
      </w:r>
    </w:p>
    <w:p w14:paraId="6D3CFAE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Notice is hereby given in accordance with the provisions of the Administrative Procedure Act, R.S. 49:950, et seq., and R.S. 48:381(C), and through the authority granted in R.S. 36:504, that the Department of Transportation and Development proposes to amend LAC 70: II. Chapter 3, Department Relocation of Publicly Owned or Non-Profit Utilities, Part II, Utilities, which governs the Department’s relocation of publicly owned or non-profit utilities and the provision of Utility Relocation Assistance Funding (URAF) when such utility is financially unable to bear its share of the cost of adjusting its facilities to accommodate a state highway project, including the financial information and certification an applicant utility must submit and the conditions under which the department may contract for the relocation work. The proposed amendments simplify these rules to comply with Plain Writing Act of 2010 (Public Law 111-274) for public understanding and clarify to remove unnecessary and obsolete regulations.</w:t>
      </w:r>
    </w:p>
    <w:p w14:paraId="57715830" w14:textId="77777777" w:rsidR="006E50FF" w:rsidRPr="006E50FF" w:rsidRDefault="006E50FF" w:rsidP="006E50FF">
      <w:pPr>
        <w:keepNext/>
        <w:jc w:val="center"/>
        <w:rPr>
          <w:b/>
          <w:kern w:val="28"/>
        </w:rPr>
      </w:pPr>
      <w:r w:rsidRPr="006E50FF">
        <w:rPr>
          <w:b/>
          <w:kern w:val="28"/>
        </w:rPr>
        <w:t>Title 70</w:t>
      </w:r>
    </w:p>
    <w:p w14:paraId="32510A2C" w14:textId="77777777" w:rsidR="006E50FF" w:rsidRPr="006E50FF" w:rsidRDefault="006E50FF" w:rsidP="006E50FF">
      <w:pPr>
        <w:keepNext/>
        <w:jc w:val="center"/>
        <w:rPr>
          <w:b/>
          <w:kern w:val="28"/>
        </w:rPr>
      </w:pPr>
      <w:r w:rsidRPr="006E50FF">
        <w:rPr>
          <w:b/>
          <w:kern w:val="28"/>
        </w:rPr>
        <w:t>TRANSPORTATION AND DEVELOPMENT</w:t>
      </w:r>
    </w:p>
    <w:p w14:paraId="6A000091" w14:textId="77777777" w:rsidR="006E50FF" w:rsidRPr="006E50FF" w:rsidRDefault="006E50FF" w:rsidP="006E50FF">
      <w:pPr>
        <w:keepNext/>
        <w:jc w:val="center"/>
        <w:rPr>
          <w:b/>
          <w:noProof/>
        </w:rPr>
      </w:pPr>
      <w:r w:rsidRPr="006E50FF">
        <w:rPr>
          <w:b/>
          <w:noProof/>
        </w:rPr>
        <w:t>Part II.  Utilities</w:t>
      </w:r>
    </w:p>
    <w:p w14:paraId="1D22989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77" w:name="TOC_Chap21"/>
      <w:bookmarkStart w:id="778" w:name="_Toc180825064"/>
      <w:bookmarkStart w:id="779" w:name="_Toc224890174"/>
      <w:r w:rsidRPr="006E50FF">
        <w:rPr>
          <w:b/>
          <w:kern w:val="2"/>
        </w:rPr>
        <w:t>Chapter 3.</w:t>
      </w:r>
      <w:bookmarkEnd w:id="777"/>
      <w:bookmarkEnd w:id="778"/>
      <w:r w:rsidRPr="006E50FF">
        <w:rPr>
          <w:b/>
          <w:kern w:val="2"/>
        </w:rPr>
        <w:tab/>
        <w:t>Department Relocation of Publicly Owned or Non-Profit Utilities</w:t>
      </w:r>
      <w:bookmarkEnd w:id="779"/>
    </w:p>
    <w:p w14:paraId="534396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0" w:name="_Toc180825065"/>
      <w:bookmarkStart w:id="781" w:name="_Toc224890175"/>
      <w:r w:rsidRPr="006E50FF">
        <w:rPr>
          <w:b/>
          <w:kern w:val="2"/>
        </w:rPr>
        <w:t>§301.</w:t>
      </w:r>
      <w:r w:rsidRPr="006E50FF">
        <w:rPr>
          <w:b/>
          <w:kern w:val="2"/>
        </w:rPr>
        <w:tab/>
      </w:r>
      <w:bookmarkEnd w:id="780"/>
      <w:r w:rsidRPr="006E50FF">
        <w:rPr>
          <w:b/>
          <w:kern w:val="2"/>
        </w:rPr>
        <w:t>Utility Relocation Assistance Funding</w:t>
      </w:r>
      <w:bookmarkEnd w:id="781"/>
    </w:p>
    <w:p w14:paraId="62F6F2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department shall pay to remove or relocate a utility installation when all of the following are true:</w:t>
      </w:r>
    </w:p>
    <w:p w14:paraId="36C62D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utility installation is located on a state-owned right-of-way.</w:t>
      </w:r>
    </w:p>
    <w:p w14:paraId="6BBE18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utility installation is owned by a public municipality, parish or special district created by or pursuant to law or a non-profit water corporation or non-profit gas district.</w:t>
      </w:r>
    </w:p>
    <w:p w14:paraId="76BA80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removal or relocation is necessary for the construction, repair, widening, relocation, or improvement of a state or an interstate highway.</w:t>
      </w:r>
    </w:p>
    <w:p w14:paraId="6BD351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Federal aid funds are available to reimburse the department for all costs it incurs in removing or relocating the utility installation.</w:t>
      </w:r>
    </w:p>
    <w:p w14:paraId="24E992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department may contract itself, or through a separate public works contract, to complete the removal or relocation of a utility installation when all of the following are true:</w:t>
      </w:r>
    </w:p>
    <w:p w14:paraId="2F98E4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owner of the utility installation is a municipality, a parish, a special district created by or pursuant to law, a non-profit water corporation, or a non-profit gas district.</w:t>
      </w:r>
    </w:p>
    <w:p w14:paraId="1781A4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removal or relocation is necessary for the construction, repair, widening, relocation, or improvement of a state highway or an interstate highway.</w:t>
      </w:r>
    </w:p>
    <w:p w14:paraId="639301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owner of the utility is financially unable to pay its share of the cost of the removal or relocation.</w:t>
      </w:r>
    </w:p>
    <w:p w14:paraId="19A9A5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After an examination of the owner of the utility’s financial accounts, a public accountant, the department, or the owner’s certified public accountant certifies that insufficient unencumbered funds are available to pay for the removal or relocation.</w:t>
      </w:r>
    </w:p>
    <w:p w14:paraId="1C30E5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owner of the utility installation agrees in writing, prior to the relocation of the utility installation, to allow the department, its contractor, or employees or agents thereof to modify the utility installation as part of the department’s construction project.</w:t>
      </w:r>
    </w:p>
    <w:p w14:paraId="1AE49C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owner of the utility installation agrees in writing, prior to the relocation of the utility installation, to accept ownership and maintenance of any utility installations newly constructed or modified as part of the department’s construction project, upon final acceptance of such construction project by the department.</w:t>
      </w:r>
    </w:p>
    <w:p w14:paraId="4F4E57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Procedure</w:t>
      </w:r>
    </w:p>
    <w:p w14:paraId="0B8CFA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utility owner shall inform the appropriate district personnel, in writing that it is not financially able to pay the cost of removing or relocating its facilities and requests assistance.</w:t>
      </w:r>
    </w:p>
    <w:p w14:paraId="3A616C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headquarters utility and permit engineer shall request the Department of Transportation and Development Audit Section to do an examination of the utility owner’s financial records to determine the utility owner’s eligibility for assistance. A public accountant, the department, or the utility owner’s certified public accountant may perform the examination. </w:t>
      </w:r>
    </w:p>
    <w:p w14:paraId="468CA2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DOTD’s Audit Section examines the utility owner’s records and informs appropriate department personnel of the utility owner’s eligibility for assistance.</w:t>
      </w:r>
    </w:p>
    <w:p w14:paraId="1C3E0C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federal aid is anticipated for the project, the Federal Highway Administration is advised when URAF funds are approved for federal aid projects.</w:t>
      </w:r>
    </w:p>
    <w:p w14:paraId="13848C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 the utility is eligible for assistance, agreements are executed between the owner of the utility and the department as necessary to facilitate the utility relocation.</w:t>
      </w:r>
    </w:p>
    <w:p w14:paraId="5F20B7C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6.</w:t>
      </w:r>
      <w:r w:rsidRPr="006E50FF">
        <w:rPr>
          <w:kern w:val="2"/>
        </w:rPr>
        <w:tab/>
        <w:t>If the utility owner does not qualify for assistance, the utility owner may request a second certification review. The department, at its sole discretion, will determine if a second certification review will be granted. The request for the second review should be addressed to the appropriate district utility specialist.</w:t>
      </w:r>
    </w:p>
    <w:p w14:paraId="0536EA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After the final amount of assistance is determined, the department shall bill utility owner in that amount.</w:t>
      </w:r>
    </w:p>
    <w:p w14:paraId="26DB1D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Issuance of permits to the utility may remain suspended until the department notifies the utility and permit section that the utility owner has repaid the full amount to the department. The utility owner may repay this amount in the following ways:</w:t>
      </w:r>
    </w:p>
    <w:p w14:paraId="3EF96696"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as a lump sum;</w:t>
      </w:r>
    </w:p>
    <w:p w14:paraId="00E15C0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 partial amounts;</w:t>
      </w:r>
    </w:p>
    <w:p w14:paraId="6094B36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at the discretion of the department, an exchange for goods and/or services; </w:t>
      </w:r>
    </w:p>
    <w:p w14:paraId="43B3C3C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or in any combination thereof. </w:t>
      </w:r>
    </w:p>
    <w:p w14:paraId="626B49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The department shall make all necessary notifications of any payments as soon as they are received. The department shall also credit the Federal Highway Administration, at its participating percentage, for any funds that are repaid. </w:t>
      </w:r>
    </w:p>
    <w:p w14:paraId="48F6EA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Issuance of Permits</w:t>
      </w:r>
    </w:p>
    <w:p w14:paraId="4387BE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General issuance of permits may resume if the utility shows a good faith effort to repay this debt by making annual payments to the department of 5 percent of its gross income, or 10 percent of its outstanding URAF debt. The first payment must be made within one year of the date of invoicing of the utility owner by the department, and issuance of permits shall </w:t>
      </w:r>
      <w:r w:rsidRPr="006E50FF">
        <w:rPr>
          <w:kern w:val="2"/>
        </w:rPr>
        <w:lastRenderedPageBreak/>
        <w:t xml:space="preserve">remain suspended until the first payment is made. The utility owner’s payments shall be due by January 15 of each year. The department may suspend issuance of permits to any utility that fails to submit payment by this date. Partial payments may be accepted as payment toward the total debt; however, issuance of permits may be suspended when a utility fails to make the required minimum payment. </w:t>
      </w:r>
    </w:p>
    <w:p w14:paraId="49B094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Exceptions. Since these options were not available prior to the promulgation of these rules, issuance of permits to utilities that have URAF agreements that were executed prior to January 1, 1993, may resume, if the utility begins to show a good faith effort to repay this debt, by making annual payments to DOTD of 5 percent of its gross income, or 10 percent of its outstanding URAF debt, by January 15, 1995. When issuance of permits is suspended because the utility failed to make the required minimum payment by the specified deadline, issuance may resume after the utility makes the minimum required payments on time for a period of three consecutive years, or by making a lump sum payment of 25 percent of the total remaining URAF funds owed to DOTD.</w:t>
      </w:r>
    </w:p>
    <w:p w14:paraId="164173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When in the best interest of the public, specific permits may be issued to utilities, without removing the general suspension, under the following circumstances:</w:t>
      </w:r>
    </w:p>
    <w:p w14:paraId="67F0E9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eminent danger to the public or to the highway as the result of a damaged or faulty facility that is located within highway right-of-way, such as:</w:t>
      </w:r>
    </w:p>
    <w:p w14:paraId="203C8FE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leaking water or sewer line that is eroding the right-of-way;</w:t>
      </w:r>
    </w:p>
    <w:p w14:paraId="4E68736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leaking or exposed gas line, at Department of Transportation and Development discretion, these facilities may be repaired or replaced with a similar facility of equal capacity;</w:t>
      </w:r>
    </w:p>
    <w:p w14:paraId="1820B10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insufficient right-of-way available to place distribution lines to serve properties adjacent to the highway. This may occur in highly urbanized areas where there is no room to place utilities between the edge of the highway right-of-way and an adjacent structure, and the adjacent property cannot be accessed through an alternate route. If the physical space is available, the utility shall use its expropriation rights to secure the necessary right-of-way for its facilities.</w:t>
      </w:r>
    </w:p>
    <w:p w14:paraId="393530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This section applies to any and all qualifying utility relocations resulting from projects that receive federal or other required authorization after the effective date of this rule. Relocations resulting from projects authorized prior to that effective date remain governed by the rules in effect at the time of authorization.</w:t>
      </w:r>
    </w:p>
    <w:p w14:paraId="4883B4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48:381(C).</w:t>
      </w:r>
    </w:p>
    <w:p w14:paraId="7F9F70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Engineering, LR 18:1415 (December 1992), amended by the Department of Transportation and Development, Office of Project Delivery, LR 52:</w:t>
      </w:r>
    </w:p>
    <w:p w14:paraId="229988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2" w:name="_Toc180825066"/>
      <w:bookmarkStart w:id="783" w:name="_Toc224890176"/>
      <w:r w:rsidRPr="006E50FF">
        <w:rPr>
          <w:b/>
          <w:kern w:val="2"/>
        </w:rPr>
        <w:t>§303.</w:t>
      </w:r>
      <w:r w:rsidRPr="006E50FF">
        <w:rPr>
          <w:b/>
          <w:kern w:val="2"/>
        </w:rPr>
        <w:tab/>
        <w:t>Additional Information to be Supplied by Applicants for Utility Relocation Assistance Funding (URAF)</w:t>
      </w:r>
      <w:bookmarkEnd w:id="782"/>
      <w:bookmarkEnd w:id="783"/>
    </w:p>
    <w:p w14:paraId="771457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copy of the utility owner's most recently completed audit report must be provided to the department. If no financial audit has been performed, the utility owner should initiate one. The certification process will not begin until this report is submitted.</w:t>
      </w:r>
    </w:p>
    <w:p w14:paraId="6269EA0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 copy of the utility owner's unaudited financial statements covering the period from the date of the last </w:t>
      </w:r>
      <w:r w:rsidRPr="006E50FF">
        <w:rPr>
          <w:kern w:val="2"/>
        </w:rPr>
        <w:t>audited financial statements to the current date must be provided to the department.</w:t>
      </w:r>
    </w:p>
    <w:p w14:paraId="1443DF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copy of the utility owner's budget, including any amendments, for the current fiscal year must be provided to the department.</w:t>
      </w:r>
    </w:p>
    <w:p w14:paraId="0AE95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listing of encumbrances that are payable from the utility owner's current year earnings must be provided to the department. For the purpose of this certification, encumbrances are considered to be those items for which the utility owner has incurred an obligation to expend current year earnings, plus 10 percent of the current year's revenue as a reserve.</w:t>
      </w:r>
    </w:p>
    <w:p w14:paraId="34EC60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 signed representation letter prepared on the utility owner's letterhead must be provided to the department. It must state:</w:t>
      </w:r>
    </w:p>
    <w:p w14:paraId="6B3EFD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that the utility owner is familiar with the provisions of R.S. 48:831;</w:t>
      </w:r>
    </w:p>
    <w:p w14:paraId="6AA2DD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that the utility owner has not violated any of the provisions of R.S. 48:381 in the past;</w:t>
      </w:r>
    </w:p>
    <w:p w14:paraId="0527BE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the utility owner has received URAF assistance from the department in prior years, the utility owner must meet the following requirements:</w:t>
      </w:r>
    </w:p>
    <w:p w14:paraId="60CA27C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it must state that it has received prior URAF assistance;</w:t>
      </w:r>
    </w:p>
    <w:p w14:paraId="46648A4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it must state that it has:</w:t>
      </w:r>
    </w:p>
    <w:p w14:paraId="1A18C9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not located facilities longitudinally in state highway right-of-way since last receipt of URAF assistance if a balance is outstanding; or</w:t>
      </w:r>
    </w:p>
    <w:p w14:paraId="43FF2CC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facilities have been placed longitudinally in highway right-of-way and URAF assistance have been reimbursed to the department.</w:t>
      </w:r>
    </w:p>
    <w:p w14:paraId="2F648F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utility owner is responsible for the presentation of the financial statements and other information provided and for insuring that the information is complete and accurate.</w:t>
      </w:r>
    </w:p>
    <w:p w14:paraId="3FD776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financial information provided must be taken from verifiable records. The budget information must be based on estimates derived from the financial statements.</w:t>
      </w:r>
    </w:p>
    <w:p w14:paraId="47F7F1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utility owner must certify that it has no other unpaid obligations to the state of Louisiana.</w:t>
      </w:r>
    </w:p>
    <w:p w14:paraId="0DF78C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If the utility owner cannot provide the required audit for the URAF assistance, the utility owner may appeal to the department for review on a case by case basis, which entails a review of documentation with the Department of Transportation and Developments audit section.</w:t>
      </w:r>
    </w:p>
    <w:p w14:paraId="6CC6461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48:381(C).</w:t>
      </w:r>
    </w:p>
    <w:p w14:paraId="0D7BC4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Engineering, LR 23:210 (February 1997), amended by the Department of Transportation and Development, Office of Project Delivery, LR 52:</w:t>
      </w:r>
    </w:p>
    <w:p w14:paraId="6024109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4" w:name="_Toc224890177"/>
      <w:r w:rsidRPr="006E50FF">
        <w:rPr>
          <w:b/>
          <w:kern w:val="2"/>
        </w:rPr>
        <w:t>§305.</w:t>
      </w:r>
      <w:r w:rsidRPr="006E50FF">
        <w:rPr>
          <w:b/>
          <w:kern w:val="2"/>
        </w:rPr>
        <w:tab/>
        <w:t>Department Relocation of Publicly Owned or Non-Profit Utilities</w:t>
      </w:r>
      <w:bookmarkEnd w:id="784"/>
    </w:p>
    <w:p w14:paraId="629CF5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3A7D53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48:381(C).</w:t>
      </w:r>
    </w:p>
    <w:p w14:paraId="74FE7B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Management and Finance, LR 42:2195 (December 2016), repealed by the Department of Transportation and Development, Office of Project Delivery, LR 52:</w:t>
      </w:r>
    </w:p>
    <w:p w14:paraId="61C7EA20" w14:textId="77777777" w:rsidR="006E50FF" w:rsidRPr="006E50FF" w:rsidRDefault="006E50FF" w:rsidP="006E50FF">
      <w:pPr>
        <w:keepNext/>
        <w:jc w:val="center"/>
        <w:rPr>
          <w:b/>
          <w:kern w:val="28"/>
        </w:rPr>
      </w:pPr>
      <w:r w:rsidRPr="006E50FF">
        <w:rPr>
          <w:b/>
          <w:kern w:val="28"/>
        </w:rPr>
        <w:t>Family Impact Statement</w:t>
      </w:r>
    </w:p>
    <w:p w14:paraId="4D6DAE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w:t>
      </w:r>
      <w:r w:rsidRPr="006E50FF">
        <w:rPr>
          <w:kern w:val="2"/>
        </w:rPr>
        <w:lastRenderedPageBreak/>
        <w:t>amendments are not anticipated to have any foreseeable impact on any family as defined by R.S. 49:972(D) or on family formation, stability, and autonomy. Specifically, the implementation of the proposed amendments will have no known or foreseeable effect on:</w:t>
      </w:r>
    </w:p>
    <w:p w14:paraId="03D805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114D6D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62722C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512D5A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53E2FF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465DA2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111CD5A3" w14:textId="77777777" w:rsidR="006E50FF" w:rsidRPr="006E50FF" w:rsidRDefault="006E50FF" w:rsidP="006E50FF">
      <w:pPr>
        <w:keepNext/>
        <w:jc w:val="center"/>
        <w:rPr>
          <w:b/>
          <w:kern w:val="28"/>
        </w:rPr>
      </w:pPr>
      <w:r w:rsidRPr="006E50FF">
        <w:rPr>
          <w:b/>
          <w:kern w:val="28"/>
        </w:rPr>
        <w:t>Poverty Impact Statement</w:t>
      </w:r>
    </w:p>
    <w:p w14:paraId="1A3C76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1C9908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35E302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60DA0D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284A35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will have no known or foreseeable adverse effect on employment and workforce development.</w:t>
      </w:r>
    </w:p>
    <w:p w14:paraId="4200CD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33E7EB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633D1D75" w14:textId="77777777" w:rsidR="006E50FF" w:rsidRPr="006E50FF" w:rsidRDefault="006E50FF" w:rsidP="006E50FF">
      <w:pPr>
        <w:keepNext/>
        <w:jc w:val="center"/>
        <w:rPr>
          <w:b/>
          <w:kern w:val="28"/>
        </w:rPr>
      </w:pPr>
      <w:r w:rsidRPr="006E50FF">
        <w:rPr>
          <w:b/>
          <w:kern w:val="28"/>
        </w:rPr>
        <w:t>Small Business Analysis</w:t>
      </w:r>
    </w:p>
    <w:p w14:paraId="3AA007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283BF0CB" w14:textId="77777777" w:rsidR="006E50FF" w:rsidRPr="006E50FF" w:rsidRDefault="006E50FF" w:rsidP="006E50FF">
      <w:pPr>
        <w:keepNext/>
        <w:jc w:val="center"/>
        <w:rPr>
          <w:b/>
          <w:kern w:val="28"/>
        </w:rPr>
      </w:pPr>
      <w:r w:rsidRPr="006E50FF">
        <w:rPr>
          <w:b/>
          <w:kern w:val="28"/>
        </w:rPr>
        <w:t>Provider Impact Statement</w:t>
      </w:r>
    </w:p>
    <w:p w14:paraId="1E9158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48FD7F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400B201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05DA28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1D5E3C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4356912C" w14:textId="77777777" w:rsidR="006E50FF" w:rsidRPr="006E50FF" w:rsidRDefault="006E50FF" w:rsidP="006E50FF">
      <w:pPr>
        <w:keepNext/>
        <w:jc w:val="center"/>
        <w:rPr>
          <w:b/>
          <w:kern w:val="28"/>
        </w:rPr>
      </w:pPr>
      <w:r w:rsidRPr="006E50FF">
        <w:rPr>
          <w:b/>
          <w:kern w:val="28"/>
        </w:rPr>
        <w:t>Public Comments</w:t>
      </w:r>
    </w:p>
    <w:p w14:paraId="6B0C27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4C66068C" w14:textId="77777777" w:rsidR="006E50FF" w:rsidRPr="006E50FF" w:rsidRDefault="006E50FF" w:rsidP="006E50FF">
      <w:pPr>
        <w:keepNext/>
        <w:jc w:val="center"/>
        <w:rPr>
          <w:b/>
          <w:kern w:val="28"/>
        </w:rPr>
      </w:pPr>
      <w:r w:rsidRPr="006E50FF">
        <w:rPr>
          <w:b/>
          <w:kern w:val="28"/>
        </w:rPr>
        <w:t>Public Hearing</w:t>
      </w:r>
    </w:p>
    <w:p w14:paraId="0115FE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9:30 a.m. on October 27,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43C5E6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A2700FB" w14:textId="77777777" w:rsidR="006E50FF" w:rsidRPr="006E50FF" w:rsidRDefault="006E50FF" w:rsidP="006E50FF">
      <w:pPr>
        <w:keepNext/>
        <w:ind w:left="2160"/>
        <w:jc w:val="both"/>
      </w:pPr>
      <w:r w:rsidRPr="006E50FF">
        <w:t>Glenn Ledet, Jr.</w:t>
      </w:r>
    </w:p>
    <w:p w14:paraId="655D6064" w14:textId="77777777" w:rsidR="006E50FF" w:rsidRPr="006E50FF" w:rsidRDefault="006E50FF" w:rsidP="006E50FF">
      <w:pPr>
        <w:keepNext/>
        <w:ind w:left="2160"/>
        <w:jc w:val="both"/>
      </w:pPr>
      <w:r w:rsidRPr="006E50FF">
        <w:t>Secretary</w:t>
      </w:r>
    </w:p>
    <w:p w14:paraId="4A47D9E8" w14:textId="77777777" w:rsidR="006E50FF" w:rsidRPr="006E50FF" w:rsidRDefault="006E50FF" w:rsidP="006E50FF">
      <w:pPr>
        <w:keepNext/>
        <w:jc w:val="center"/>
        <w:rPr>
          <w:b/>
        </w:rPr>
      </w:pPr>
    </w:p>
    <w:p w14:paraId="417F839B" w14:textId="77777777" w:rsidR="006E50FF" w:rsidRPr="006E50FF" w:rsidRDefault="006E50FF" w:rsidP="006E50FF">
      <w:pPr>
        <w:keepNext/>
        <w:jc w:val="center"/>
        <w:rPr>
          <w:b/>
        </w:rPr>
      </w:pPr>
      <w:r w:rsidRPr="006E50FF">
        <w:rPr>
          <w:b/>
        </w:rPr>
        <w:t>FISCAL AND ECONOMIC IMPACT STATEMENT FOR ADMINISTRATIVE RULES</w:t>
      </w:r>
    </w:p>
    <w:p w14:paraId="53E8A17B" w14:textId="77777777" w:rsidR="006E50FF" w:rsidRPr="006E50FF" w:rsidRDefault="006E50FF" w:rsidP="006E50FF">
      <w:pPr>
        <w:keepNext/>
        <w:jc w:val="center"/>
        <w:rPr>
          <w:b/>
          <w:noProof/>
        </w:rPr>
      </w:pPr>
      <w:r w:rsidRPr="006E50FF">
        <w:rPr>
          <w:b/>
          <w:noProof/>
        </w:rPr>
        <w:t>RULE TITLE:  Department Relocation of Publicly Owned or Non-Profit Utilities</w:t>
      </w:r>
    </w:p>
    <w:p w14:paraId="1E87D32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BBC9FD0"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E4BD92F" w14:textId="77777777" w:rsidR="006E50FF" w:rsidRPr="006E50FF" w:rsidRDefault="006E50FF" w:rsidP="006E50FF">
      <w:pPr>
        <w:ind w:left="288" w:firstLine="288"/>
        <w:jc w:val="both"/>
        <w:rPr>
          <w:noProof/>
          <w:sz w:val="18"/>
        </w:rPr>
      </w:pPr>
      <w:r w:rsidRPr="006E50FF">
        <w:rPr>
          <w:noProof/>
          <w:sz w:val="18"/>
        </w:rPr>
        <w:t>The proposed rule change is not anticipated to have any costs or savings to state or local government units.</w:t>
      </w:r>
    </w:p>
    <w:p w14:paraId="6ED7CC1E" w14:textId="77777777" w:rsidR="006E50FF" w:rsidRPr="006E50FF" w:rsidRDefault="006E50FF" w:rsidP="006E50FF">
      <w:pPr>
        <w:ind w:left="288" w:firstLine="288"/>
        <w:jc w:val="both"/>
        <w:rPr>
          <w:sz w:val="18"/>
        </w:rPr>
      </w:pPr>
      <w:r w:rsidRPr="006E50FF">
        <w:rPr>
          <w:sz w:val="18"/>
        </w:rPr>
        <w:t>The proposed rule change relocates and clarifies provisions that govern the relocation of publicly owned or non-profit utilities and the provisions of the Utility Relocation Assistance Funding (URAF). Further, the proposed rule change makes various technical changes to comply with the Plain Writing Act of 2010 for public understanding and removes unnecessary and obsolete regulations.</w:t>
      </w:r>
    </w:p>
    <w:p w14:paraId="67BE9867"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5E98ADA" w14:textId="77777777" w:rsidR="006E50FF" w:rsidRPr="006E50FF" w:rsidRDefault="006E50FF" w:rsidP="006E50FF">
      <w:pPr>
        <w:ind w:left="288" w:firstLine="288"/>
        <w:jc w:val="both"/>
        <w:rPr>
          <w:sz w:val="18"/>
        </w:rPr>
      </w:pPr>
      <w:r w:rsidRPr="006E50FF">
        <w:rPr>
          <w:sz w:val="18"/>
        </w:rPr>
        <w:t>The proposed rule change is not anticipated to impact state or local government revenue collections.</w:t>
      </w:r>
    </w:p>
    <w:p w14:paraId="3B80821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C0BB5B3" w14:textId="77777777" w:rsidR="006E50FF" w:rsidRPr="006E50FF" w:rsidRDefault="006E50FF" w:rsidP="006E50FF">
      <w:pPr>
        <w:ind w:left="288" w:firstLine="288"/>
        <w:jc w:val="both"/>
        <w:rPr>
          <w:sz w:val="18"/>
        </w:rPr>
      </w:pPr>
      <w:r w:rsidRPr="006E50FF">
        <w:rPr>
          <w:sz w:val="18"/>
        </w:rPr>
        <w:t>The proposed rule change is not anticipated to impact individuals, small businesses, or non-governmental groups.</w:t>
      </w:r>
    </w:p>
    <w:p w14:paraId="78466BD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0A412D0" w14:textId="77777777" w:rsidR="006E50FF" w:rsidRPr="006E50FF" w:rsidRDefault="006E50FF" w:rsidP="006E50FF">
      <w:pPr>
        <w:ind w:left="288" w:firstLine="288"/>
        <w:jc w:val="both"/>
        <w:rPr>
          <w:sz w:val="18"/>
        </w:rPr>
      </w:pPr>
      <w:r w:rsidRPr="006E50FF">
        <w:rPr>
          <w:sz w:val="18"/>
        </w:rPr>
        <w:t>The proposed rule change is not anticipated to have any effect on competition or employment.</w:t>
      </w:r>
    </w:p>
    <w:p w14:paraId="71728B34" w14:textId="77777777" w:rsidR="006E50FF" w:rsidRPr="006E50FF" w:rsidRDefault="006E50FF" w:rsidP="006E50FF">
      <w:pPr>
        <w:ind w:left="288" w:firstLine="288"/>
        <w:jc w:val="both"/>
        <w:rPr>
          <w:sz w:val="18"/>
        </w:rPr>
      </w:pPr>
    </w:p>
    <w:p w14:paraId="52533B55"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5E180604"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5AABB4FF" w14:textId="77777777" w:rsidR="006E50FF" w:rsidRPr="006E50FF" w:rsidRDefault="006E50FF" w:rsidP="006E50FF">
      <w:pPr>
        <w:tabs>
          <w:tab w:val="left" w:pos="2880"/>
          <w:tab w:val="decimal" w:pos="2988"/>
        </w:tabs>
        <w:outlineLvl w:val="8"/>
        <w:rPr>
          <w:kern w:val="2"/>
          <w:sz w:val="18"/>
        </w:rPr>
      </w:pPr>
      <w:r w:rsidRPr="006E50FF">
        <w:rPr>
          <w:noProof/>
          <w:sz w:val="16"/>
        </w:rPr>
        <w:t>2609#028</w:t>
      </w:r>
      <w:r w:rsidRPr="006E50FF">
        <w:rPr>
          <w:kern w:val="2"/>
        </w:rPr>
        <w:tab/>
      </w:r>
      <w:r w:rsidRPr="006E50FF">
        <w:rPr>
          <w:kern w:val="2"/>
          <w:sz w:val="18"/>
        </w:rPr>
        <w:t>Legislative Fiscal Office</w:t>
      </w:r>
    </w:p>
    <w:p w14:paraId="084B89E9"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54F65901" w14:textId="77777777" w:rsidR="006E50FF" w:rsidRPr="006E50FF" w:rsidRDefault="006E50FF" w:rsidP="006E50FF">
      <w:pPr>
        <w:keepNext/>
        <w:jc w:val="center"/>
        <w:rPr>
          <w:b/>
          <w:noProof/>
        </w:rPr>
      </w:pPr>
      <w:r w:rsidRPr="006E50FF">
        <w:rPr>
          <w:b/>
          <w:noProof/>
        </w:rPr>
        <w:t>Department of Transportation and Development</w:t>
      </w:r>
    </w:p>
    <w:p w14:paraId="09C15F65" w14:textId="77777777" w:rsidR="006E50FF" w:rsidRPr="006E50FF" w:rsidRDefault="006E50FF" w:rsidP="006E50FF">
      <w:pPr>
        <w:keepNext/>
        <w:jc w:val="center"/>
        <w:rPr>
          <w:b/>
          <w:noProof/>
        </w:rPr>
      </w:pPr>
      <w:r w:rsidRPr="006E50FF">
        <w:rPr>
          <w:b/>
          <w:noProof/>
        </w:rPr>
        <w:t>Office of Project Delivery</w:t>
      </w:r>
    </w:p>
    <w:p w14:paraId="5A756BF9" w14:textId="77777777" w:rsidR="006E50FF" w:rsidRPr="006E50FF" w:rsidRDefault="006E50FF" w:rsidP="006E50FF">
      <w:pPr>
        <w:keepNext/>
        <w:spacing w:before="240" w:after="240"/>
        <w:jc w:val="center"/>
        <w:rPr>
          <w:noProof/>
        </w:rPr>
      </w:pPr>
      <w:r w:rsidRPr="006E50FF">
        <w:rPr>
          <w:noProof/>
        </w:rPr>
        <w:t xml:space="preserve">Display of American Flags within Highway Right-of-Way </w:t>
      </w:r>
      <w:r w:rsidRPr="006E50FF">
        <w:rPr>
          <w:noProof/>
        </w:rPr>
        <w:br/>
        <w:t>(LAC 70:III.701)</w:t>
      </w:r>
    </w:p>
    <w:p w14:paraId="65BC17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49:961, et seq., and through the authority granted in R.S. 49:953(C) (1), that the Department of Transportation and Development, Office of Project Delivery, hereby proposes to repeal LAC 70:III.Chapter 7 entitled “Display of American Flags Within Highway Right-of-Way.” </w:t>
      </w:r>
    </w:p>
    <w:p w14:paraId="7BEB21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proposes to repeal Chapter 7 in its entirety because it is duplicative of existing regulations. The substance of Chapter 7 – the conditions, standards and permitting procedures governing the display of American flags within the right-of-way of state highways – is already set forth in LAC 70:II.527, which addresses the same subject matter. Specifically, Section 527, at Paragraph 13 (“Displaying American Flags within Highway Right-of-Way”) and its Sub-paragraphs (a) through (k), together with Paragraphs 14 and 15, prescribes the same clear-zone placement requirements; the same design standards under the American Association of State Highway and Transportation Officials (AASHTO) Standard Specifications for Structural Supports of Highway Signs, Luminaries and Traffic Signals; the same 30-foot maximum flag pole height and flag size limitations; the same provisions for yard-arm and outrigger poles mounted on light standards and utility poles; the same standards for temporary flag poles and for flags flown from bridge substructures; the same requirement that flags be displayed as outlined in Public Law 94-344; the same permit requirement using Project Permit Form 593; and the same requirement that structural drawings be stamped by an engineer licensed by the state of Louisiana. Because these provisions render Chapter 7 redundant, the department proposes to repeal Chapter 7 so that the display of American flags within highway right-of-way is governed by a single, consolidated regulation at LAC 70:II.527. The repeal makes no substantive change to the requirements applicable to flag displays withing highway right-of-way; those requirements remain in effect under LAC 70:II.527. </w:t>
      </w:r>
    </w:p>
    <w:p w14:paraId="06653457" w14:textId="77777777" w:rsidR="006E50FF" w:rsidRPr="006E50FF" w:rsidRDefault="006E50FF" w:rsidP="006E50FF">
      <w:pPr>
        <w:keepNext/>
        <w:jc w:val="center"/>
        <w:rPr>
          <w:b/>
          <w:kern w:val="28"/>
        </w:rPr>
      </w:pPr>
      <w:r w:rsidRPr="006E50FF">
        <w:rPr>
          <w:b/>
          <w:kern w:val="28"/>
        </w:rPr>
        <w:t>Title 70</w:t>
      </w:r>
    </w:p>
    <w:p w14:paraId="7395917E" w14:textId="77777777" w:rsidR="006E50FF" w:rsidRPr="006E50FF" w:rsidRDefault="006E50FF" w:rsidP="006E50FF">
      <w:pPr>
        <w:keepNext/>
        <w:jc w:val="center"/>
        <w:rPr>
          <w:b/>
          <w:kern w:val="28"/>
        </w:rPr>
      </w:pPr>
      <w:r w:rsidRPr="006E50FF">
        <w:rPr>
          <w:b/>
          <w:kern w:val="28"/>
        </w:rPr>
        <w:t>TRANSPORTATION</w:t>
      </w:r>
    </w:p>
    <w:p w14:paraId="4BFB8F33" w14:textId="77777777" w:rsidR="006E50FF" w:rsidRPr="006E50FF" w:rsidRDefault="006E50FF" w:rsidP="006E50FF">
      <w:pPr>
        <w:keepNext/>
        <w:jc w:val="center"/>
        <w:rPr>
          <w:b/>
          <w:noProof/>
        </w:rPr>
      </w:pPr>
      <w:r w:rsidRPr="006E50FF">
        <w:rPr>
          <w:b/>
          <w:noProof/>
        </w:rPr>
        <w:t>Part III.  Outdoor Advertising</w:t>
      </w:r>
    </w:p>
    <w:p w14:paraId="0CB17E4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85" w:name="TOC_Chap45"/>
      <w:bookmarkStart w:id="786" w:name="_Toc180825200"/>
      <w:bookmarkStart w:id="787" w:name="_Toc143676908"/>
      <w:r w:rsidRPr="006E50FF">
        <w:rPr>
          <w:b/>
          <w:kern w:val="2"/>
        </w:rPr>
        <w:t>Chapter 7.</w:t>
      </w:r>
      <w:bookmarkEnd w:id="785"/>
      <w:bookmarkEnd w:id="786"/>
      <w:bookmarkEnd w:id="787"/>
      <w:r w:rsidRPr="006E50FF">
        <w:rPr>
          <w:b/>
          <w:kern w:val="2"/>
        </w:rPr>
        <w:tab/>
        <w:t>Display of American Flags within Highway Right-of-Way</w:t>
      </w:r>
    </w:p>
    <w:p w14:paraId="10455E9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8" w:name="_Toc180825201"/>
      <w:bookmarkStart w:id="789" w:name="_Toc143676909"/>
      <w:r w:rsidRPr="006E50FF">
        <w:rPr>
          <w:b/>
          <w:kern w:val="2"/>
        </w:rPr>
        <w:t>§701.</w:t>
      </w:r>
      <w:r w:rsidRPr="006E50FF">
        <w:rPr>
          <w:b/>
          <w:kern w:val="2"/>
        </w:rPr>
        <w:tab/>
        <w:t>Conditions</w:t>
      </w:r>
      <w:bookmarkEnd w:id="788"/>
      <w:bookmarkEnd w:id="789"/>
    </w:p>
    <w:p w14:paraId="504A1AD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5F5C5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48:274.2.</w:t>
      </w:r>
    </w:p>
    <w:p w14:paraId="009F61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the Secretary, LR 17:678 (July 1991), amended LR 19:359 (March 1993), repealed by the Department of Transportation and Development, Office of Project Delivery, LR 52:</w:t>
      </w:r>
    </w:p>
    <w:p w14:paraId="7D7BE4EF" w14:textId="77777777" w:rsidR="006E50FF" w:rsidRPr="006E50FF" w:rsidRDefault="006E50FF" w:rsidP="006E50FF">
      <w:pPr>
        <w:keepNext/>
        <w:jc w:val="center"/>
        <w:rPr>
          <w:b/>
          <w:kern w:val="28"/>
        </w:rPr>
      </w:pPr>
      <w:r w:rsidRPr="006E50FF">
        <w:rPr>
          <w:b/>
          <w:kern w:val="28"/>
        </w:rPr>
        <w:t>Family Impact Statement</w:t>
      </w:r>
    </w:p>
    <w:p w14:paraId="150A94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w:t>
      </w:r>
      <w:r w:rsidRPr="006E50FF">
        <w:rPr>
          <w:kern w:val="2"/>
        </w:rPr>
        <w:t>amendments are not anticipated to have any foreseeable impact on any family as defined by R.S. 49:972(D) or on family formation, stability, and autonomy. Specifically, the implementation of the proposed amendments will have no known or foreseeable effect on:</w:t>
      </w:r>
    </w:p>
    <w:p w14:paraId="5202B6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4D2051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6BEBFE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578B60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191058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2327B7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45B2AA60" w14:textId="77777777" w:rsidR="006E50FF" w:rsidRPr="006E50FF" w:rsidRDefault="006E50FF" w:rsidP="006E50FF">
      <w:pPr>
        <w:keepNext/>
        <w:jc w:val="center"/>
        <w:rPr>
          <w:b/>
          <w:kern w:val="28"/>
        </w:rPr>
      </w:pPr>
      <w:r w:rsidRPr="006E50FF">
        <w:rPr>
          <w:b/>
          <w:kern w:val="28"/>
        </w:rPr>
        <w:t>Poverty Impact Statement</w:t>
      </w:r>
    </w:p>
    <w:p w14:paraId="723F10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785C46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06F706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4DB40C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0F4B31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amendment of these rules will have no known or foreseeable adverse effect on employment and workforce development. </w:t>
      </w:r>
    </w:p>
    <w:p w14:paraId="52C3C7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3BD1A3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748108C6" w14:textId="77777777" w:rsidR="006E50FF" w:rsidRPr="006E50FF" w:rsidRDefault="006E50FF" w:rsidP="006E50FF">
      <w:pPr>
        <w:keepNext/>
        <w:jc w:val="center"/>
        <w:rPr>
          <w:b/>
          <w:kern w:val="28"/>
        </w:rPr>
      </w:pPr>
      <w:r w:rsidRPr="006E50FF">
        <w:rPr>
          <w:b/>
          <w:kern w:val="28"/>
        </w:rPr>
        <w:t>Small Business Analysis</w:t>
      </w:r>
    </w:p>
    <w:p w14:paraId="153A87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016BE409" w14:textId="77777777" w:rsidR="006E50FF" w:rsidRPr="006E50FF" w:rsidRDefault="006E50FF" w:rsidP="006E50FF">
      <w:pPr>
        <w:keepNext/>
        <w:jc w:val="center"/>
        <w:rPr>
          <w:b/>
          <w:kern w:val="28"/>
        </w:rPr>
      </w:pPr>
      <w:r w:rsidRPr="006E50FF">
        <w:rPr>
          <w:b/>
          <w:kern w:val="28"/>
        </w:rPr>
        <w:t>Provider Impact Statement</w:t>
      </w:r>
    </w:p>
    <w:p w14:paraId="2317CD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633E91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726B6B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1DF4D0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53E1D9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amendment of these rules does not have any known or foreseeable impact on the overall effect on the ability of a provider to provide the same level of service.</w:t>
      </w:r>
    </w:p>
    <w:p w14:paraId="1A69CC6C" w14:textId="77777777" w:rsidR="006E50FF" w:rsidRPr="006E50FF" w:rsidRDefault="006E50FF" w:rsidP="006E50FF">
      <w:pPr>
        <w:keepNext/>
        <w:jc w:val="center"/>
        <w:rPr>
          <w:b/>
          <w:kern w:val="28"/>
        </w:rPr>
      </w:pPr>
      <w:r w:rsidRPr="006E50FF">
        <w:rPr>
          <w:b/>
          <w:kern w:val="28"/>
        </w:rPr>
        <w:t>Public Comments</w:t>
      </w:r>
    </w:p>
    <w:p w14:paraId="67D412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4DDBFB63" w14:textId="77777777" w:rsidR="006E50FF" w:rsidRPr="006E50FF" w:rsidRDefault="006E50FF" w:rsidP="006E50FF">
      <w:pPr>
        <w:keepNext/>
        <w:jc w:val="center"/>
        <w:rPr>
          <w:b/>
          <w:kern w:val="28"/>
        </w:rPr>
      </w:pPr>
      <w:r w:rsidRPr="006E50FF">
        <w:rPr>
          <w:b/>
          <w:kern w:val="28"/>
        </w:rPr>
        <w:t>Public Hearing</w:t>
      </w:r>
    </w:p>
    <w:p w14:paraId="0B47EE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10:30 a.m. on October 27,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619CBB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4C24370" w14:textId="77777777" w:rsidR="006E50FF" w:rsidRPr="006E50FF" w:rsidRDefault="006E50FF" w:rsidP="006E50FF">
      <w:pPr>
        <w:keepNext/>
        <w:ind w:left="2160"/>
        <w:jc w:val="both"/>
      </w:pPr>
      <w:r w:rsidRPr="006E50FF">
        <w:t>Glenn Ledet, Jr.</w:t>
      </w:r>
    </w:p>
    <w:p w14:paraId="3BA1F09C" w14:textId="77777777" w:rsidR="006E50FF" w:rsidRPr="006E50FF" w:rsidRDefault="006E50FF" w:rsidP="006E50FF">
      <w:pPr>
        <w:keepNext/>
        <w:ind w:left="2160"/>
        <w:jc w:val="both"/>
      </w:pPr>
      <w:r w:rsidRPr="006E50FF">
        <w:t>Secretary</w:t>
      </w:r>
    </w:p>
    <w:p w14:paraId="4E98711B" w14:textId="77777777" w:rsidR="006E50FF" w:rsidRPr="006E50FF" w:rsidRDefault="006E50FF" w:rsidP="006E50FF">
      <w:pPr>
        <w:keepNext/>
        <w:jc w:val="center"/>
        <w:rPr>
          <w:b/>
        </w:rPr>
      </w:pPr>
    </w:p>
    <w:p w14:paraId="4937E9E1" w14:textId="77777777" w:rsidR="006E50FF" w:rsidRPr="006E50FF" w:rsidRDefault="006E50FF" w:rsidP="006E50FF">
      <w:pPr>
        <w:keepNext/>
        <w:jc w:val="center"/>
        <w:rPr>
          <w:b/>
        </w:rPr>
      </w:pPr>
      <w:r w:rsidRPr="006E50FF">
        <w:rPr>
          <w:b/>
        </w:rPr>
        <w:t>FISCAL AND ECONOMIC IMPACT STATEMENT FOR ADMINISTRATIVE RULES</w:t>
      </w:r>
    </w:p>
    <w:p w14:paraId="01144B1D" w14:textId="77777777" w:rsidR="006E50FF" w:rsidRPr="006E50FF" w:rsidRDefault="006E50FF" w:rsidP="006E50FF">
      <w:pPr>
        <w:keepNext/>
        <w:jc w:val="center"/>
        <w:rPr>
          <w:b/>
          <w:noProof/>
        </w:rPr>
      </w:pPr>
      <w:r w:rsidRPr="006E50FF">
        <w:rPr>
          <w:b/>
          <w:noProof/>
        </w:rPr>
        <w:t>RULE TITLE:  Display of American Flags within Highway Right-of-Way</w:t>
      </w:r>
    </w:p>
    <w:p w14:paraId="02923A0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EC8011F"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9DFCF8D" w14:textId="77777777" w:rsidR="006E50FF" w:rsidRPr="006E50FF" w:rsidRDefault="006E50FF" w:rsidP="006E50FF">
      <w:pPr>
        <w:ind w:left="288" w:firstLine="288"/>
        <w:jc w:val="both"/>
        <w:rPr>
          <w:noProof/>
          <w:sz w:val="18"/>
        </w:rPr>
      </w:pPr>
      <w:r w:rsidRPr="006E50FF">
        <w:rPr>
          <w:noProof/>
          <w:sz w:val="18"/>
        </w:rPr>
        <w:t xml:space="preserve">The proposed rule change will have no implementation costs or savings to state or local governmental units. </w:t>
      </w:r>
    </w:p>
    <w:p w14:paraId="3A2A11D0" w14:textId="77777777" w:rsidR="006E50FF" w:rsidRPr="006E50FF" w:rsidRDefault="006E50FF" w:rsidP="006E50FF">
      <w:pPr>
        <w:ind w:left="288" w:firstLine="288"/>
        <w:jc w:val="both"/>
        <w:rPr>
          <w:sz w:val="18"/>
        </w:rPr>
      </w:pPr>
      <w:r w:rsidRPr="006E50FF">
        <w:rPr>
          <w:sz w:val="18"/>
        </w:rPr>
        <w:t>The proposed rule change repeals LAC 70: III. Chapter 7 (Display of American Flags within Highway Right-of-Way), due to it being duplicative of LAC 70: II, Chapter 5, Section 527, which independently governs the same subject matter and remains in effect. Repealing the duplicative provisions imposes no new duties and eliminates no existing duties.</w:t>
      </w:r>
    </w:p>
    <w:p w14:paraId="7AFA3E3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D3296A7" w14:textId="77777777" w:rsidR="006E50FF" w:rsidRPr="006E50FF" w:rsidRDefault="006E50FF" w:rsidP="006E50FF">
      <w:pPr>
        <w:ind w:left="288" w:firstLine="288"/>
        <w:jc w:val="both"/>
        <w:rPr>
          <w:sz w:val="18"/>
        </w:rPr>
      </w:pPr>
      <w:r w:rsidRPr="006E50FF">
        <w:rPr>
          <w:sz w:val="18"/>
        </w:rPr>
        <w:t>The proposed rule change will have no effect on the revenue collections of state or local governmental units. No fee or revenue source is established, altered, or eliminated by the repeal of LAC 70: III, 7, because the applicable permit requirements continue under LAC 70: II, 5, Section 527.</w:t>
      </w:r>
    </w:p>
    <w:p w14:paraId="48CA857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C6F2FBA" w14:textId="77777777" w:rsidR="006E50FF" w:rsidRPr="006E50FF" w:rsidRDefault="006E50FF" w:rsidP="006E50FF">
      <w:pPr>
        <w:ind w:left="288" w:firstLine="288"/>
        <w:jc w:val="both"/>
        <w:rPr>
          <w:sz w:val="18"/>
        </w:rPr>
      </w:pPr>
      <w:r w:rsidRPr="006E50FF">
        <w:rPr>
          <w:sz w:val="18"/>
        </w:rPr>
        <w:t xml:space="preserve">The proposed rule change will have no anticipated costs or economic benefits to directly affected persons, small businesses, or non-governmental groups. The entities eligible to display American flags within highway right-of-way - limited to governing bodies and non-profit organizations - remain subject to the identical conditions and permitting procedures set forth in LAC 70: II, 5, Section 527. Because the substantive </w:t>
      </w:r>
      <w:r w:rsidRPr="006E50FF">
        <w:rPr>
          <w:sz w:val="18"/>
        </w:rPr>
        <w:t>requirements are unchanged, no additional costs, forms, or documentation result from the repeal.</w:t>
      </w:r>
    </w:p>
    <w:p w14:paraId="7086B1F5"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7A65F777" w14:textId="77777777" w:rsidR="006E50FF" w:rsidRPr="006E50FF" w:rsidRDefault="006E50FF" w:rsidP="006E50FF">
      <w:pPr>
        <w:ind w:left="288" w:firstLine="288"/>
        <w:jc w:val="both"/>
        <w:rPr>
          <w:sz w:val="18"/>
        </w:rPr>
      </w:pPr>
      <w:r w:rsidRPr="006E50FF">
        <w:rPr>
          <w:sz w:val="18"/>
        </w:rPr>
        <w:t>The proposed rule change will have no effect on competition or employment in either the public or private sector. The repeal eliminates a duplicative rule without changing the underlying regulatory requirements, which continue under LAC 70: II, 5, Section 527.</w:t>
      </w:r>
    </w:p>
    <w:p w14:paraId="34D38CFD" w14:textId="77777777" w:rsidR="006E50FF" w:rsidRPr="006E50FF" w:rsidRDefault="006E50FF" w:rsidP="006E50FF">
      <w:pPr>
        <w:ind w:left="288" w:firstLine="288"/>
        <w:jc w:val="both"/>
        <w:rPr>
          <w:sz w:val="18"/>
        </w:rPr>
      </w:pPr>
    </w:p>
    <w:p w14:paraId="32D48A05"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1EBFBFEE"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3D32C655" w14:textId="77777777" w:rsidR="006E50FF" w:rsidRPr="006E50FF" w:rsidRDefault="006E50FF" w:rsidP="006E50FF">
      <w:pPr>
        <w:tabs>
          <w:tab w:val="left" w:pos="2880"/>
          <w:tab w:val="decimal" w:pos="2988"/>
        </w:tabs>
        <w:outlineLvl w:val="8"/>
        <w:rPr>
          <w:kern w:val="2"/>
          <w:sz w:val="18"/>
        </w:rPr>
      </w:pPr>
      <w:r w:rsidRPr="006E50FF">
        <w:rPr>
          <w:noProof/>
          <w:sz w:val="16"/>
        </w:rPr>
        <w:t>2609#063</w:t>
      </w:r>
      <w:r w:rsidRPr="006E50FF">
        <w:rPr>
          <w:kern w:val="2"/>
        </w:rPr>
        <w:tab/>
      </w:r>
      <w:r w:rsidRPr="006E50FF">
        <w:rPr>
          <w:kern w:val="2"/>
          <w:sz w:val="18"/>
        </w:rPr>
        <w:t>Legislative Fiscal Office</w:t>
      </w:r>
    </w:p>
    <w:p w14:paraId="5FEF7F8C" w14:textId="77777777" w:rsidR="006E50FF" w:rsidRPr="006E50FF" w:rsidRDefault="006E50FF" w:rsidP="006E50FF"/>
    <w:p w14:paraId="01FD017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622D0EE3" w14:textId="77777777" w:rsidR="006E50FF" w:rsidRPr="006E50FF" w:rsidRDefault="006E50FF" w:rsidP="006E50FF">
      <w:pPr>
        <w:keepNext/>
        <w:jc w:val="center"/>
        <w:rPr>
          <w:b/>
          <w:noProof/>
        </w:rPr>
      </w:pPr>
      <w:r w:rsidRPr="006E50FF">
        <w:rPr>
          <w:b/>
          <w:noProof/>
        </w:rPr>
        <w:t>Department of Wildlife and Fisheries</w:t>
      </w:r>
    </w:p>
    <w:p w14:paraId="75A0F534" w14:textId="77777777" w:rsidR="006E50FF" w:rsidRPr="006E50FF" w:rsidRDefault="006E50FF" w:rsidP="006E50FF">
      <w:pPr>
        <w:keepNext/>
        <w:jc w:val="center"/>
        <w:rPr>
          <w:b/>
          <w:noProof/>
        </w:rPr>
      </w:pPr>
      <w:r w:rsidRPr="006E50FF">
        <w:rPr>
          <w:b/>
          <w:noProof/>
        </w:rPr>
        <w:t>Wildlife and Fisheries Commission</w:t>
      </w:r>
    </w:p>
    <w:p w14:paraId="3AEBBB76" w14:textId="77777777" w:rsidR="006E50FF" w:rsidRPr="006E50FF" w:rsidRDefault="006E50FF" w:rsidP="006E50FF">
      <w:pPr>
        <w:keepNext/>
        <w:spacing w:before="240" w:after="240"/>
        <w:jc w:val="center"/>
        <w:rPr>
          <w:noProof/>
        </w:rPr>
      </w:pPr>
      <w:r w:rsidRPr="006E50FF">
        <w:rPr>
          <w:noProof/>
        </w:rPr>
        <w:t>Commercial Menhaden Reporting Requirements</w:t>
      </w:r>
      <w:r w:rsidRPr="006E50FF">
        <w:rPr>
          <w:noProof/>
        </w:rPr>
        <w:br/>
        <w:t>(LAC 76:VII.308)</w:t>
      </w:r>
    </w:p>
    <w:p w14:paraId="008363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Wildlife and Fisheries and the Wildlife and Fisheries Commission do hereby provide notice of their intent to amend the Rule for commercial menhaden reporting requirements (LAC 76:VII.308). The rule modification is intended to remove the requirement for reporting of 15 menhaden fork lengths per set and to provide for non-confidentiality of data reported to the legislature. This change is being proposed as a result of changes to menhaden regulations set forth in Act 444 of the 2026 Regular Session. </w:t>
      </w:r>
    </w:p>
    <w:p w14:paraId="4B808F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rule, the secretary is authorized and directed to prepare and transmit a summary report to the legislative oversight committees and promulgate the final Rule.</w:t>
      </w:r>
    </w:p>
    <w:p w14:paraId="1E1BD4F3" w14:textId="77777777" w:rsidR="006E50FF" w:rsidRPr="006E50FF" w:rsidRDefault="006E50FF" w:rsidP="006E50FF">
      <w:pPr>
        <w:keepNext/>
        <w:jc w:val="center"/>
        <w:rPr>
          <w:b/>
          <w:kern w:val="28"/>
        </w:rPr>
      </w:pPr>
      <w:r w:rsidRPr="006E50FF">
        <w:rPr>
          <w:b/>
          <w:kern w:val="28"/>
        </w:rPr>
        <w:t>Title 76</w:t>
      </w:r>
    </w:p>
    <w:p w14:paraId="2CC52E0B" w14:textId="77777777" w:rsidR="006E50FF" w:rsidRPr="006E50FF" w:rsidRDefault="006E50FF" w:rsidP="006E50FF">
      <w:pPr>
        <w:keepNext/>
        <w:jc w:val="center"/>
        <w:rPr>
          <w:b/>
          <w:kern w:val="28"/>
        </w:rPr>
      </w:pPr>
      <w:r w:rsidRPr="006E50FF">
        <w:rPr>
          <w:b/>
          <w:kern w:val="28"/>
        </w:rPr>
        <w:t>WILDLIFE AND FISHERIES</w:t>
      </w:r>
    </w:p>
    <w:p w14:paraId="23842594" w14:textId="77777777" w:rsidR="006E50FF" w:rsidRPr="006E50FF" w:rsidRDefault="006E50FF" w:rsidP="006E50FF">
      <w:pPr>
        <w:keepNext/>
        <w:jc w:val="center"/>
        <w:rPr>
          <w:b/>
          <w:noProof/>
        </w:rPr>
      </w:pPr>
      <w:r w:rsidRPr="006E50FF">
        <w:rPr>
          <w:b/>
          <w:noProof/>
        </w:rPr>
        <w:t>Part VII.  Fish and Other Aquatic Life</w:t>
      </w:r>
    </w:p>
    <w:p w14:paraId="1FA2607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Saltwater Sport and Commercial Fishery</w:t>
      </w:r>
    </w:p>
    <w:p w14:paraId="335C0D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§308.</w:t>
      </w:r>
      <w:r w:rsidRPr="006E50FF">
        <w:rPr>
          <w:b/>
          <w:kern w:val="2"/>
        </w:rPr>
        <w:tab/>
        <w:t xml:space="preserve">Commercial Menhaden Reporting Requirements </w:t>
      </w:r>
    </w:p>
    <w:p w14:paraId="6D837C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Reporting</w:t>
      </w:r>
    </w:p>
    <w:p w14:paraId="6856CD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Companies taking menhaden by vessels equipped with purse seines for the purpose of reduction fishing shall report monthly, beginning in May 2023, commercial menhaden harvest reports. Reports for the previous month shall be due to the Department of Wildlife and Fisheries (LDWF) by the tenth of the following month (the first report shall be due May 10, 2023 for the month of April 2023).</w:t>
      </w:r>
    </w:p>
    <w:p w14:paraId="65103D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Monthly Reporting shall include the following data for each set:</w:t>
      </w:r>
    </w:p>
    <w:p w14:paraId="3B17085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year, date, set number, vessel, plant, set start time, and set end time;</w:t>
      </w:r>
    </w:p>
    <w:p w14:paraId="7DA8E16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location data in degrees, minutes, and seconds with a defined datum determined by global positioning satellite (GPS) navigational instrument reading;</w:t>
      </w:r>
    </w:p>
    <w:p w14:paraId="52DD0649" w14:textId="77777777" w:rsidR="006E50FF" w:rsidRPr="006E50FF" w:rsidRDefault="006E50FF" w:rsidP="006E50FF">
      <w:pPr>
        <w:tabs>
          <w:tab w:val="left" w:pos="907"/>
        </w:tabs>
        <w:ind w:firstLine="547"/>
        <w:jc w:val="both"/>
        <w:outlineLvl w:val="5"/>
        <w:rPr>
          <w:kern w:val="2"/>
        </w:rPr>
      </w:pPr>
      <w:r w:rsidRPr="006E50FF">
        <w:rPr>
          <w:kern w:val="2"/>
        </w:rPr>
        <w:br w:type="page"/>
      </w:r>
    </w:p>
    <w:p w14:paraId="044709BF" w14:textId="77777777" w:rsidR="006E50FF" w:rsidRPr="006E50FF" w:rsidRDefault="006E50FF" w:rsidP="006E50FF">
      <w:pPr>
        <w:tabs>
          <w:tab w:val="left" w:pos="907"/>
        </w:tabs>
        <w:ind w:firstLine="547"/>
        <w:jc w:val="both"/>
        <w:outlineLvl w:val="5"/>
        <w:rPr>
          <w:kern w:val="2"/>
        </w:rPr>
      </w:pPr>
      <w:r w:rsidRPr="006E50FF">
        <w:rPr>
          <w:kern w:val="2"/>
        </w:rPr>
        <w:lastRenderedPageBreak/>
        <w:t>c.</w:t>
      </w:r>
      <w:r w:rsidRPr="006E50FF">
        <w:rPr>
          <w:kern w:val="2"/>
        </w:rPr>
        <w:tab/>
        <w:t>estimated volume of harvest in 1,000s of fish;</w:t>
      </w:r>
    </w:p>
    <w:p w14:paraId="344D951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Reports shall be provided in electronic form to LDWF in an electronic manner as specified by LDWF and containing the elements outlined above in this Section.</w:t>
      </w:r>
    </w:p>
    <w:p w14:paraId="1F5D6F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Beginning February 10, 2024, LDWF shall annually report to the Senate Committee on Natural Resources and the House Committee on Natural Resources and the Environment the commercial harvest from the prior year based upon aggregated data from the monthly reports.</w:t>
      </w:r>
    </w:p>
    <w:p w14:paraId="5E94A4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Definitions</w:t>
      </w:r>
    </w:p>
    <w:p w14:paraId="0775436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Set</w:t>
      </w:r>
      <w:r w:rsidRPr="006E50FF">
        <w:rPr>
          <w:kern w:val="2"/>
        </w:rPr>
        <w:t>—for the purposes of this rule, a “set” is defined as when a purse seine is deployed and encircles a school of menhaden, regardless of whether those fish are reduced to possession by transferring to the mother ship or steamer.</w:t>
      </w:r>
    </w:p>
    <w:p w14:paraId="38A814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Confidentiality</w:t>
      </w:r>
    </w:p>
    <w:p w14:paraId="23262D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Any data provided to LDWF under the provisions of this Rule shall comply with confidentiality provisions set forth in R.S. 56:325.5(D). </w:t>
      </w:r>
    </w:p>
    <w:p w14:paraId="0A9BA7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56:325.5.</w:t>
      </w:r>
    </w:p>
    <w:p w14:paraId="1066D7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49:76 (January 2023), amended LR 52:</w:t>
      </w:r>
    </w:p>
    <w:p w14:paraId="546187E4" w14:textId="77777777" w:rsidR="006E50FF" w:rsidRPr="006E50FF" w:rsidRDefault="006E50FF" w:rsidP="006E50FF">
      <w:pPr>
        <w:keepNext/>
        <w:jc w:val="center"/>
        <w:rPr>
          <w:b/>
          <w:kern w:val="28"/>
        </w:rPr>
      </w:pPr>
      <w:r w:rsidRPr="006E50FF">
        <w:rPr>
          <w:b/>
          <w:kern w:val="28"/>
        </w:rPr>
        <w:t>Family Impact Statement</w:t>
      </w:r>
    </w:p>
    <w:p w14:paraId="3CA725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Act 1183 of 1999, the Department of Wildlife and Fisheries/Wildlife and Fisheries Commission hereby issue its Family Impact Statement in connection with the preceding Notice of Intent. This Notice of Intent will have no impact on the six criteria set out at R.S. 49:972(B).</w:t>
      </w:r>
    </w:p>
    <w:p w14:paraId="73697E40" w14:textId="77777777" w:rsidR="006E50FF" w:rsidRPr="006E50FF" w:rsidRDefault="006E50FF" w:rsidP="006E50FF">
      <w:pPr>
        <w:keepNext/>
        <w:jc w:val="center"/>
        <w:rPr>
          <w:b/>
          <w:kern w:val="28"/>
        </w:rPr>
      </w:pPr>
      <w:r w:rsidRPr="006E50FF">
        <w:rPr>
          <w:b/>
          <w:kern w:val="28"/>
        </w:rPr>
        <w:t>Poverty Impact Statement</w:t>
      </w:r>
    </w:p>
    <w:p w14:paraId="311D5C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rulemaking will have no impact on poverty as described in R.S. 49:973.</w:t>
      </w:r>
    </w:p>
    <w:p w14:paraId="4E747E70" w14:textId="77777777" w:rsidR="006E50FF" w:rsidRPr="006E50FF" w:rsidRDefault="006E50FF" w:rsidP="006E50FF">
      <w:pPr>
        <w:keepNext/>
        <w:jc w:val="center"/>
        <w:rPr>
          <w:b/>
          <w:kern w:val="28"/>
        </w:rPr>
      </w:pPr>
      <w:r w:rsidRPr="006E50FF">
        <w:rPr>
          <w:b/>
          <w:kern w:val="28"/>
        </w:rPr>
        <w:t>Small Business Analysis</w:t>
      </w:r>
    </w:p>
    <w:p w14:paraId="66237A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small businesses as described in R.S. 49:974.4 and R.S. 49:974.5.</w:t>
      </w:r>
    </w:p>
    <w:p w14:paraId="7A115652" w14:textId="77777777" w:rsidR="006E50FF" w:rsidRPr="006E50FF" w:rsidRDefault="006E50FF" w:rsidP="006E50FF">
      <w:pPr>
        <w:keepNext/>
        <w:jc w:val="center"/>
        <w:rPr>
          <w:b/>
          <w:kern w:val="28"/>
        </w:rPr>
      </w:pPr>
      <w:r w:rsidRPr="006E50FF">
        <w:rPr>
          <w:b/>
          <w:kern w:val="28"/>
        </w:rPr>
        <w:t>Provider Impact Statement</w:t>
      </w:r>
    </w:p>
    <w:p w14:paraId="06297E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00DA5DE4" w14:textId="77777777" w:rsidR="006E50FF" w:rsidRPr="006E50FF" w:rsidRDefault="006E50FF" w:rsidP="006E50FF">
      <w:pPr>
        <w:keepNext/>
        <w:jc w:val="center"/>
        <w:rPr>
          <w:b/>
          <w:kern w:val="28"/>
        </w:rPr>
      </w:pPr>
      <w:r w:rsidRPr="006E50FF">
        <w:rPr>
          <w:b/>
          <w:kern w:val="28"/>
        </w:rPr>
        <w:t>Public Comments</w:t>
      </w:r>
    </w:p>
    <w:p w14:paraId="5450A9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relative to the proposed Rule to Jason Adriance, Department of Wildlife and Fisheries, P.O. Box 98000, Baton Rouge, LA 70898-9000, or via e-mail to jadriance@wlf.la.gov prior to 3 p.m. on October 26, 2026.</w:t>
      </w:r>
    </w:p>
    <w:p w14:paraId="358849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8655D31" w14:textId="77777777" w:rsidR="006E50FF" w:rsidRPr="006E50FF" w:rsidRDefault="006E50FF" w:rsidP="006E50FF">
      <w:pPr>
        <w:keepNext/>
        <w:ind w:left="2160"/>
        <w:jc w:val="both"/>
      </w:pPr>
      <w:r w:rsidRPr="006E50FF">
        <w:t>Kenneth A. “Andy” Brister</w:t>
      </w:r>
    </w:p>
    <w:p w14:paraId="73B4F29F" w14:textId="77777777" w:rsidR="006E50FF" w:rsidRPr="006E50FF" w:rsidRDefault="006E50FF" w:rsidP="006E50FF">
      <w:pPr>
        <w:keepNext/>
        <w:ind w:left="2160"/>
        <w:jc w:val="both"/>
      </w:pPr>
      <w:r w:rsidRPr="006E50FF">
        <w:t>Chairman</w:t>
      </w:r>
    </w:p>
    <w:p w14:paraId="7FCCA516" w14:textId="77777777" w:rsidR="006E50FF" w:rsidRPr="006E50FF" w:rsidRDefault="006E50FF" w:rsidP="006E50FF">
      <w:pPr>
        <w:keepNext/>
        <w:jc w:val="center"/>
        <w:rPr>
          <w:b/>
        </w:rPr>
      </w:pPr>
    </w:p>
    <w:p w14:paraId="68E62969" w14:textId="77777777" w:rsidR="006E50FF" w:rsidRPr="006E50FF" w:rsidRDefault="006E50FF" w:rsidP="006E50FF">
      <w:pPr>
        <w:keepNext/>
        <w:jc w:val="center"/>
        <w:rPr>
          <w:b/>
        </w:rPr>
      </w:pPr>
      <w:r w:rsidRPr="006E50FF">
        <w:rPr>
          <w:b/>
        </w:rPr>
        <w:t>FISCAL AND ECONOMIC IMPACT STATEMENT FOR ADMINISTRATIVE RULES</w:t>
      </w:r>
    </w:p>
    <w:p w14:paraId="60CF9B0D" w14:textId="77777777" w:rsidR="006E50FF" w:rsidRPr="006E50FF" w:rsidRDefault="006E50FF" w:rsidP="006E50FF">
      <w:pPr>
        <w:keepNext/>
        <w:jc w:val="center"/>
        <w:rPr>
          <w:b/>
          <w:noProof/>
        </w:rPr>
      </w:pPr>
      <w:r w:rsidRPr="006E50FF">
        <w:rPr>
          <w:b/>
          <w:noProof/>
        </w:rPr>
        <w:t>RULE TITLE:  Commercial Menhaden Reporting Requirements</w:t>
      </w:r>
    </w:p>
    <w:p w14:paraId="177C2FD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24531F1"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399994F" w14:textId="77777777" w:rsidR="006E50FF" w:rsidRPr="006E50FF" w:rsidRDefault="006E50FF" w:rsidP="006E50FF">
      <w:pPr>
        <w:ind w:left="288" w:firstLine="288"/>
        <w:jc w:val="both"/>
        <w:rPr>
          <w:sz w:val="18"/>
        </w:rPr>
      </w:pPr>
      <w:r w:rsidRPr="006E50FF">
        <w:rPr>
          <w:sz w:val="18"/>
        </w:rPr>
        <w:t xml:space="preserve">The proposed rule change is not anticipated to impact costs or savings for state or local governmental units. The proposed rule change eliminates the requirement to record the length of 15 fish from every take of menhaden harvested commercially in Louisiana. The proposed rule change removes confidentiality </w:t>
      </w:r>
      <w:r w:rsidRPr="006E50FF">
        <w:rPr>
          <w:sz w:val="18"/>
        </w:rPr>
        <w:br w:type="column"/>
      </w:r>
      <w:r w:rsidRPr="006E50FF">
        <w:rPr>
          <w:sz w:val="18"/>
        </w:rPr>
        <w:t>protections for data related to Louisiana's commercial menhaden harvests. The removal of the requirement to record fish lengths in every set is intended to reduce the regulatory burden associated with commercial menhaden harvests. The removal of confidentiality protections for commercial menhaden harvests is intended to make Title 76 consistent with Louisiana law that removed the protections as a means to make information public about the menhaden fishery.</w:t>
      </w:r>
    </w:p>
    <w:p w14:paraId="369B2C5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A01BC41"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the state or local governmental units.</w:t>
      </w:r>
    </w:p>
    <w:p w14:paraId="2FA00CF7"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A1E233E" w14:textId="77777777" w:rsidR="006E50FF" w:rsidRPr="006E50FF" w:rsidRDefault="006E50FF" w:rsidP="006E50FF">
      <w:pPr>
        <w:ind w:left="288" w:firstLine="288"/>
        <w:jc w:val="both"/>
        <w:rPr>
          <w:sz w:val="18"/>
        </w:rPr>
      </w:pPr>
      <w:r w:rsidRPr="006E50FF">
        <w:rPr>
          <w:sz w:val="18"/>
        </w:rPr>
        <w:t>The proposed rule change is anticipated to lower costs of complying with LDWF commercial fisheries data requirements for directly affected persons and businesses. The proposed rule change is anticipated to reduce the time dedicated to making and maintaining records of menhaden harvested commercially in Louisiana. Menhaden harvesting crews completed an average of 15,000 sets for menhaden per year. The proposed rule would eliminate the requirement to measure 15 fish from each set. Assuming that the procedure takes about 10 minutes per set, the removal of the reporting requirement would reduce regulatory compliance effort by approximately 2,500 worker-hours per year.</w:t>
      </w:r>
    </w:p>
    <w:p w14:paraId="613ACE40"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8074717"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w:t>
      </w:r>
    </w:p>
    <w:p w14:paraId="3A3F0F07" w14:textId="77777777" w:rsidR="006E50FF" w:rsidRPr="006E50FF" w:rsidRDefault="006E50FF" w:rsidP="006E50FF">
      <w:pPr>
        <w:ind w:left="288" w:firstLine="288"/>
        <w:jc w:val="both"/>
        <w:rPr>
          <w:sz w:val="18"/>
        </w:rPr>
      </w:pPr>
    </w:p>
    <w:p w14:paraId="203058EF" w14:textId="77777777" w:rsidR="006E50FF" w:rsidRPr="006E50FF" w:rsidRDefault="006E50FF" w:rsidP="006E50FF">
      <w:pPr>
        <w:tabs>
          <w:tab w:val="left" w:pos="2880"/>
          <w:tab w:val="decimal" w:pos="2988"/>
        </w:tabs>
        <w:outlineLvl w:val="8"/>
        <w:rPr>
          <w:kern w:val="2"/>
          <w:sz w:val="18"/>
        </w:rPr>
      </w:pPr>
      <w:r w:rsidRPr="006E50FF">
        <w:rPr>
          <w:kern w:val="2"/>
          <w:sz w:val="18"/>
        </w:rPr>
        <w:t>Cara Tyler</w:t>
      </w:r>
      <w:r w:rsidRPr="006E50FF">
        <w:rPr>
          <w:kern w:val="2"/>
          <w:sz w:val="18"/>
        </w:rPr>
        <w:tab/>
        <w:t>Patrice Thomas</w:t>
      </w:r>
    </w:p>
    <w:p w14:paraId="79D0970C"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523F9979" w14:textId="77777777" w:rsidR="006E50FF" w:rsidRPr="006E50FF" w:rsidRDefault="006E50FF" w:rsidP="006E50FF">
      <w:pPr>
        <w:tabs>
          <w:tab w:val="left" w:pos="2880"/>
          <w:tab w:val="decimal" w:pos="2988"/>
        </w:tabs>
        <w:outlineLvl w:val="8"/>
        <w:rPr>
          <w:kern w:val="2"/>
          <w:sz w:val="18"/>
        </w:rPr>
      </w:pPr>
      <w:r w:rsidRPr="006E50FF">
        <w:rPr>
          <w:noProof/>
          <w:sz w:val="16"/>
        </w:rPr>
        <w:t>2609#054</w:t>
      </w:r>
      <w:r w:rsidRPr="006E50FF">
        <w:rPr>
          <w:kern w:val="2"/>
        </w:rPr>
        <w:tab/>
      </w:r>
      <w:r w:rsidRPr="006E50FF">
        <w:rPr>
          <w:kern w:val="2"/>
          <w:sz w:val="18"/>
        </w:rPr>
        <w:t>Legislative Fiscal Office</w:t>
      </w:r>
    </w:p>
    <w:p w14:paraId="6CEFA95F" w14:textId="77777777" w:rsidR="006E50FF" w:rsidRPr="006E50FF" w:rsidRDefault="006E50FF" w:rsidP="006E50FF"/>
    <w:p w14:paraId="4141895D"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0A3F8556" w14:textId="77777777" w:rsidR="006E50FF" w:rsidRPr="006E50FF" w:rsidRDefault="006E50FF" w:rsidP="006E50FF">
      <w:pPr>
        <w:keepNext/>
        <w:jc w:val="center"/>
        <w:rPr>
          <w:b/>
          <w:noProof/>
        </w:rPr>
      </w:pPr>
      <w:r w:rsidRPr="006E50FF">
        <w:rPr>
          <w:b/>
          <w:noProof/>
        </w:rPr>
        <w:t>Department of Wildlife and Fisheries</w:t>
      </w:r>
    </w:p>
    <w:p w14:paraId="41EAF1D5" w14:textId="77777777" w:rsidR="006E50FF" w:rsidRPr="006E50FF" w:rsidRDefault="006E50FF" w:rsidP="006E50FF">
      <w:pPr>
        <w:keepNext/>
        <w:jc w:val="center"/>
        <w:rPr>
          <w:b/>
          <w:noProof/>
        </w:rPr>
      </w:pPr>
      <w:r w:rsidRPr="006E50FF">
        <w:rPr>
          <w:b/>
          <w:noProof/>
        </w:rPr>
        <w:t>Wildlife and Fisheries Commission</w:t>
      </w:r>
    </w:p>
    <w:p w14:paraId="6D4C5E0E" w14:textId="77777777" w:rsidR="006E50FF" w:rsidRPr="006E50FF" w:rsidRDefault="006E50FF" w:rsidP="006E50FF">
      <w:pPr>
        <w:keepNext/>
        <w:spacing w:before="240" w:after="240"/>
        <w:jc w:val="center"/>
        <w:rPr>
          <w:noProof/>
        </w:rPr>
      </w:pPr>
      <w:r w:rsidRPr="006E50FF">
        <w:rPr>
          <w:noProof/>
        </w:rPr>
        <w:t>Vessel Equipment; Requirements; Penalties</w:t>
      </w:r>
      <w:r w:rsidRPr="006E50FF">
        <w:rPr>
          <w:noProof/>
        </w:rPr>
        <w:br/>
        <w:t>(LAC 76:XI.Chapter 1 and Chapter 3)</w:t>
      </w:r>
    </w:p>
    <w:p w14:paraId="25C12B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Wildlife and Fisheries Commission does hereby establish rules and regulations modifying the equipment requirements of vessels to the extent necessary to keep these requirements in conformity with the provisions of the federal navigation laws or with the navigation rules promulgated by the United States Coast Guard.</w:t>
      </w:r>
    </w:p>
    <w:p w14:paraId="7EB1CD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Rule, the secretary is authorized and directed to prepare and transmit a summary report to the legislative oversight committees and file the final rule.</w:t>
      </w:r>
    </w:p>
    <w:p w14:paraId="062816BC" w14:textId="77777777" w:rsidR="006E50FF" w:rsidRPr="006E50FF" w:rsidRDefault="006E50FF" w:rsidP="006E50FF">
      <w:pPr>
        <w:keepNext/>
        <w:jc w:val="center"/>
        <w:rPr>
          <w:b/>
          <w:kern w:val="28"/>
        </w:rPr>
      </w:pPr>
      <w:r w:rsidRPr="006E50FF">
        <w:rPr>
          <w:b/>
          <w:kern w:val="28"/>
        </w:rPr>
        <w:lastRenderedPageBreak/>
        <w:t>Title 76</w:t>
      </w:r>
    </w:p>
    <w:p w14:paraId="4AFCE2DE" w14:textId="77777777" w:rsidR="006E50FF" w:rsidRPr="006E50FF" w:rsidRDefault="006E50FF" w:rsidP="006E50FF">
      <w:pPr>
        <w:keepNext/>
        <w:jc w:val="center"/>
        <w:rPr>
          <w:b/>
          <w:kern w:val="28"/>
        </w:rPr>
      </w:pPr>
      <w:r w:rsidRPr="006E50FF">
        <w:rPr>
          <w:b/>
          <w:kern w:val="28"/>
        </w:rPr>
        <w:t>WILDLIFE AND FISHERIES</w:t>
      </w:r>
    </w:p>
    <w:p w14:paraId="62983DCE" w14:textId="77777777" w:rsidR="006E50FF" w:rsidRPr="006E50FF" w:rsidRDefault="006E50FF" w:rsidP="006E50FF">
      <w:pPr>
        <w:keepNext/>
        <w:jc w:val="center"/>
        <w:rPr>
          <w:b/>
          <w:noProof/>
        </w:rPr>
      </w:pPr>
      <w:r w:rsidRPr="006E50FF">
        <w:rPr>
          <w:b/>
          <w:noProof/>
        </w:rPr>
        <w:t>Part XI.  Boating</w:t>
      </w:r>
    </w:p>
    <w:p w14:paraId="0587FBE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Vessel Equipment; Requirements; Penalties</w:t>
      </w:r>
    </w:p>
    <w:p w14:paraId="4CD78E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90" w:name="_Toc249235200"/>
      <w:bookmarkStart w:id="791" w:name="_Toc249843932"/>
      <w:bookmarkStart w:id="792" w:name="_Toc109716921"/>
      <w:bookmarkStart w:id="793" w:name="_Toc109717232"/>
      <w:bookmarkStart w:id="794" w:name="_Toc109717871"/>
      <w:bookmarkStart w:id="795" w:name="_Toc230261935"/>
      <w:r w:rsidRPr="006E50FF">
        <w:rPr>
          <w:b/>
          <w:kern w:val="2"/>
        </w:rPr>
        <w:t>§103.</w:t>
      </w:r>
      <w:r w:rsidRPr="006E50FF">
        <w:rPr>
          <w:b/>
          <w:kern w:val="2"/>
        </w:rPr>
        <w:tab/>
        <w:t>Flotation Devices</w:t>
      </w:r>
      <w:bookmarkEnd w:id="790"/>
      <w:bookmarkEnd w:id="791"/>
      <w:bookmarkEnd w:id="792"/>
      <w:bookmarkEnd w:id="793"/>
      <w:bookmarkEnd w:id="794"/>
      <w:bookmarkEnd w:id="795"/>
    </w:p>
    <w:p w14:paraId="04793C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R.S. 34:851.24(F)(1), the provisions of this Section shall apply on all waters within the jurisdiction of this state.</w:t>
      </w:r>
    </w:p>
    <w:p w14:paraId="3A1072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Definitions</w:t>
      </w:r>
    </w:p>
    <w:p w14:paraId="24169B1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Hand Tiller Outboard Motor</w:t>
      </w:r>
      <w:r w:rsidRPr="006E50FF">
        <w:rPr>
          <w:kern w:val="2"/>
        </w:rPr>
        <w:t>—an outboard motor that has a tiller or steering arm attached to the outboard motor to facilitate steering and does not have any mechanical assist device which is rigidly attached to the boat and used in steering the vessel, including but not limited to mechanical, hydraulic, or electronic control systems. Hand tiller outboard motor shall not mean any type of electronic trolling motor.</w:t>
      </w:r>
    </w:p>
    <w:p w14:paraId="1248676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Operate</w:t>
      </w:r>
      <w:r w:rsidRPr="006E50FF">
        <w:rPr>
          <w:kern w:val="2"/>
        </w:rPr>
        <w:t>—to navigate or otherwise control the movement of a vessel, including controlling the vessel's propulsion system.</w:t>
      </w:r>
    </w:p>
    <w:p w14:paraId="7EB4583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Operator</w:t>
      </w:r>
      <w:r w:rsidRPr="006E50FF">
        <w:rPr>
          <w:kern w:val="2"/>
        </w:rPr>
        <w:t>—any person who navigates or is otherwise in control or in charge of the movement of a vessel, including the vessel's propulsion system.</w:t>
      </w:r>
    </w:p>
    <w:p w14:paraId="67A87EA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Owner</w:t>
      </w:r>
      <w:r w:rsidRPr="006E50FF">
        <w:rPr>
          <w:kern w:val="2"/>
        </w:rPr>
        <w:t>—a person, other than the lienholder, having the property in or registration to the vessel.</w:t>
      </w:r>
    </w:p>
    <w:p w14:paraId="4610D79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Personal Flotation Device</w:t>
      </w:r>
      <w:r w:rsidRPr="006E50FF">
        <w:rPr>
          <w:kern w:val="2"/>
        </w:rPr>
        <w:t xml:space="preserve"> or </w:t>
      </w:r>
      <w:r w:rsidRPr="006E50FF">
        <w:rPr>
          <w:i/>
          <w:kern w:val="2"/>
        </w:rPr>
        <w:t>PFD</w:t>
      </w:r>
      <w:r w:rsidRPr="006E50FF">
        <w:rPr>
          <w:kern w:val="2"/>
        </w:rPr>
        <w:t>—a device approved by the United States Coast Guard under 46 CFR Part 160, which is labeled with such approval and with the appropriate size for the person intended and which is in serviceable condition.</w:t>
      </w:r>
    </w:p>
    <w:p w14:paraId="0F2C8C4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Readily Accessible</w:t>
      </w:r>
      <w:r w:rsidRPr="006E50FF">
        <w:rPr>
          <w:kern w:val="2"/>
        </w:rPr>
        <w:t>—easily located and retrieved without searching, delay, hindrance or being in a locked area.</w:t>
      </w:r>
    </w:p>
    <w:p w14:paraId="3B0E95B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Serviceable Condition</w:t>
      </w:r>
      <w:r w:rsidRPr="006E50FF">
        <w:rPr>
          <w:kern w:val="2"/>
        </w:rPr>
        <w:t>—a condition as defined by the United States Coast Guard under 33 CFR 175.23.</w:t>
      </w:r>
    </w:p>
    <w:p w14:paraId="3992C5C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Throwable PFD</w:t>
      </w:r>
      <w:r w:rsidRPr="006E50FF">
        <w:rPr>
          <w:kern w:val="2"/>
        </w:rPr>
        <w:t>—a PFD that is intended to be thrown to a person in the water. A PFD marked as Type IV, or Type V with Type IV performance, is considered a throwable PFD.</w:t>
      </w:r>
    </w:p>
    <w:p w14:paraId="4EBB436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Trick Water-Skier</w:t>
      </w:r>
      <w:r w:rsidRPr="006E50FF">
        <w:rPr>
          <w:kern w:val="2"/>
        </w:rPr>
        <w:t>—a trick water-skier is a person whose equipment and activities have all of the following characteristics:</w:t>
      </w:r>
    </w:p>
    <w:p w14:paraId="0114CE6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type of skis: for standard double trick skis, a length of no more than 46 inches and width of at least 8 inches, with no keels on the bottom; for single trick boards, a length of no more than 56 inches and width of at least 22 inches, with no keel on bottom; and</w:t>
      </w:r>
    </w:p>
    <w:p w14:paraId="163E5FE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tow rope no longer than 50 feet.</w:t>
      </w:r>
    </w:p>
    <w:p w14:paraId="71F182F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Vessel</w:t>
      </w:r>
      <w:r w:rsidRPr="006E50FF">
        <w:rPr>
          <w:kern w:val="2"/>
        </w:rPr>
        <w:t>—watercraft and airboats of every description, other than seaplane(s), located on the water and, used or capable of being used as a means of transportation on the water.</w:t>
      </w:r>
    </w:p>
    <w:p w14:paraId="5939707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Watersports</w:t>
      </w:r>
      <w:r w:rsidRPr="006E50FF">
        <w:rPr>
          <w:kern w:val="2"/>
        </w:rPr>
        <w:t>—activities that involve being towed by, or riding in the wake of, a vessel and include but are not limited to water skiing, wake boarding, wake surfing, and tubing.</w:t>
      </w:r>
    </w:p>
    <w:p w14:paraId="0B9B7E4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Wearable PFD</w:t>
      </w:r>
      <w:r w:rsidRPr="006E50FF">
        <w:rPr>
          <w:kern w:val="2"/>
        </w:rPr>
        <w:t>—a PFD that is intended to be worn or otherwise attached to the body. A PFD marked as Type I, Type II, Type III, or Type V with Type I, II, or III performance is considered a wearable PFD.</w:t>
      </w:r>
    </w:p>
    <w:p w14:paraId="67488B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Personal Flotation Device Requirements</w:t>
      </w:r>
    </w:p>
    <w:p w14:paraId="651094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Every operator of a vessel shall ensure that the vessel is carrying at least one readily accessible wearable personal flotation device for each person on board. In addition, vessels 16 feet or over in length shall carry at least one throwable </w:t>
      </w:r>
      <w:r w:rsidRPr="006E50FF">
        <w:rPr>
          <w:kern w:val="2"/>
        </w:rPr>
        <w:t>personal flotation device. Canoes and kayaks 16 feet or more in length are exempt from the requirement to carry the additional throwable personal flotation device.</w:t>
      </w:r>
    </w:p>
    <w:p w14:paraId="480B46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United States Coast Guard approved PFD may be used as required by this Part provided:</w:t>
      </w:r>
    </w:p>
    <w:p w14:paraId="73A24F6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approval label on the PFD indicates that the device is approved by the United States Coast Guard:</w:t>
      </w:r>
    </w:p>
    <w:p w14:paraId="34CD215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for the activity for which the vessel is being used; or</w:t>
      </w:r>
    </w:p>
    <w:p w14:paraId="3C8521C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as a substitute for a PFD of the type required by this Part on the vessel in use; and</w:t>
      </w:r>
    </w:p>
    <w:p w14:paraId="5A6DD65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PFD is used in accordance with any requirements of its approval label; and</w:t>
      </w:r>
    </w:p>
    <w:p w14:paraId="42C3A10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PFD is used in accordance with requirements in its owner's manual, if its approval label makes reference to such manual.</w:t>
      </w:r>
    </w:p>
    <w:p w14:paraId="6605DE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persons onboard a Class A motorboat which is being propelled by a hand tiller outboard motor shall be required to wear a USCG approved wearable personal flotation device while the motorboat is underway.</w:t>
      </w:r>
    </w:p>
    <w:p w14:paraId="0A3B038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operator shall be responsible to ensure all persons on board are in compliance with this Section.</w:t>
      </w:r>
    </w:p>
    <w:p w14:paraId="15035C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Persons engaged in watersports shall wear a wearable PFD. No vessel operator shall tow a watersports participant who is not wearing such a device. No person shall use an inflatable PFD to meet the requirements of this Section. Exceptions to the requirements of this Subsection are allowed during Department of Wildlife and Fisheries and/or United States Coast Guard permitted marine events under the following conditions:</w:t>
      </w:r>
    </w:p>
    <w:p w14:paraId="3D121A1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skier engaged in barefoot water-skiing who wears a barefoot wetsuit designed specifically for such activity;</w:t>
      </w:r>
    </w:p>
    <w:p w14:paraId="7A7EC9B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skier engaged in trick water-skiing whose movements would be restricted or impeded by the bulk of a PFD;</w:t>
      </w:r>
    </w:p>
    <w:p w14:paraId="6D0CDBD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operator of a vessel towing a trick water-skier or barefoot water-skier shall make a PFD readily available aboard the tow vessel for each such skier who elects not to wear such a device while skiing.</w:t>
      </w:r>
    </w:p>
    <w:p w14:paraId="215A1A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No person shall operate a Class A or Class 1 motorboat or vessel underway with any person 16 years of age or younger aboard unless each such person is wearing a Coast Guard approved wearable personal flotation device, as required by R.S. 34:851.24(F). This Paragraph does not apply to persons 13 years of age or older while engaged in commercial fishing operations on commercial fishing vessels.</w:t>
      </w:r>
    </w:p>
    <w:p w14:paraId="18C99C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Violation of this Section is a class one violation as defined in R.S. 56:31.</w:t>
      </w:r>
    </w:p>
    <w:p w14:paraId="0994E0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34:851.24.</w:t>
      </w:r>
    </w:p>
    <w:p w14:paraId="2F6BAF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11:705 (July 1985), amended LR 26:1493 (July 2000), LR 33:538 (March 2007), LR 34:885 (May 2008), LR 52:</w:t>
      </w:r>
    </w:p>
    <w:p w14:paraId="513F2A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96" w:name="_Toc249235201"/>
      <w:bookmarkStart w:id="797" w:name="_Toc249843933"/>
      <w:bookmarkStart w:id="798" w:name="_Toc109716922"/>
      <w:bookmarkStart w:id="799" w:name="_Toc109717233"/>
      <w:bookmarkStart w:id="800" w:name="_Toc109717872"/>
      <w:bookmarkStart w:id="801" w:name="_Toc230261936"/>
      <w:r w:rsidRPr="006E50FF">
        <w:rPr>
          <w:b/>
          <w:kern w:val="2"/>
        </w:rPr>
        <w:t>§105.</w:t>
      </w:r>
      <w:r w:rsidRPr="006E50FF">
        <w:rPr>
          <w:b/>
          <w:kern w:val="2"/>
        </w:rPr>
        <w:tab/>
        <w:t>Fire Extinguishers</w:t>
      </w:r>
      <w:bookmarkEnd w:id="796"/>
      <w:bookmarkEnd w:id="797"/>
      <w:bookmarkEnd w:id="798"/>
      <w:bookmarkEnd w:id="799"/>
      <w:bookmarkEnd w:id="800"/>
      <w:bookmarkEnd w:id="801"/>
    </w:p>
    <w:p w14:paraId="7F5637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R.S. 34:851.24(G) the commission prescribes the following regulations for fire extinguishers on motorboats.</w:t>
      </w:r>
    </w:p>
    <w:p w14:paraId="29A38E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motorboats of closed construction shall carry the appropriate approved fire extinguishers according to its length.</w:t>
      </w:r>
    </w:p>
    <w:p w14:paraId="02A30D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Class A (under 16 feet in length). At least one approved B-I or 5-B portable fire extinguisher.</w:t>
      </w:r>
    </w:p>
    <w:p w14:paraId="44389A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Class 1 (16 feet to less than 26 feet in length). At least one approved B-I or 5-B portable fire extinguisher.</w:t>
      </w:r>
    </w:p>
    <w:p w14:paraId="4A9632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Class 2 (26 feet to less than 40 feet in length). At least two approved B-I or two 5-B portable fire extinguishers or at least one approved 20-B portable fire extinguisher.</w:t>
      </w:r>
    </w:p>
    <w:p w14:paraId="7F17E0FE"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4.</w:t>
      </w:r>
      <w:r w:rsidRPr="006E50FF">
        <w:rPr>
          <w:kern w:val="2"/>
        </w:rPr>
        <w:tab/>
        <w:t xml:space="preserve">Class 3 (40 feet and above in length). At least three approved B-I or 5-B portable fire extinguishers or at least one approved B-I, 5-B and one approved 20-B portable fire extinguishers. </w:t>
      </w:r>
    </w:p>
    <w:p w14:paraId="521F79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When a fixed fire extinguishing system of a type approved by the U.S. Coast Guard is installed on a vessel, it shall take the place of one 5-B portable fire extinguisher.</w:t>
      </w:r>
    </w:p>
    <w:p w14:paraId="1C755B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All open motorboats shall be required to carry the same approved fire extinguishers according to class, except that open motorboats of outboard design where the construction of such motorboats will not permit the entrapment of explosive or flammable gases or vapors and less than 26 feet in length shall not require fire extinguishers.</w:t>
      </w:r>
    </w:p>
    <w:p w14:paraId="5D3B3F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For the purpose of this Part, motorboats of closed construction shall mean any motorboat that has one or more of the following conditions:</w:t>
      </w:r>
    </w:p>
    <w:p w14:paraId="450C99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inboard engine;</w:t>
      </w:r>
    </w:p>
    <w:p w14:paraId="0F5998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closed compartments under thwarts and seats wherein portable fuel tanks are stored;</w:t>
      </w:r>
    </w:p>
    <w:p w14:paraId="7B2E6A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double bottoms not sealed to the hull or which are not completely filled with flotation materials;</w:t>
      </w:r>
    </w:p>
    <w:p w14:paraId="3EC8FB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closed living spaces;</w:t>
      </w:r>
    </w:p>
    <w:p w14:paraId="3F6E3C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closed storage compartments in which combustible or flammable material is stored;</w:t>
      </w:r>
    </w:p>
    <w:p w14:paraId="0301C5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permanently installed fuel tanks.</w:t>
      </w:r>
    </w:p>
    <w:p w14:paraId="76022A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The term </w:t>
      </w:r>
      <w:r w:rsidRPr="006E50FF">
        <w:rPr>
          <w:i/>
          <w:kern w:val="2"/>
        </w:rPr>
        <w:t xml:space="preserve">approved </w:t>
      </w:r>
      <w:r w:rsidRPr="006E50FF">
        <w:rPr>
          <w:kern w:val="2"/>
        </w:rPr>
        <w:t>for this Part shall mean certified by the U.S. Coast Guard and bearing the U.S. Coast Guard approval number of UL (Underwriters Laboratory) seal listing its approval for marine use.</w:t>
      </w:r>
    </w:p>
    <w:p w14:paraId="4C1D6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All fire extinguishers must be maintained in proper working order and fully charged.</w:t>
      </w:r>
    </w:p>
    <w:p w14:paraId="205C42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Violation of this Section is a class one violation as defined in R.S. 56:31.</w:t>
      </w:r>
    </w:p>
    <w:p w14:paraId="0E683D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34:851.24.</w:t>
      </w:r>
    </w:p>
    <w:p w14:paraId="501E1D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Wildlife and Fisheries, Wildlife and Fisheries Commission, LR 11:706 (July 1985), amended LR 52: </w:t>
      </w:r>
      <w:bookmarkStart w:id="802" w:name="_Toc249235204"/>
      <w:bookmarkStart w:id="803" w:name="_Toc249843936"/>
      <w:bookmarkStart w:id="804" w:name="_Toc109716925"/>
      <w:bookmarkStart w:id="805" w:name="_Toc109717236"/>
      <w:bookmarkStart w:id="806" w:name="_Toc109717875"/>
      <w:bookmarkStart w:id="807" w:name="_Toc230261939"/>
    </w:p>
    <w:p w14:paraId="2E52F9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w:t>
      </w:r>
      <w:r w:rsidRPr="006E50FF">
        <w:rPr>
          <w:b/>
          <w:kern w:val="2"/>
        </w:rPr>
        <w:tab/>
        <w:t>Emergency Cut-off Switches</w:t>
      </w:r>
      <w:bookmarkEnd w:id="802"/>
      <w:bookmarkEnd w:id="803"/>
      <w:bookmarkEnd w:id="804"/>
      <w:bookmarkEnd w:id="805"/>
      <w:bookmarkEnd w:id="806"/>
      <w:bookmarkEnd w:id="807"/>
    </w:p>
    <w:p w14:paraId="40406A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R.S. 34:851.24 and R.S. 34:851.27, the provisions of this Section shall apply on all waters within the jurisdiction of this state.</w:t>
      </w:r>
    </w:p>
    <w:p w14:paraId="024209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Definitions</w:t>
      </w:r>
    </w:p>
    <w:p w14:paraId="3A7A7B5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Engine Cut-off Switch</w:t>
      </w:r>
      <w:r w:rsidRPr="006E50FF">
        <w:rPr>
          <w:kern w:val="2"/>
        </w:rPr>
        <w:t>—an operable emergency cut-off engine stop switch installed on a motorboat and that attaches to the motorboat operator by an engine cut-off switch link.</w:t>
      </w:r>
    </w:p>
    <w:p w14:paraId="07DA2FE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Engine Cut-off Switch Link</w:t>
      </w:r>
      <w:r w:rsidRPr="006E50FF">
        <w:rPr>
          <w:kern w:val="2"/>
        </w:rPr>
        <w:t>—the lanyard and/or cut-off device used to attach the motorboat operator to the engine cut-off switch installed on the motorboat.</w:t>
      </w:r>
    </w:p>
    <w:p w14:paraId="586D122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Hand Tiller Outboard Motor</w:t>
      </w:r>
      <w:r w:rsidRPr="006E50FF">
        <w:rPr>
          <w:kern w:val="2"/>
        </w:rPr>
        <w:t>—an outboard motor that has a tiller or steering arm attached to the outboard motor to facilitate steering and does not have any mechanical assist device which is rigidly attached to the boat and used in steering the vessel, including but not limited to mechanical, hydraulic or electronic control systems. Hand tiller outboard motor shall not mean any type of electronic trolling motor.</w:t>
      </w:r>
    </w:p>
    <w:p w14:paraId="6B5E3C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person shall operate a motorboat less than 26 feet in length, designed to have or having an engine cut-off switch, while the engine is operating on plane or above displacement speed, without having the engine cut-off switch link attached to the operator, the operator’s clothing, or, if worn, the operator’s personal flotation device.</w:t>
      </w:r>
    </w:p>
    <w:p w14:paraId="194229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Exemptions: This Subsection does not apply if the vessel’s main helm is installed within an enclosed cabin.</w:t>
      </w:r>
    </w:p>
    <w:p w14:paraId="1A439F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 person shall operate a Class A or Class One motorboat with a hand tiller outboard motor in excess of 10 horsepower designed to have or having an engine cut-off switch, while the engine is running and the motorboat is underway, unless:</w:t>
      </w:r>
    </w:p>
    <w:p w14:paraId="2F55D8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engine cut-off switch is fully functional and in operable condition; and</w:t>
      </w:r>
    </w:p>
    <w:p w14:paraId="0B6D26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engine cut-off switch link is attached to the operator, the operator's clothing, or if worn, the operator's personal flotation device.</w:t>
      </w:r>
    </w:p>
    <w:p w14:paraId="756C8C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provisions of this Section shall not apply to licensed commercial fishermen operating a motorboat while engaged in a commercial fishing activity or to Wildlife Enforcement Agents, police officers, or other emergency personnel while in the performance of their duty.</w:t>
      </w:r>
    </w:p>
    <w:p w14:paraId="604F05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provisions of this Section shall not apply to sailboats.</w:t>
      </w:r>
    </w:p>
    <w:p w14:paraId="528DC5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Violation of this Section is a class one violation as defined in R.S. 56:31.</w:t>
      </w:r>
    </w:p>
    <w:p w14:paraId="23D274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34:851.24 and R.S. 34:851.27.</w:t>
      </w:r>
    </w:p>
    <w:p w14:paraId="5BC606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34:1049 (June 2008), repromulgated LR 34:1429 (July 2008), amended LR 52:</w:t>
      </w:r>
    </w:p>
    <w:p w14:paraId="56F033E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Boating Safety</w:t>
      </w:r>
    </w:p>
    <w:p w14:paraId="5803C4E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 xml:space="preserve">Assignment of Hull Identification Numbers to Undocumented Vessels Manufactured or Homebuilt in Louisiana </w:t>
      </w:r>
    </w:p>
    <w:p w14:paraId="23A60D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vessels manufactured for sale in Louisiana shall conform to federal standards established in 46 USC 4301, et seq. or any federal regulation prescribed thereunder. Each vessel manufactured for sale in Louisiana shall have a hull identification number (HIN) assigned by the United States Coast Guard (USCG).</w:t>
      </w:r>
    </w:p>
    <w:p w14:paraId="34737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Notwithstanding the provisions of Subsection A, the assignment of hull identification numbers (HIN) by the state to certain undocumented vessels manufactured or homebuilt in this state that do not qualify for the assignment of such numbers by the USCG shall apply to the following:</w:t>
      </w:r>
    </w:p>
    <w:p w14:paraId="4D0CE8DA"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 xml:space="preserve">Homemade Boats: A </w:t>
      </w:r>
      <w:r w:rsidRPr="006E50FF">
        <w:rPr>
          <w:i/>
          <w:kern w:val="2"/>
        </w:rPr>
        <w:t xml:space="preserve">homemade boat </w:t>
      </w:r>
      <w:r w:rsidRPr="006E50FF">
        <w:rPr>
          <w:kern w:val="2"/>
        </w:rPr>
        <w:t xml:space="preserve">means a vessel that is built by an individual for personal use from raw materials that does not require the assignment of a federal hull identification number by a manufacturer pursuant to federal law. The term shall not include a rebuilt or reconstituted vessel in accordance with R.S. 34:851.20M. </w:t>
      </w:r>
    </w:p>
    <w:p w14:paraId="034DE038"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2.</w:t>
      </w:r>
      <w:r w:rsidRPr="006E50FF">
        <w:rPr>
          <w:kern w:val="2"/>
        </w:rPr>
        <w:tab/>
        <w:t xml:space="preserve">Manufactured Recreational Vessels: A </w:t>
      </w:r>
      <w:r w:rsidRPr="006E50FF">
        <w:rPr>
          <w:i/>
          <w:kern w:val="2"/>
        </w:rPr>
        <w:t>manufactured vessel</w:t>
      </w:r>
      <w:r w:rsidRPr="006E50FF">
        <w:rPr>
          <w:kern w:val="2"/>
        </w:rPr>
        <w:t xml:space="preserve"> means a vessel built, assembled, or imported by a licensed corporate entity or person engaged in the business of trade or sale. Manufactured recreational vessels older than 10 years that are missing a HIN, or have an improper HIN, may receive a state assigned HIN at the time of inspection by the state, provided an original identification number that meets the HIN format prescribed by federal regulations cannot be found or determined. </w:t>
      </w:r>
    </w:p>
    <w:p w14:paraId="5D9F82D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lastRenderedPageBreak/>
        <w:t>3.</w:t>
      </w:r>
      <w:r w:rsidRPr="006E50FF">
        <w:rPr>
          <w:kern w:val="2"/>
        </w:rPr>
        <w:tab/>
        <w:t xml:space="preserve">Bare Hulls: A bare hull is an empty, unfinished hull with no installed seating, controls, consoles, flotation, navigation lights, or other associated equipment. Therefore, bare hulls are not subject to USCG safety standards and are not required to have HINs. Bare hulls acquired for the purpose of building a homebuilt vessel will be issued a state assigned HIN as a homemade vessel. </w:t>
      </w:r>
    </w:p>
    <w:p w14:paraId="4B6B11F4"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4.</w:t>
      </w:r>
      <w:r w:rsidRPr="006E50FF">
        <w:rPr>
          <w:kern w:val="2"/>
        </w:rPr>
        <w:tab/>
        <w:t xml:space="preserve">Self-Imported Foreign Vessels: A </w:t>
      </w:r>
      <w:r w:rsidRPr="006E50FF">
        <w:rPr>
          <w:i/>
          <w:kern w:val="2"/>
        </w:rPr>
        <w:t>self-imported foreign vessel</w:t>
      </w:r>
      <w:r w:rsidRPr="006E50FF">
        <w:rPr>
          <w:kern w:val="2"/>
        </w:rPr>
        <w:t xml:space="preserve"> means a single recreational vessel self-imported from a country outside of the United States by an individual for their own personal use. For a vessel to qualify as self-imported, the owner must take delivery from the manufacturer overseas and personally arrange for shipping/transportation to the United States, either individually or through use of a shipping agent. Documentation from U.S. Customs and Border Patrol (CBP) or a shipping agent may assist in determining a self-import.</w:t>
      </w:r>
    </w:p>
    <w:p w14:paraId="659C8FA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Vessels ordered through the internet from a company or third-party retailer and are shipped directly to the customer do not qualify for a state assigned HIN.</w:t>
      </w:r>
      <w:r w:rsidRPr="006E50FF" w:rsidDel="00B42469">
        <w:rPr>
          <w:kern w:val="2"/>
        </w:rPr>
        <w:t xml:space="preserve"> </w:t>
      </w:r>
    </w:p>
    <w:p w14:paraId="424128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Notwithstanding the provisions of Subsection B, the following vessels shall not be eligible for a state assigned HIN.</w:t>
      </w:r>
    </w:p>
    <w:p w14:paraId="58C746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Manufactured vessels that are within 10 years of manufacture. </w:t>
      </w:r>
    </w:p>
    <w:p w14:paraId="6FF4B3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Vessels imported into the United States for the purpose of re-sale.</w:t>
      </w:r>
    </w:p>
    <w:p w14:paraId="19A6F8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Kit Boats: A </w:t>
      </w:r>
      <w:r w:rsidRPr="006E50FF">
        <w:rPr>
          <w:i/>
          <w:kern w:val="2"/>
        </w:rPr>
        <w:t>kit boat</w:t>
      </w:r>
      <w:r w:rsidRPr="006E50FF">
        <w:rPr>
          <w:kern w:val="2"/>
        </w:rPr>
        <w:t xml:space="preserve"> means a partially built vessel sold by one entity with assembly completed by another entity. This is considered a manufactured vessel, and must have a HIN provided by the manufacturer of the kit.</w:t>
      </w:r>
    </w:p>
    <w:p w14:paraId="35A157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Commercial use only Vessels: A </w:t>
      </w:r>
      <w:r w:rsidRPr="006E50FF">
        <w:rPr>
          <w:i/>
          <w:kern w:val="2"/>
        </w:rPr>
        <w:t>commercial use only vessel</w:t>
      </w:r>
      <w:r w:rsidRPr="006E50FF">
        <w:rPr>
          <w:kern w:val="2"/>
        </w:rPr>
        <w:t>, as it relates to this Subsection, means any vessel not built to the requirements of 46 USC §43 and 33 CFR Subchapter S and that does not have a manufacturer-supplied HIN affixed by the manufacturer.</w:t>
      </w:r>
    </w:p>
    <w:p w14:paraId="09AD931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Commercial use only vessels are still eligible for inspection and issuance of a certificate of number by the state. For those commercial vessels that do not meet the recreational requirements, the state will clearly indicate the vessel is for "commercial use only" on the titling and registration paperwork.</w:t>
      </w:r>
    </w:p>
    <w:p w14:paraId="62EFB9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Agents from the enforcement division may inspect any vessel submitted by an individual for inspection through application to the Department’s licensing and registration office. The applicant must show the following at the time of inspection.</w:t>
      </w:r>
    </w:p>
    <w:p w14:paraId="21A7C6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Proof of legal ownership;</w:t>
      </w:r>
    </w:p>
    <w:p w14:paraId="3C6419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Proof that all applicable taxes have been satisfied; and</w:t>
      </w:r>
    </w:p>
    <w:p w14:paraId="673947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Proof of self-importation, if applicable. </w:t>
      </w:r>
    </w:p>
    <w:p w14:paraId="1B7AE0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All state assigned HINs shall be permanently affixed to the vessel’s hull as prescribed by federal regulations.</w:t>
      </w:r>
    </w:p>
    <w:p w14:paraId="53FB38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Violation of this Section shall be fined not less than $500, but no more than $1000, or imprisoned for not more than 30 days, or both, for each violation as provided in R.S. 34:852.22.</w:t>
      </w:r>
    </w:p>
    <w:p w14:paraId="67A8A5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34:852.13.B. </w:t>
      </w:r>
    </w:p>
    <w:p w14:paraId="4BD540E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Department of Wildlife and Fisheries, Wildlife and Fisheries Commission, LR 37:922 (March 2011), amended LR 49:1143 (June 2023), LR 52:</w:t>
      </w:r>
    </w:p>
    <w:p w14:paraId="4F26E4E8" w14:textId="77777777" w:rsidR="006E50FF" w:rsidRPr="006E50FF" w:rsidRDefault="006E50FF" w:rsidP="006E50FF">
      <w:pPr>
        <w:keepNext/>
        <w:jc w:val="center"/>
        <w:rPr>
          <w:b/>
          <w:kern w:val="28"/>
        </w:rPr>
      </w:pPr>
      <w:r w:rsidRPr="006E50FF">
        <w:rPr>
          <w:b/>
          <w:kern w:val="28"/>
        </w:rPr>
        <w:t>Family Impact Statement</w:t>
      </w:r>
    </w:p>
    <w:p w14:paraId="22288B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Act 1183 of 1999 Regular Session of the Louisiana Legislature, the Department of Wildlife and Fisheries, Wildlife and Fisheries Commission hereby issues its Family Impact Statement in connection with the preceding Notice of Intent. This Notice of Intent will have no impact on the six criteria set out at R.S. 49:972(B).</w:t>
      </w:r>
    </w:p>
    <w:p w14:paraId="086C15DF" w14:textId="77777777" w:rsidR="006E50FF" w:rsidRPr="006E50FF" w:rsidRDefault="006E50FF" w:rsidP="006E50FF">
      <w:pPr>
        <w:keepNext/>
        <w:jc w:val="center"/>
        <w:rPr>
          <w:b/>
          <w:kern w:val="28"/>
        </w:rPr>
      </w:pPr>
      <w:r w:rsidRPr="006E50FF">
        <w:rPr>
          <w:b/>
          <w:kern w:val="28"/>
        </w:rPr>
        <w:t>Poverty Impact Statement</w:t>
      </w:r>
    </w:p>
    <w:p w14:paraId="358FC7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rulemaking will have no impact on poverty as described in R.S. 49:973.</w:t>
      </w:r>
    </w:p>
    <w:p w14:paraId="67F101BA" w14:textId="77777777" w:rsidR="006E50FF" w:rsidRPr="006E50FF" w:rsidRDefault="006E50FF" w:rsidP="006E50FF">
      <w:pPr>
        <w:keepNext/>
        <w:jc w:val="center"/>
        <w:rPr>
          <w:rFonts w:eastAsia="Calibri"/>
          <w:b/>
          <w:kern w:val="28"/>
        </w:rPr>
      </w:pPr>
      <w:r w:rsidRPr="006E50FF">
        <w:rPr>
          <w:rFonts w:eastAsia="Calibri"/>
          <w:b/>
          <w:kern w:val="28"/>
        </w:rPr>
        <w:t xml:space="preserve">Small Business </w:t>
      </w:r>
      <w:r w:rsidRPr="006E50FF">
        <w:rPr>
          <w:b/>
          <w:kern w:val="28"/>
        </w:rPr>
        <w:t>Analysis</w:t>
      </w:r>
    </w:p>
    <w:p w14:paraId="23DC18E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This proposed Rule has no known impact on small businesses as described in R.S. 49:974.4 and R.S. 49:974.5.</w:t>
      </w:r>
    </w:p>
    <w:p w14:paraId="4DB3678C" w14:textId="77777777" w:rsidR="006E50FF" w:rsidRPr="006E50FF" w:rsidRDefault="006E50FF" w:rsidP="006E50FF">
      <w:pPr>
        <w:keepNext/>
        <w:jc w:val="center"/>
        <w:rPr>
          <w:rFonts w:eastAsia="Calibri"/>
          <w:b/>
          <w:kern w:val="28"/>
        </w:rPr>
      </w:pPr>
      <w:r w:rsidRPr="006E50FF">
        <w:rPr>
          <w:rFonts w:eastAsia="Calibri"/>
          <w:b/>
          <w:kern w:val="28"/>
        </w:rPr>
        <w:t>Provider Impact Statement</w:t>
      </w:r>
    </w:p>
    <w:p w14:paraId="769850B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This proposed Rule </w:t>
      </w:r>
      <w:r w:rsidRPr="006E50FF">
        <w:rPr>
          <w:kern w:val="2"/>
        </w:rPr>
        <w:t>has</w:t>
      </w:r>
      <w:r w:rsidRPr="006E50FF">
        <w:rPr>
          <w:rFonts w:eastAsia="Calibri"/>
          <w:kern w:val="2"/>
        </w:rPr>
        <w:t xml:space="preserve"> no known impact on providers as described in HCR 170 of 2014.</w:t>
      </w:r>
    </w:p>
    <w:p w14:paraId="4C5D0A57" w14:textId="77777777" w:rsidR="006E50FF" w:rsidRPr="006E50FF" w:rsidRDefault="006E50FF" w:rsidP="006E50FF">
      <w:pPr>
        <w:keepNext/>
        <w:jc w:val="center"/>
        <w:rPr>
          <w:b/>
          <w:kern w:val="28"/>
        </w:rPr>
      </w:pPr>
      <w:r w:rsidRPr="006E50FF">
        <w:rPr>
          <w:b/>
          <w:kern w:val="28"/>
        </w:rPr>
        <w:t>Public Comments</w:t>
      </w:r>
    </w:p>
    <w:p w14:paraId="28629C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relative to the proposed Rule to Captain Jason Russo, Enforcement Division, Department of Wildlife and Fisheries, P. O. Box 98000, Baton Rouge, Louisiana, 70898-9000, or via email to jrusso@wlf.la.gov prior to October 27, 2026.</w:t>
      </w:r>
    </w:p>
    <w:p w14:paraId="6A214F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B06B77D" w14:textId="77777777" w:rsidR="006E50FF" w:rsidRPr="006E50FF" w:rsidRDefault="006E50FF" w:rsidP="006E50FF">
      <w:pPr>
        <w:keepNext/>
        <w:ind w:left="2160"/>
        <w:jc w:val="both"/>
      </w:pPr>
      <w:r w:rsidRPr="006E50FF">
        <w:t>Kenneth A. "Andy" Brister</w:t>
      </w:r>
    </w:p>
    <w:p w14:paraId="6BBA05AF" w14:textId="77777777" w:rsidR="006E50FF" w:rsidRPr="006E50FF" w:rsidRDefault="006E50FF" w:rsidP="006E50FF">
      <w:pPr>
        <w:keepNext/>
        <w:ind w:left="2160"/>
        <w:jc w:val="both"/>
      </w:pPr>
      <w:r w:rsidRPr="006E50FF">
        <w:t>Chairman</w:t>
      </w:r>
    </w:p>
    <w:p w14:paraId="5A78EB28" w14:textId="77777777" w:rsidR="006E50FF" w:rsidRPr="006E50FF" w:rsidRDefault="006E50FF" w:rsidP="006E50FF">
      <w:pPr>
        <w:keepNext/>
        <w:jc w:val="center"/>
        <w:rPr>
          <w:b/>
        </w:rPr>
      </w:pPr>
    </w:p>
    <w:p w14:paraId="6BE23C9D" w14:textId="77777777" w:rsidR="006E50FF" w:rsidRPr="006E50FF" w:rsidRDefault="006E50FF" w:rsidP="006E50FF">
      <w:pPr>
        <w:keepNext/>
        <w:jc w:val="center"/>
        <w:rPr>
          <w:b/>
        </w:rPr>
      </w:pPr>
      <w:r w:rsidRPr="006E50FF">
        <w:rPr>
          <w:b/>
        </w:rPr>
        <w:t>FISCAL AND ECONOMIC IMPACT STATEMENT FOR ADMINISTRATIVE RULES</w:t>
      </w:r>
    </w:p>
    <w:p w14:paraId="613C4021" w14:textId="77777777" w:rsidR="006E50FF" w:rsidRPr="006E50FF" w:rsidRDefault="006E50FF" w:rsidP="006E50FF">
      <w:pPr>
        <w:keepNext/>
        <w:jc w:val="center"/>
        <w:rPr>
          <w:b/>
          <w:noProof/>
        </w:rPr>
      </w:pPr>
      <w:r w:rsidRPr="006E50FF">
        <w:rPr>
          <w:b/>
          <w:noProof/>
        </w:rPr>
        <w:t>RULE TITLE:  Vessel Equipment; Requirements; Penalties</w:t>
      </w:r>
    </w:p>
    <w:p w14:paraId="5F751DC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B0576A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BA5A017" w14:textId="77777777" w:rsidR="006E50FF" w:rsidRPr="006E50FF" w:rsidRDefault="006E50FF" w:rsidP="006E50FF">
      <w:pPr>
        <w:ind w:left="288" w:firstLine="288"/>
        <w:jc w:val="both"/>
        <w:rPr>
          <w:sz w:val="18"/>
        </w:rPr>
      </w:pPr>
      <w:r w:rsidRPr="006E50FF">
        <w:rPr>
          <w:sz w:val="18"/>
        </w:rPr>
        <w:t>The proposed rule changes are not anticipated to impact costs for the Louisiana Department of Wildlife and Fisheries (LDWF), or any other state or local governmental units. The proposed rule changes update safety and vessel identification requirements by modernizing portable flotation devices (PFD) and fire extinguisher terminology, establishing PFD and engine cut-off switch requirements and exemptions, and revising requirements for state-assigned hull identification numbers and vessel inspections.</w:t>
      </w:r>
    </w:p>
    <w:p w14:paraId="6BFB4767"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1EF2B56" w14:textId="77777777" w:rsidR="006E50FF" w:rsidRPr="006E50FF" w:rsidRDefault="006E50FF" w:rsidP="006E50FF">
      <w:pPr>
        <w:ind w:left="288" w:firstLine="288"/>
        <w:jc w:val="both"/>
        <w:rPr>
          <w:sz w:val="18"/>
        </w:rPr>
      </w:pPr>
      <w:r w:rsidRPr="006E50FF">
        <w:rPr>
          <w:sz w:val="18"/>
        </w:rPr>
        <w:t>The proposed rule changes are not anticipated to impact revenue collections for the LDWF or other state or local governmental units.</w:t>
      </w:r>
    </w:p>
    <w:p w14:paraId="6F5E51E3"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07874E4" w14:textId="77777777" w:rsidR="006E50FF" w:rsidRPr="006E50FF" w:rsidRDefault="006E50FF" w:rsidP="006E50FF">
      <w:pPr>
        <w:ind w:left="288" w:firstLine="288"/>
        <w:jc w:val="both"/>
        <w:rPr>
          <w:sz w:val="18"/>
        </w:rPr>
      </w:pPr>
      <w:r w:rsidRPr="006E50FF">
        <w:rPr>
          <w:sz w:val="18"/>
        </w:rPr>
        <w:t>The proposed rule changes are not anticipated to impact costs or economic benefits to directly affected persons, small businesses, or non-governmental groups. The proposed rule changes modify regulatory language to make the Louisiana rules consistent with the regulatory language used by the U.S. Coast Guard.</w:t>
      </w:r>
    </w:p>
    <w:p w14:paraId="78291961"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BBF942D" w14:textId="77777777" w:rsidR="006E50FF" w:rsidRPr="006E50FF" w:rsidRDefault="006E50FF" w:rsidP="006E50FF">
      <w:pPr>
        <w:ind w:left="288" w:firstLine="288"/>
        <w:jc w:val="both"/>
        <w:rPr>
          <w:sz w:val="18"/>
        </w:rPr>
      </w:pPr>
      <w:r w:rsidRPr="006E50FF">
        <w:rPr>
          <w:sz w:val="18"/>
        </w:rPr>
        <w:t>The proposed rule changes are not anticipated to impact competition or employment in either the public or private sector.</w:t>
      </w:r>
    </w:p>
    <w:p w14:paraId="5FA45897" w14:textId="77777777" w:rsidR="006E50FF" w:rsidRPr="006E50FF" w:rsidRDefault="006E50FF" w:rsidP="006E50FF">
      <w:pPr>
        <w:ind w:left="288" w:firstLine="288"/>
        <w:jc w:val="both"/>
        <w:rPr>
          <w:sz w:val="18"/>
        </w:rPr>
      </w:pPr>
    </w:p>
    <w:p w14:paraId="3EE77551" w14:textId="77777777" w:rsidR="006E50FF" w:rsidRPr="006E50FF" w:rsidRDefault="006E50FF" w:rsidP="006E50FF">
      <w:pPr>
        <w:tabs>
          <w:tab w:val="left" w:pos="2880"/>
          <w:tab w:val="decimal" w:pos="2988"/>
        </w:tabs>
        <w:outlineLvl w:val="8"/>
        <w:rPr>
          <w:kern w:val="2"/>
          <w:sz w:val="18"/>
        </w:rPr>
      </w:pPr>
      <w:r w:rsidRPr="006E50FF">
        <w:rPr>
          <w:kern w:val="2"/>
          <w:sz w:val="18"/>
        </w:rPr>
        <w:t>Cara Tyler</w:t>
      </w:r>
      <w:r w:rsidRPr="006E50FF">
        <w:rPr>
          <w:kern w:val="2"/>
          <w:sz w:val="18"/>
        </w:rPr>
        <w:tab/>
        <w:t>Patrice Thomas</w:t>
      </w:r>
    </w:p>
    <w:p w14:paraId="508C83CF"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39A97ECE" w14:textId="77777777" w:rsidR="006E50FF" w:rsidRPr="006E50FF" w:rsidRDefault="006E50FF" w:rsidP="006E50FF">
      <w:pPr>
        <w:tabs>
          <w:tab w:val="left" w:pos="2880"/>
          <w:tab w:val="decimal" w:pos="2988"/>
        </w:tabs>
        <w:outlineLvl w:val="8"/>
        <w:rPr>
          <w:kern w:val="2"/>
          <w:sz w:val="18"/>
        </w:rPr>
      </w:pPr>
      <w:r w:rsidRPr="006E50FF">
        <w:rPr>
          <w:noProof/>
          <w:sz w:val="16"/>
        </w:rPr>
        <w:t>2609#057</w:t>
      </w:r>
      <w:r w:rsidRPr="006E50FF">
        <w:rPr>
          <w:kern w:val="2"/>
        </w:rPr>
        <w:tab/>
      </w:r>
      <w:r w:rsidRPr="006E50FF">
        <w:rPr>
          <w:kern w:val="2"/>
          <w:sz w:val="18"/>
        </w:rPr>
        <w:t>Legislative Fiscal Office</w:t>
      </w:r>
    </w:p>
    <w:p w14:paraId="3672802D" w14:textId="77777777" w:rsidR="006E50FF" w:rsidRPr="006E50FF" w:rsidRDefault="006E50FF" w:rsidP="006E50FF">
      <w:pPr>
        <w:rPr>
          <w:noProof/>
          <w:sz w:val="16"/>
        </w:rPr>
      </w:pPr>
    </w:p>
    <w:p w14:paraId="61AC01EE"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1ED30185" w14:textId="77777777" w:rsidR="006E50FF" w:rsidRPr="006E50FF" w:rsidRDefault="006E50FF" w:rsidP="006E50FF">
      <w:pPr>
        <w:keepNext/>
        <w:jc w:val="center"/>
        <w:rPr>
          <w:b/>
          <w:noProof/>
        </w:rPr>
      </w:pPr>
      <w:r w:rsidRPr="006E50FF">
        <w:rPr>
          <w:b/>
          <w:noProof/>
        </w:rPr>
        <w:t>Department of Wildlife and Fisheries</w:t>
      </w:r>
    </w:p>
    <w:p w14:paraId="1FEE2109" w14:textId="77777777" w:rsidR="006E50FF" w:rsidRPr="006E50FF" w:rsidRDefault="006E50FF" w:rsidP="006E50FF">
      <w:pPr>
        <w:keepNext/>
        <w:jc w:val="center"/>
        <w:rPr>
          <w:b/>
          <w:noProof/>
        </w:rPr>
      </w:pPr>
      <w:r w:rsidRPr="006E50FF">
        <w:rPr>
          <w:b/>
          <w:noProof/>
        </w:rPr>
        <w:t>Wildlife and Fisheries Commission</w:t>
      </w:r>
    </w:p>
    <w:p w14:paraId="0D762852" w14:textId="77777777" w:rsidR="006E50FF" w:rsidRPr="006E50FF" w:rsidRDefault="006E50FF" w:rsidP="006E50FF">
      <w:pPr>
        <w:keepNext/>
        <w:spacing w:before="240" w:after="240"/>
        <w:jc w:val="center"/>
        <w:rPr>
          <w:noProof/>
          <w:sz w:val="24"/>
          <w:szCs w:val="24"/>
        </w:rPr>
      </w:pPr>
      <w:r w:rsidRPr="006E50FF">
        <w:rPr>
          <w:noProof/>
        </w:rPr>
        <w:t>Wildlife Rehabilitation Program (LAC 76:V.131)</w:t>
      </w:r>
    </w:p>
    <w:p w14:paraId="08F581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Wildlife and Fisheries Commission does hereby give notice of its intent to amend LAC 76:V.131, the rule governing the department's Wildlife Rehabilitation Program, to conform that rule to R.S. 56:129, enacted by Act 725 of the 2026 Regular Session of the Louisiana Legislature. Act 725 permits wildlife rehabilitators licensed under the program to possess white-tailed deer, subject to conditions the legislature established governing which deer are eligible for rehabilitation, how they are housed and monitored for Chronic Wasting Disease, and where they may be released. Section 131 did not previously authorize possession of white-tailed deer under a rehabilitation permit, so the rule and the statute are currently in conflict. The proposed amendment resolves that conflict by incorporating the statutory conditions into the program rule, giving rehabilitators, the public, and department staff a single provision of the Louisiana Administrative Code to consult. Because the substance of the action is set by statute, the amendment neither adds to nor narrows what the legislature required. The intended action complies with the statutory law administered by the commission and is promulgated in accordance with the Louisiana Constitution, Article IX, Section 7, R.S. 56:3, R.S. 56:5, R.S. 56:6(10) and (15), R.S. 56:115, R.S. 56:126, and R.S. 56:129.</w:t>
      </w:r>
      <w:r w:rsidRPr="006E50FF" w:rsidDel="003505F8">
        <w:rPr>
          <w:kern w:val="2"/>
        </w:rPr>
        <w:t xml:space="preserve"> </w:t>
      </w:r>
    </w:p>
    <w:p w14:paraId="4D6DFA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Rule, the secretary is authorized and directed to prepare and transmit a summary report to the legislative oversight committees and file the final Rule.</w:t>
      </w:r>
    </w:p>
    <w:p w14:paraId="0F257710" w14:textId="77777777" w:rsidR="006E50FF" w:rsidRPr="006E50FF" w:rsidRDefault="006E50FF" w:rsidP="006E50FF">
      <w:pPr>
        <w:keepNext/>
        <w:jc w:val="center"/>
        <w:rPr>
          <w:b/>
          <w:kern w:val="28"/>
        </w:rPr>
      </w:pPr>
      <w:r w:rsidRPr="006E50FF">
        <w:rPr>
          <w:b/>
          <w:kern w:val="28"/>
        </w:rPr>
        <w:t>Title 76</w:t>
      </w:r>
    </w:p>
    <w:p w14:paraId="2B555B2F" w14:textId="77777777" w:rsidR="006E50FF" w:rsidRPr="006E50FF" w:rsidRDefault="006E50FF" w:rsidP="006E50FF">
      <w:pPr>
        <w:keepNext/>
        <w:jc w:val="center"/>
        <w:rPr>
          <w:b/>
          <w:kern w:val="28"/>
        </w:rPr>
      </w:pPr>
      <w:r w:rsidRPr="006E50FF">
        <w:rPr>
          <w:b/>
          <w:kern w:val="28"/>
        </w:rPr>
        <w:t>WILDLIFE AND FISHERIES</w:t>
      </w:r>
    </w:p>
    <w:p w14:paraId="0497E0A9" w14:textId="77777777" w:rsidR="006E50FF" w:rsidRPr="006E50FF" w:rsidRDefault="006E50FF" w:rsidP="006E50FF">
      <w:pPr>
        <w:keepNext/>
        <w:jc w:val="center"/>
        <w:rPr>
          <w:b/>
          <w:noProof/>
        </w:rPr>
      </w:pPr>
      <w:r w:rsidRPr="006E50FF">
        <w:rPr>
          <w:b/>
          <w:noProof/>
        </w:rPr>
        <w:t>Part V.  Wild Quadrupeds and Wild Birds</w:t>
      </w:r>
    </w:p>
    <w:p w14:paraId="51926AE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Wild Quadrupeds</w:t>
      </w:r>
    </w:p>
    <w:p w14:paraId="791C83B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§131.</w:t>
      </w:r>
      <w:r w:rsidRPr="006E50FF">
        <w:rPr>
          <w:b/>
          <w:kern w:val="2"/>
        </w:rPr>
        <w:tab/>
        <w:t>Wildlife Rehabilitation Program</w:t>
      </w:r>
    </w:p>
    <w:p w14:paraId="55F54B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E.6.</w:t>
      </w:r>
      <w:r w:rsidRPr="006E50FF">
        <w:rPr>
          <w:kern w:val="2"/>
        </w:rPr>
        <w:tab/>
        <w:t>…</w:t>
      </w:r>
    </w:p>
    <w:p w14:paraId="3E4D60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General Rules</w:t>
      </w:r>
    </w:p>
    <w:p w14:paraId="398E51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23DB7C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WRP does not authorize the possession of bears, wild turkeys, outlaw quadrupeds, nutria or alligators unless specifically stated on the permit.</w:t>
      </w:r>
    </w:p>
    <w:p w14:paraId="363C1C9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Rehabilitation of white-tailed deer originating from outside of Louisiana shall be strictly prohibited.</w:t>
      </w:r>
    </w:p>
    <w:p w14:paraId="3B20BFE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rehabilitation of injured or orphaned white-tailed deer originating from within a Chronic Wasting Disease (CWD) Management Zone shall be permitted, however, any such deer shall be rehabilitated and released only within the boundaries of the same CWD Management Zone from which the animal originated. </w:t>
      </w:r>
    </w:p>
    <w:p w14:paraId="726F5AA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Any person or entity engaged in the rehabilitation of such deer shall be strictly responsible for the monitoring of the animal’s health during rehabilitation and shall maintain a diligent watch for any neurological symptoms or other indicators consistent with CWD.</w:t>
      </w:r>
    </w:p>
    <w:p w14:paraId="34F5D96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Failure to comply with the provisions of this Subparagraph shall constitute a violation subject to penalties as provided by law, and may result in the revocation of any applicable rehabilitation permit.</w:t>
      </w:r>
    </w:p>
    <w:p w14:paraId="56A19CA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Any animal that displays abnormal neurological symptoms shall be euthanized and a CWD sample shall be submitted to the department. Until a negative CWD result is received, all deer within the facility shall remain quarantined.</w:t>
      </w:r>
    </w:p>
    <w:p w14:paraId="1102BB6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If any deer from a rehabilitation facility receives a positive CWD result, all live white-tailed deer shall be euthanized and CWD samples shall be collected. That rehabilitation facility shall be prohibited from participating in deer rehabilitation activities in the future.</w:t>
      </w:r>
    </w:p>
    <w:p w14:paraId="30DB71D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Any white-tailed deer that displays an open fracture, neurological symptoms, or symptoms of epizootic hemorrhagic disease or bluetongue virus shall be ineligible for rehabilitation.</w:t>
      </w:r>
    </w:p>
    <w:p w14:paraId="6DAB641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Any white-tailed deer that displays signs of being habituated to humans shall be ineligible for rehabilitation.</w:t>
      </w:r>
    </w:p>
    <w:p w14:paraId="632C2437"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 xml:space="preserve">The minimum enclosure size shall be fifteen feet by twenty feet by eight feet for a single fawn. The pen shall be increased by fifty square feet for each additional animal. The maximum number of fawns allowed per enclosure shall be four, regardless of size. The enclosure shall be constructed of wood or wire with a minimum thickness of twelve gauge with no greater than two-inch mesh or other sturdy materials to prevent escape and to prevent domestic animals or predators from gaining access to the pen. The enclosure shall be constructed in an area out of sight of high traffic human and pet activity. If wire mesh fencing is used, a privacy or shade cloth shall cover all sides. </w:t>
      </w:r>
    </w:p>
    <w:p w14:paraId="2F764C0A"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Once fawns are accustomed to drinking from a bottle, they shall be fed only from a hanging rack.</w:t>
      </w:r>
    </w:p>
    <w:p w14:paraId="684FF159"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 xml:space="preserve">The WRP holder shall notify the Department permits coordinator at least 72 hours in advance of a planned release. The predetermined release location shall be specified by the Department of Wildlife and Fisheries prior to each release. </w:t>
      </w:r>
    </w:p>
    <w:p w14:paraId="5DEADBBE"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No tags, collars, or other visual marks on white-tailed deer to be released shall be allowed.</w:t>
      </w:r>
    </w:p>
    <w:p w14:paraId="15FCDD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F.7. - H.2.</w:t>
      </w:r>
      <w:r w:rsidRPr="006E50FF">
        <w:rPr>
          <w:kern w:val="2"/>
        </w:rPr>
        <w:tab/>
        <w:t>…</w:t>
      </w:r>
    </w:p>
    <w:p w14:paraId="20D953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the Louisiana Constitution, Article IX, Section 7, R.S. 56:3, R.S. 56:5, R.S. 56:6(10) and (15), R.S. 56:115, R.S. 56:126 and R.S. 56:129.</w:t>
      </w:r>
    </w:p>
    <w:p w14:paraId="4C7120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36:852 (April 2010), amended LR 37:602 (February 2011), amended by House Concurrent Resolution No. 6 of the 2024 Regular Session, LR 50:1079 (July 2024), amended by the Department of Wildlife and Fisheries, Wildlife and Fisheries Commission, LR 52:1035 (June 2026), LR 52:</w:t>
      </w:r>
    </w:p>
    <w:p w14:paraId="2AECB22C" w14:textId="77777777" w:rsidR="006E50FF" w:rsidRPr="006E50FF" w:rsidRDefault="006E50FF" w:rsidP="006E50FF">
      <w:pPr>
        <w:keepNext/>
        <w:jc w:val="center"/>
        <w:rPr>
          <w:b/>
          <w:kern w:val="28"/>
        </w:rPr>
      </w:pPr>
      <w:r w:rsidRPr="006E50FF">
        <w:rPr>
          <w:b/>
          <w:kern w:val="28"/>
        </w:rPr>
        <w:t>Family Impact Statement</w:t>
      </w:r>
    </w:p>
    <w:p w14:paraId="557C08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Act 1183 of 1999 Regular Session of the Louisiana Legislature, the Department of Wildlife and Fisheries, Wildlife and Fisheries Commission hereby issues its Family Impact Statement in connection with the preceding Notice of Intent. This Notice of Intent will have no impact on the six criteria set out at R.S. 49:972(B).</w:t>
      </w:r>
    </w:p>
    <w:p w14:paraId="12618090" w14:textId="77777777" w:rsidR="006E50FF" w:rsidRPr="006E50FF" w:rsidRDefault="006E50FF" w:rsidP="006E50FF">
      <w:pPr>
        <w:keepNext/>
        <w:jc w:val="center"/>
        <w:rPr>
          <w:b/>
          <w:kern w:val="28"/>
        </w:rPr>
      </w:pPr>
      <w:r w:rsidRPr="006E50FF">
        <w:rPr>
          <w:b/>
          <w:kern w:val="28"/>
        </w:rPr>
        <w:lastRenderedPageBreak/>
        <w:t>Poverty Impact Statement</w:t>
      </w:r>
    </w:p>
    <w:p w14:paraId="418DDE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rulemaking will have no impact on poverty as described in R.S. 49:973.</w:t>
      </w:r>
    </w:p>
    <w:p w14:paraId="7AA31A9B" w14:textId="77777777" w:rsidR="006E50FF" w:rsidRPr="006E50FF" w:rsidRDefault="006E50FF" w:rsidP="006E50FF">
      <w:pPr>
        <w:keepNext/>
        <w:jc w:val="center"/>
        <w:rPr>
          <w:rFonts w:eastAsia="Calibri"/>
          <w:b/>
          <w:kern w:val="28"/>
        </w:rPr>
      </w:pPr>
      <w:r w:rsidRPr="006E50FF">
        <w:rPr>
          <w:rFonts w:eastAsia="Calibri"/>
          <w:b/>
          <w:kern w:val="28"/>
        </w:rPr>
        <w:t xml:space="preserve">Small </w:t>
      </w:r>
      <w:r w:rsidRPr="006E50FF">
        <w:rPr>
          <w:b/>
          <w:kern w:val="28"/>
        </w:rPr>
        <w:t>Business</w:t>
      </w:r>
      <w:r w:rsidRPr="006E50FF">
        <w:rPr>
          <w:rFonts w:eastAsia="Calibri"/>
          <w:b/>
          <w:kern w:val="28"/>
        </w:rPr>
        <w:t xml:space="preserve"> Analysis</w:t>
      </w:r>
    </w:p>
    <w:p w14:paraId="5E40B52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This proposed Rule has no known impact on small businesses </w:t>
      </w:r>
      <w:r w:rsidRPr="006E50FF">
        <w:rPr>
          <w:kern w:val="2"/>
        </w:rPr>
        <w:t>as</w:t>
      </w:r>
      <w:r w:rsidRPr="006E50FF">
        <w:rPr>
          <w:rFonts w:eastAsia="Calibri"/>
          <w:kern w:val="2"/>
        </w:rPr>
        <w:t xml:space="preserve"> described in R.S. 49:974.4 and R.S. 49:974.5.</w:t>
      </w:r>
    </w:p>
    <w:p w14:paraId="73718089" w14:textId="77777777" w:rsidR="006E50FF" w:rsidRPr="006E50FF" w:rsidRDefault="006E50FF" w:rsidP="006E50FF">
      <w:pPr>
        <w:keepNext/>
        <w:jc w:val="center"/>
        <w:rPr>
          <w:rFonts w:eastAsia="Calibri"/>
          <w:b/>
          <w:kern w:val="28"/>
        </w:rPr>
      </w:pPr>
      <w:r w:rsidRPr="006E50FF">
        <w:rPr>
          <w:rFonts w:eastAsia="Calibri"/>
          <w:b/>
          <w:kern w:val="28"/>
        </w:rPr>
        <w:t>Provider Impact Statement</w:t>
      </w:r>
    </w:p>
    <w:p w14:paraId="645D07E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This proposed Rule has no known impact on providers as described in </w:t>
      </w:r>
      <w:r w:rsidRPr="006E50FF">
        <w:rPr>
          <w:kern w:val="2"/>
        </w:rPr>
        <w:t>HCR</w:t>
      </w:r>
      <w:r w:rsidRPr="006E50FF">
        <w:rPr>
          <w:rFonts w:eastAsia="Calibri"/>
          <w:kern w:val="2"/>
        </w:rPr>
        <w:t xml:space="preserve"> 170 of 2014.</w:t>
      </w:r>
    </w:p>
    <w:p w14:paraId="6004CD68" w14:textId="77777777" w:rsidR="006E50FF" w:rsidRPr="006E50FF" w:rsidRDefault="006E50FF" w:rsidP="006E50FF">
      <w:pPr>
        <w:keepNext/>
        <w:jc w:val="center"/>
        <w:rPr>
          <w:b/>
          <w:kern w:val="28"/>
        </w:rPr>
      </w:pPr>
      <w:r w:rsidRPr="006E50FF">
        <w:rPr>
          <w:b/>
          <w:kern w:val="28"/>
        </w:rPr>
        <w:t>Public Comments</w:t>
      </w:r>
    </w:p>
    <w:p w14:paraId="3348FA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relative to the proposed Rule to Mr. Bradley Breland, Wildlife Permits Coordinator, Department of Wildlife and Fisheries, P. O. Box 98000, Baton Rouge, Louisiana, 70898-9000, or via email to bbreland@wlf.la.gov prior to October 27, 2026.</w:t>
      </w:r>
    </w:p>
    <w:p w14:paraId="11B46F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214C905" w14:textId="77777777" w:rsidR="006E50FF" w:rsidRPr="006E50FF" w:rsidRDefault="006E50FF" w:rsidP="006E50FF">
      <w:pPr>
        <w:keepNext/>
        <w:ind w:left="2160"/>
        <w:jc w:val="both"/>
      </w:pPr>
      <w:r w:rsidRPr="006E50FF">
        <w:t>Kenneth A. "Andy" Brister</w:t>
      </w:r>
    </w:p>
    <w:p w14:paraId="02709E5C" w14:textId="77777777" w:rsidR="006E50FF" w:rsidRPr="006E50FF" w:rsidRDefault="006E50FF" w:rsidP="006E50FF">
      <w:pPr>
        <w:keepNext/>
        <w:ind w:left="2160"/>
        <w:jc w:val="both"/>
      </w:pPr>
      <w:r w:rsidRPr="006E50FF">
        <w:t>Chairman</w:t>
      </w:r>
    </w:p>
    <w:p w14:paraId="3577E539" w14:textId="77777777" w:rsidR="006E50FF" w:rsidRPr="006E50FF" w:rsidRDefault="006E50FF" w:rsidP="006E50FF">
      <w:pPr>
        <w:keepNext/>
        <w:jc w:val="center"/>
        <w:rPr>
          <w:b/>
        </w:rPr>
      </w:pPr>
    </w:p>
    <w:p w14:paraId="53A17F38" w14:textId="77777777" w:rsidR="006E50FF" w:rsidRPr="006E50FF" w:rsidRDefault="006E50FF" w:rsidP="006E50FF">
      <w:pPr>
        <w:keepNext/>
        <w:jc w:val="center"/>
        <w:rPr>
          <w:b/>
        </w:rPr>
      </w:pPr>
      <w:r w:rsidRPr="006E50FF">
        <w:rPr>
          <w:b/>
        </w:rPr>
        <w:t>FISCAL AND ECONOMIC IMPACT STATEMENT FOR ADMINISTRATIVE RULES</w:t>
      </w:r>
    </w:p>
    <w:p w14:paraId="759A6B12" w14:textId="77777777" w:rsidR="006E50FF" w:rsidRPr="006E50FF" w:rsidRDefault="006E50FF" w:rsidP="006E50FF">
      <w:pPr>
        <w:keepNext/>
        <w:jc w:val="center"/>
        <w:rPr>
          <w:b/>
          <w:noProof/>
        </w:rPr>
      </w:pPr>
      <w:r w:rsidRPr="006E50FF">
        <w:rPr>
          <w:b/>
          <w:noProof/>
        </w:rPr>
        <w:t>RULE TITLE:  Wildlife Rehabilitation Program</w:t>
      </w:r>
    </w:p>
    <w:p w14:paraId="400A88A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6F2A277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F39F406" w14:textId="77777777" w:rsidR="006E50FF" w:rsidRPr="006E50FF" w:rsidRDefault="006E50FF" w:rsidP="006E50FF">
      <w:pPr>
        <w:ind w:left="288" w:firstLine="288"/>
        <w:jc w:val="both"/>
        <w:rPr>
          <w:sz w:val="18"/>
        </w:rPr>
      </w:pPr>
      <w:r w:rsidRPr="006E50FF">
        <w:rPr>
          <w:sz w:val="18"/>
        </w:rPr>
        <w:t xml:space="preserve">The proposed rule change is not anticipated to impact the costs or savings for state or local governmental units. The </w:t>
      </w:r>
      <w:r w:rsidRPr="006E50FF">
        <w:rPr>
          <w:sz w:val="18"/>
        </w:rPr>
        <w:t>proposed rule change establishes requirements for the rehabilitation of White-tailed Deer, including Chronic Wasting Disease-related restrictions and monitoring, health and euthanasia standards, enclosure and feeding requirements, release procedures, prohibitions on out of state deer, and identifying tags or markings.</w:t>
      </w:r>
    </w:p>
    <w:p w14:paraId="2D536FB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4F1514F" w14:textId="77777777" w:rsidR="006E50FF" w:rsidRPr="006E50FF" w:rsidRDefault="006E50FF" w:rsidP="006E50FF">
      <w:pPr>
        <w:ind w:left="288" w:firstLine="288"/>
        <w:jc w:val="both"/>
        <w:rPr>
          <w:sz w:val="18"/>
        </w:rPr>
      </w:pPr>
      <w:r w:rsidRPr="006E50FF">
        <w:rPr>
          <w:sz w:val="18"/>
        </w:rPr>
        <w:t>The proposed rule change is not anticipated to impact the revenue collections of the LDWF or other state or local governmental units.</w:t>
      </w:r>
    </w:p>
    <w:p w14:paraId="68C94CBE"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0D91F768" w14:textId="77777777" w:rsidR="006E50FF" w:rsidRPr="006E50FF" w:rsidRDefault="006E50FF" w:rsidP="006E50FF">
      <w:pPr>
        <w:ind w:left="288" w:firstLine="288"/>
        <w:jc w:val="both"/>
        <w:rPr>
          <w:sz w:val="18"/>
        </w:rPr>
      </w:pPr>
      <w:r w:rsidRPr="006E50FF">
        <w:rPr>
          <w:sz w:val="18"/>
        </w:rPr>
        <w:t>The proposed rule change may raise costs of small businesses or non-governmental units that choose to treat deer. There are currently no wildlife rehabilitators engaged in the treatment of deer.</w:t>
      </w:r>
    </w:p>
    <w:p w14:paraId="33CD173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E0068ED"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private or the public sector.</w:t>
      </w:r>
    </w:p>
    <w:p w14:paraId="50C64508" w14:textId="77777777" w:rsidR="006E50FF" w:rsidRPr="006E50FF" w:rsidRDefault="006E50FF" w:rsidP="006E50FF">
      <w:pPr>
        <w:ind w:left="288" w:firstLine="288"/>
        <w:jc w:val="both"/>
        <w:rPr>
          <w:sz w:val="18"/>
        </w:rPr>
      </w:pPr>
    </w:p>
    <w:p w14:paraId="61532430" w14:textId="77777777" w:rsidR="006E50FF" w:rsidRPr="006E50FF" w:rsidRDefault="006E50FF" w:rsidP="006E50FF">
      <w:pPr>
        <w:tabs>
          <w:tab w:val="left" w:pos="2880"/>
          <w:tab w:val="decimal" w:pos="2988"/>
        </w:tabs>
        <w:outlineLvl w:val="8"/>
        <w:rPr>
          <w:kern w:val="2"/>
          <w:sz w:val="18"/>
        </w:rPr>
      </w:pPr>
      <w:r w:rsidRPr="006E50FF">
        <w:rPr>
          <w:kern w:val="2"/>
          <w:sz w:val="18"/>
        </w:rPr>
        <w:t>Cara Tyler</w:t>
      </w:r>
      <w:r w:rsidRPr="006E50FF">
        <w:rPr>
          <w:kern w:val="2"/>
          <w:sz w:val="18"/>
        </w:rPr>
        <w:tab/>
        <w:t>Patrice Thomas</w:t>
      </w:r>
    </w:p>
    <w:p w14:paraId="4DA02EF0"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15357D70" w14:textId="77777777" w:rsidR="006E50FF" w:rsidRPr="006E50FF" w:rsidRDefault="006E50FF" w:rsidP="006E50FF">
      <w:pPr>
        <w:tabs>
          <w:tab w:val="left" w:pos="2880"/>
          <w:tab w:val="decimal" w:pos="2988"/>
        </w:tabs>
        <w:outlineLvl w:val="8"/>
        <w:rPr>
          <w:kern w:val="2"/>
          <w:sz w:val="18"/>
        </w:rPr>
      </w:pPr>
      <w:r w:rsidRPr="006E50FF">
        <w:rPr>
          <w:noProof/>
          <w:sz w:val="16"/>
        </w:rPr>
        <w:t>2609#056</w:t>
      </w:r>
      <w:r w:rsidRPr="006E50FF">
        <w:rPr>
          <w:kern w:val="2"/>
        </w:rPr>
        <w:tab/>
      </w:r>
      <w:r w:rsidRPr="006E50FF">
        <w:rPr>
          <w:kern w:val="2"/>
          <w:sz w:val="18"/>
        </w:rPr>
        <w:t>Legislative Fiscal Office</w:t>
      </w:r>
    </w:p>
    <w:p w14:paraId="4019F9C5" w14:textId="77777777" w:rsidR="006E50FF" w:rsidRPr="006E50FF" w:rsidRDefault="006E50FF" w:rsidP="006E50FF">
      <w:pPr>
        <w:rPr>
          <w:noProof/>
          <w:sz w:val="16"/>
        </w:rPr>
      </w:pPr>
    </w:p>
    <w:p w14:paraId="3F8FCA5E" w14:textId="77777777" w:rsidR="006E50FF" w:rsidRPr="006E50FF" w:rsidRDefault="006E50FF" w:rsidP="006E50FF"/>
    <w:p w14:paraId="0A533CC9" w14:textId="77777777" w:rsidR="006E50FF" w:rsidRPr="006E50FF" w:rsidRDefault="006E50FF" w:rsidP="006E50FF">
      <w:pPr>
        <w:sectPr w:rsidR="006E50FF" w:rsidRPr="006E50FF" w:rsidSect="006E50FF">
          <w:type w:val="continuous"/>
          <w:pgSz w:w="12240" w:h="15840" w:code="1"/>
          <w:pgMar w:top="720" w:right="864" w:bottom="317" w:left="864" w:header="576" w:footer="432" w:gutter="0"/>
          <w:cols w:num="2" w:space="720"/>
        </w:sectPr>
      </w:pPr>
    </w:p>
    <w:p w14:paraId="364FAD2F" w14:textId="77777777" w:rsidR="006E50FF" w:rsidRPr="006E50FF" w:rsidRDefault="006E50FF" w:rsidP="006E50FF"/>
    <w:p w14:paraId="42C6F624" w14:textId="77777777" w:rsidR="006E50FF" w:rsidRDefault="006E50FF">
      <w:pPr>
        <w:sectPr w:rsidR="006E50FF" w:rsidSect="006E50FF">
          <w:type w:val="continuous"/>
          <w:pgSz w:w="12240" w:h="15840" w:code="1"/>
          <w:pgMar w:top="720" w:right="864" w:bottom="317" w:left="864" w:header="576" w:footer="432" w:gutter="0"/>
          <w:cols w:num="2" w:space="720"/>
        </w:sectPr>
      </w:pPr>
    </w:p>
    <w:p w14:paraId="044EDB6D" w14:textId="77777777" w:rsidR="00610312" w:rsidRPr="009F66F9" w:rsidRDefault="00610312" w:rsidP="00610312">
      <w:pPr>
        <w:pStyle w:val="RegSectionTitle"/>
      </w:pPr>
      <w:r>
        <w:lastRenderedPageBreak/>
        <w:t>Potpourri</w:t>
      </w:r>
    </w:p>
    <w:p w14:paraId="60448BEF" w14:textId="77777777" w:rsidR="00610312" w:rsidRPr="009F66F9" w:rsidRDefault="00610312" w:rsidP="00610312"/>
    <w:p w14:paraId="40B93786" w14:textId="77777777" w:rsidR="00610312" w:rsidRPr="009F66F9" w:rsidRDefault="00610312" w:rsidP="00610312"/>
    <w:p w14:paraId="1C93F882" w14:textId="77777777" w:rsidR="00610312" w:rsidRPr="009F66F9" w:rsidRDefault="00610312" w:rsidP="00610312">
      <w:pPr>
        <w:sectPr w:rsidR="00610312" w:rsidRPr="009F66F9" w:rsidSect="00610312">
          <w:footerReference w:type="even" r:id="rId27"/>
          <w:footerReference w:type="default" r:id="rId28"/>
          <w:pgSz w:w="12240" w:h="15840"/>
          <w:pgMar w:top="720" w:right="864" w:bottom="864" w:left="864" w:header="576" w:footer="432" w:gutter="0"/>
          <w:pgNumType w:start="1748"/>
          <w:cols w:space="720"/>
          <w:docGrid w:linePitch="272"/>
        </w:sectPr>
      </w:pPr>
    </w:p>
    <w:p w14:paraId="73B14B1F" w14:textId="77777777" w:rsidR="00610312" w:rsidRDefault="00610312" w:rsidP="00610312">
      <w:pPr>
        <w:pStyle w:val="RegItemFirstLine"/>
      </w:pPr>
      <w:r>
        <w:t>POTPOURRI</w:t>
      </w:r>
    </w:p>
    <w:p w14:paraId="739BD16E" w14:textId="77777777" w:rsidR="00610312" w:rsidRDefault="00610312" w:rsidP="00610312">
      <w:pPr>
        <w:pStyle w:val="RegDepartment"/>
      </w:pPr>
      <w:r w:rsidRPr="00531A9B">
        <w:t xml:space="preserve">Department of </w:t>
      </w:r>
      <w:r>
        <w:t>Agriculture and Forestry</w:t>
      </w:r>
    </w:p>
    <w:p w14:paraId="3BBE5BD4" w14:textId="77777777" w:rsidR="00610312" w:rsidRPr="00531A9B" w:rsidRDefault="00610312" w:rsidP="00610312">
      <w:pPr>
        <w:pStyle w:val="RegDepartment"/>
      </w:pPr>
      <w:r>
        <w:t>Office of Animal Health and Food Safety</w:t>
      </w:r>
    </w:p>
    <w:p w14:paraId="10D59907" w14:textId="77777777" w:rsidR="00610312" w:rsidRPr="00531A9B" w:rsidRDefault="00610312" w:rsidP="00610312">
      <w:pPr>
        <w:pStyle w:val="RegItemTitle"/>
        <w:spacing w:before="240"/>
      </w:pPr>
      <w:r w:rsidRPr="008346EA">
        <w:t xml:space="preserve">Hunting Season Variances for </w:t>
      </w:r>
      <w:r>
        <w:br/>
      </w:r>
      <w:r w:rsidRPr="008346EA">
        <w:t>Farm-Raised</w:t>
      </w:r>
      <w:r>
        <w:t xml:space="preserve"> </w:t>
      </w:r>
      <w:r w:rsidRPr="008346EA">
        <w:t>White-Tailed Deer</w:t>
      </w:r>
    </w:p>
    <w:p w14:paraId="6D5C602E" w14:textId="77777777" w:rsidR="00610312" w:rsidRPr="008346EA" w:rsidRDefault="00610312" w:rsidP="00610312">
      <w:pPr>
        <w:pStyle w:val="A0"/>
        <w:rPr>
          <w:spacing w:val="8"/>
        </w:rPr>
      </w:pPr>
      <w:r w:rsidRPr="008346EA">
        <w:rPr>
          <w:spacing w:val="8"/>
        </w:rPr>
        <w:t>Pursuant to LAC</w:t>
      </w:r>
      <w:r>
        <w:rPr>
          <w:spacing w:val="8"/>
        </w:rPr>
        <w:t xml:space="preserve"> </w:t>
      </w:r>
      <w:r w:rsidRPr="008346EA">
        <w:rPr>
          <w:spacing w:val="8"/>
        </w:rPr>
        <w:t xml:space="preserve">7:XXI.1719(A), farm-raised white-tailed deer may be harvested by </w:t>
      </w:r>
      <w:r w:rsidRPr="008346EA">
        <w:t>killing from October 1 th</w:t>
      </w:r>
      <w:r>
        <w:t xml:space="preserve">rough </w:t>
      </w:r>
      <w:r w:rsidRPr="008346EA">
        <w:t xml:space="preserve">January 31. LAC 7:XXI.1719(C) authorizes the </w:t>
      </w:r>
      <w:r>
        <w:t>c</w:t>
      </w:r>
      <w:r w:rsidRPr="008346EA">
        <w:t>ommissioner of Agriculture and Forestry to establish, by written order, variances of these dates as the commissioner deems necessary to carry out the purposes of R.S. 3:3101-3108.</w:t>
      </w:r>
    </w:p>
    <w:p w14:paraId="0BE2BF39" w14:textId="77777777" w:rsidR="00610312" w:rsidRDefault="00610312" w:rsidP="00610312">
      <w:pPr>
        <w:pStyle w:val="A0"/>
      </w:pPr>
      <w:r w:rsidRPr="008346EA">
        <w:t xml:space="preserve">In light of the foregoing, and in consideration of the applications for variances, </w:t>
      </w:r>
      <w:r>
        <w:t>c</w:t>
      </w:r>
      <w:r w:rsidRPr="008346EA">
        <w:t>ommissioner of Agriculture and Forestry, Mike Strain, DVM, has authorized the following:</w:t>
      </w:r>
    </w:p>
    <w:p w14:paraId="14CEA096" w14:textId="77777777" w:rsidR="00610312" w:rsidRPr="008346EA" w:rsidRDefault="00610312" w:rsidP="00610312">
      <w:pPr>
        <w:pStyle w:val="A0"/>
      </w:pPr>
    </w:p>
    <w:p w14:paraId="55F35AC8" w14:textId="77777777" w:rsidR="00610312" w:rsidRPr="008346EA" w:rsidRDefault="00610312" w:rsidP="00610312">
      <w:pPr>
        <w:pStyle w:val="A0"/>
        <w:numPr>
          <w:ilvl w:val="0"/>
          <w:numId w:val="31"/>
        </w:numPr>
        <w:tabs>
          <w:tab w:val="clear" w:pos="144"/>
          <w:tab w:val="clear" w:pos="187"/>
          <w:tab w:val="clear" w:pos="907"/>
          <w:tab w:val="clear" w:pos="1080"/>
          <w:tab w:val="left" w:pos="360"/>
        </w:tabs>
        <w:ind w:left="360" w:hanging="270"/>
      </w:pPr>
      <w:r w:rsidRPr="008346EA">
        <w:t>Blackhawk Farms, LLC, License No. 1010/1011, 6978 Highway 15, Vidalia, Louisiana 71373, through its owner, Joshua McCoy, is authorized to open its hunting grounds for the purpose of harvesting farm-raised white-tailed deer from September 1, 2026, through September 30, 2026.</w:t>
      </w:r>
    </w:p>
    <w:p w14:paraId="73EE7EA6" w14:textId="77777777" w:rsidR="00610312" w:rsidRDefault="00610312" w:rsidP="00610312">
      <w:pPr>
        <w:pStyle w:val="A0"/>
        <w:numPr>
          <w:ilvl w:val="0"/>
          <w:numId w:val="31"/>
        </w:numPr>
        <w:tabs>
          <w:tab w:val="clear" w:pos="144"/>
          <w:tab w:val="clear" w:pos="187"/>
          <w:tab w:val="clear" w:pos="907"/>
          <w:tab w:val="clear" w:pos="1080"/>
          <w:tab w:val="left" w:pos="360"/>
        </w:tabs>
        <w:ind w:left="360" w:hanging="270"/>
      </w:pPr>
      <w:r w:rsidRPr="008346EA">
        <w:t>Hebert Deer Farm, License No. 2059, 69449 Fannie Powell Road, Kentwood, Louisiana 70444, through its owner, Percy F. Hebert, is authorized to open its hunting grounds for the purpose of harvesting farm-raised white-tailed deer from September 3, 2026, through September 30, 2026.</w:t>
      </w:r>
      <w:r>
        <w:t xml:space="preserve"> </w:t>
      </w:r>
    </w:p>
    <w:p w14:paraId="1F7D97E6" w14:textId="77777777" w:rsidR="00610312" w:rsidRPr="008346EA" w:rsidRDefault="00610312" w:rsidP="00610312">
      <w:pPr>
        <w:pStyle w:val="1"/>
      </w:pPr>
    </w:p>
    <w:p w14:paraId="3039141E" w14:textId="77777777" w:rsidR="00610312" w:rsidRPr="008346EA" w:rsidRDefault="00610312" w:rsidP="00610312">
      <w:pPr>
        <w:pStyle w:val="RegSignature"/>
      </w:pPr>
      <w:r w:rsidRPr="008346EA">
        <w:t>Mike Strain, D.V.M.</w:t>
      </w:r>
    </w:p>
    <w:p w14:paraId="18C59A44" w14:textId="77777777" w:rsidR="00610312" w:rsidRDefault="00610312" w:rsidP="00610312">
      <w:pPr>
        <w:pStyle w:val="RegSignature"/>
      </w:pPr>
      <w:r w:rsidRPr="008346EA">
        <w:t>Commissioner</w:t>
      </w:r>
    </w:p>
    <w:p w14:paraId="6FBBF499" w14:textId="77777777" w:rsidR="00610312" w:rsidRPr="008346EA" w:rsidRDefault="00610312" w:rsidP="00610312">
      <w:pPr>
        <w:pStyle w:val="RegLogNumber"/>
      </w:pPr>
      <w:r>
        <w:t>2609#055</w:t>
      </w:r>
    </w:p>
    <w:p w14:paraId="18A37FE1" w14:textId="77777777" w:rsidR="00610312" w:rsidRPr="009F66F9" w:rsidRDefault="00610312" w:rsidP="00610312"/>
    <w:p w14:paraId="536D9C99" w14:textId="77777777" w:rsidR="00610312" w:rsidRDefault="00610312" w:rsidP="00610312">
      <w:pPr>
        <w:pStyle w:val="RegItemFirstLine"/>
      </w:pPr>
      <w:r>
        <w:t>POTPOURRI</w:t>
      </w:r>
    </w:p>
    <w:p w14:paraId="2F1D8CD3" w14:textId="77777777" w:rsidR="00610312" w:rsidRDefault="00610312" w:rsidP="00610312">
      <w:pPr>
        <w:pStyle w:val="RegDepartment"/>
      </w:pPr>
      <w:r>
        <w:t>Department of Conservation and Energy</w:t>
      </w:r>
    </w:p>
    <w:p w14:paraId="1BB03C11" w14:textId="77777777" w:rsidR="00610312" w:rsidRPr="0014081C" w:rsidRDefault="00610312" w:rsidP="00610312">
      <w:pPr>
        <w:pStyle w:val="RegDepartment"/>
      </w:pPr>
      <w:r>
        <w:t>Office of Enforcement</w:t>
      </w:r>
    </w:p>
    <w:p w14:paraId="52FD219B" w14:textId="77777777" w:rsidR="00610312" w:rsidRPr="008467E5" w:rsidRDefault="00610312" w:rsidP="00610312">
      <w:pPr>
        <w:pStyle w:val="RegItemTitle"/>
        <w:spacing w:before="240"/>
      </w:pPr>
      <w:r w:rsidRPr="008467E5">
        <w:t>Orphaned Oilfield Sites</w:t>
      </w:r>
    </w:p>
    <w:p w14:paraId="53FF1172" w14:textId="77777777" w:rsidR="00610312" w:rsidRDefault="00610312" w:rsidP="00610312">
      <w:pPr>
        <w:pStyle w:val="A0"/>
      </w:pPr>
      <w:r w:rsidRPr="008467E5">
        <w:t>Office of Enforcement records indicate that the Oilfield Sites listed in the table below have met the requirements as set forth by Section 91 of Act 404, R.S. 30:80 et seq., and as such are being declared Orphaned Oilfield Sites.</w:t>
      </w:r>
    </w:p>
    <w:p w14:paraId="7B4D2FF5" w14:textId="77777777" w:rsidR="00610312" w:rsidRDefault="00610312" w:rsidP="00610312">
      <w:pPr>
        <w:pStyle w:val="A0"/>
      </w:pPr>
    </w:p>
    <w:tbl>
      <w:tblPr>
        <w:tblW w:w="52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620" w:firstRow="1" w:lastRow="0" w:firstColumn="0" w:lastColumn="0" w:noHBand="1" w:noVBand="1"/>
      </w:tblPr>
      <w:tblGrid>
        <w:gridCol w:w="975"/>
        <w:gridCol w:w="720"/>
        <w:gridCol w:w="810"/>
        <w:gridCol w:w="1260"/>
        <w:gridCol w:w="630"/>
        <w:gridCol w:w="810"/>
      </w:tblGrid>
      <w:tr w:rsidR="00610312" w:rsidRPr="004F0345" w14:paraId="31FC776C" w14:textId="77777777" w:rsidTr="0088638B">
        <w:trPr>
          <w:cantSplit/>
          <w:trHeight w:val="585"/>
          <w:tblHeader/>
        </w:trPr>
        <w:tc>
          <w:tcPr>
            <w:tcW w:w="975" w:type="dxa"/>
            <w:shd w:val="clear" w:color="auto" w:fill="ADADAD" w:themeFill="background2" w:themeFillShade="BF"/>
            <w:vAlign w:val="center"/>
            <w:hideMark/>
          </w:tcPr>
          <w:p w14:paraId="5B35B945" w14:textId="77777777" w:rsidR="00610312" w:rsidRPr="004F0345" w:rsidRDefault="00610312" w:rsidP="0088638B">
            <w:pPr>
              <w:pStyle w:val="A0"/>
              <w:ind w:firstLine="0"/>
              <w:jc w:val="center"/>
              <w:rPr>
                <w:b/>
                <w:bCs/>
                <w:sz w:val="16"/>
                <w:szCs w:val="16"/>
              </w:rPr>
            </w:pPr>
            <w:r w:rsidRPr="004F0345">
              <w:rPr>
                <w:b/>
                <w:bCs/>
                <w:sz w:val="16"/>
                <w:szCs w:val="16"/>
              </w:rPr>
              <w:t>Operator</w:t>
            </w:r>
          </w:p>
        </w:tc>
        <w:tc>
          <w:tcPr>
            <w:tcW w:w="720" w:type="dxa"/>
            <w:shd w:val="clear" w:color="auto" w:fill="ADADAD" w:themeFill="background2" w:themeFillShade="BF"/>
            <w:vAlign w:val="center"/>
            <w:hideMark/>
          </w:tcPr>
          <w:p w14:paraId="3711823B" w14:textId="77777777" w:rsidR="00610312" w:rsidRPr="004F0345" w:rsidRDefault="00610312" w:rsidP="0088638B">
            <w:pPr>
              <w:pStyle w:val="A0"/>
              <w:ind w:firstLine="0"/>
              <w:jc w:val="center"/>
              <w:rPr>
                <w:b/>
                <w:bCs/>
                <w:sz w:val="16"/>
                <w:szCs w:val="16"/>
              </w:rPr>
            </w:pPr>
            <w:r w:rsidRPr="004F0345">
              <w:rPr>
                <w:b/>
                <w:bCs/>
                <w:sz w:val="16"/>
                <w:szCs w:val="16"/>
              </w:rPr>
              <w:t>Field</w:t>
            </w:r>
          </w:p>
        </w:tc>
        <w:tc>
          <w:tcPr>
            <w:tcW w:w="810" w:type="dxa"/>
            <w:shd w:val="clear" w:color="auto" w:fill="ADADAD" w:themeFill="background2" w:themeFillShade="BF"/>
            <w:vAlign w:val="center"/>
            <w:hideMark/>
          </w:tcPr>
          <w:p w14:paraId="35BDD612" w14:textId="77777777" w:rsidR="00610312" w:rsidRPr="004F0345" w:rsidRDefault="00610312" w:rsidP="0088638B">
            <w:pPr>
              <w:pStyle w:val="A0"/>
              <w:ind w:firstLine="0"/>
              <w:jc w:val="center"/>
              <w:rPr>
                <w:b/>
                <w:bCs/>
                <w:sz w:val="16"/>
                <w:szCs w:val="16"/>
              </w:rPr>
            </w:pPr>
            <w:r w:rsidRPr="004F0345">
              <w:rPr>
                <w:b/>
                <w:bCs/>
                <w:sz w:val="16"/>
                <w:szCs w:val="16"/>
              </w:rPr>
              <w:t>District</w:t>
            </w:r>
          </w:p>
        </w:tc>
        <w:tc>
          <w:tcPr>
            <w:tcW w:w="1260" w:type="dxa"/>
            <w:shd w:val="clear" w:color="auto" w:fill="ADADAD" w:themeFill="background2" w:themeFillShade="BF"/>
            <w:vAlign w:val="center"/>
            <w:hideMark/>
          </w:tcPr>
          <w:p w14:paraId="4ECA32B3" w14:textId="77777777" w:rsidR="00610312" w:rsidRPr="004F0345" w:rsidRDefault="00610312" w:rsidP="0088638B">
            <w:pPr>
              <w:pStyle w:val="A0"/>
              <w:ind w:firstLine="0"/>
              <w:jc w:val="center"/>
              <w:rPr>
                <w:b/>
                <w:bCs/>
                <w:sz w:val="16"/>
                <w:szCs w:val="16"/>
              </w:rPr>
            </w:pPr>
            <w:r w:rsidRPr="004F0345">
              <w:rPr>
                <w:b/>
                <w:bCs/>
                <w:sz w:val="16"/>
                <w:szCs w:val="16"/>
              </w:rPr>
              <w:t>Well Name</w:t>
            </w:r>
          </w:p>
        </w:tc>
        <w:tc>
          <w:tcPr>
            <w:tcW w:w="630" w:type="dxa"/>
            <w:shd w:val="clear" w:color="auto" w:fill="ADADAD" w:themeFill="background2" w:themeFillShade="BF"/>
            <w:vAlign w:val="center"/>
            <w:hideMark/>
          </w:tcPr>
          <w:p w14:paraId="3E07E5C7" w14:textId="77777777" w:rsidR="00610312" w:rsidRPr="004F0345" w:rsidRDefault="00610312" w:rsidP="0088638B">
            <w:pPr>
              <w:pStyle w:val="A0"/>
              <w:ind w:firstLine="0"/>
              <w:jc w:val="center"/>
              <w:rPr>
                <w:b/>
                <w:bCs/>
                <w:sz w:val="16"/>
                <w:szCs w:val="16"/>
              </w:rPr>
            </w:pPr>
            <w:r w:rsidRPr="004F0345">
              <w:rPr>
                <w:b/>
                <w:bCs/>
                <w:sz w:val="16"/>
                <w:szCs w:val="16"/>
              </w:rPr>
              <w:t>Well Num</w:t>
            </w:r>
          </w:p>
        </w:tc>
        <w:tc>
          <w:tcPr>
            <w:tcW w:w="810" w:type="dxa"/>
            <w:shd w:val="clear" w:color="auto" w:fill="ADADAD" w:themeFill="background2" w:themeFillShade="BF"/>
            <w:vAlign w:val="center"/>
            <w:hideMark/>
          </w:tcPr>
          <w:p w14:paraId="5006DA95" w14:textId="77777777" w:rsidR="00610312" w:rsidRPr="004F0345" w:rsidRDefault="00610312" w:rsidP="0088638B">
            <w:pPr>
              <w:pStyle w:val="A0"/>
              <w:ind w:firstLine="0"/>
              <w:jc w:val="center"/>
              <w:rPr>
                <w:b/>
                <w:bCs/>
                <w:sz w:val="16"/>
                <w:szCs w:val="16"/>
              </w:rPr>
            </w:pPr>
            <w:r w:rsidRPr="004F0345">
              <w:rPr>
                <w:b/>
                <w:bCs/>
                <w:sz w:val="16"/>
                <w:szCs w:val="16"/>
              </w:rPr>
              <w:t>Serial Num</w:t>
            </w:r>
          </w:p>
        </w:tc>
      </w:tr>
      <w:tr w:rsidR="00610312" w:rsidRPr="004F0345" w14:paraId="4F6C01AE" w14:textId="77777777" w:rsidTr="0088638B">
        <w:trPr>
          <w:trHeight w:val="600"/>
        </w:trPr>
        <w:tc>
          <w:tcPr>
            <w:tcW w:w="975" w:type="dxa"/>
            <w:vAlign w:val="center"/>
            <w:hideMark/>
          </w:tcPr>
          <w:p w14:paraId="3D7E364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2DF5765F"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3CCAEAE9"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FA2C2A9"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3212BB51"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13A8D7D0" w14:textId="77777777" w:rsidR="00610312" w:rsidRPr="004F0345" w:rsidRDefault="00610312" w:rsidP="0088638B">
            <w:pPr>
              <w:pStyle w:val="A0"/>
              <w:ind w:firstLine="0"/>
              <w:jc w:val="center"/>
              <w:rPr>
                <w:sz w:val="16"/>
                <w:szCs w:val="16"/>
              </w:rPr>
            </w:pPr>
            <w:r w:rsidRPr="004F0345">
              <w:rPr>
                <w:sz w:val="16"/>
                <w:szCs w:val="16"/>
              </w:rPr>
              <w:t>16968</w:t>
            </w:r>
          </w:p>
        </w:tc>
      </w:tr>
      <w:tr w:rsidR="00610312" w:rsidRPr="004F0345" w14:paraId="3DD483C1" w14:textId="77777777" w:rsidTr="0088638B">
        <w:trPr>
          <w:trHeight w:val="600"/>
        </w:trPr>
        <w:tc>
          <w:tcPr>
            <w:tcW w:w="975" w:type="dxa"/>
            <w:vAlign w:val="center"/>
            <w:hideMark/>
          </w:tcPr>
          <w:p w14:paraId="7D89561C"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18B9719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D46E28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36E265F" w14:textId="77777777" w:rsidR="00610312" w:rsidRPr="004F0345" w:rsidRDefault="00610312" w:rsidP="0088638B">
            <w:pPr>
              <w:pStyle w:val="A0"/>
              <w:ind w:firstLine="0"/>
              <w:jc w:val="center"/>
              <w:rPr>
                <w:sz w:val="16"/>
                <w:szCs w:val="16"/>
              </w:rPr>
            </w:pPr>
            <w:r w:rsidRPr="004F0345">
              <w:rPr>
                <w:sz w:val="16"/>
                <w:szCs w:val="16"/>
              </w:rPr>
              <w:t>S Fall</w:t>
            </w:r>
          </w:p>
        </w:tc>
        <w:tc>
          <w:tcPr>
            <w:tcW w:w="630" w:type="dxa"/>
            <w:vAlign w:val="center"/>
            <w:hideMark/>
          </w:tcPr>
          <w:p w14:paraId="73C2DA9B"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1549732F" w14:textId="77777777" w:rsidR="00610312" w:rsidRPr="004F0345" w:rsidRDefault="00610312" w:rsidP="0088638B">
            <w:pPr>
              <w:pStyle w:val="A0"/>
              <w:ind w:firstLine="0"/>
              <w:jc w:val="center"/>
              <w:rPr>
                <w:sz w:val="16"/>
                <w:szCs w:val="16"/>
              </w:rPr>
            </w:pPr>
            <w:r w:rsidRPr="004F0345">
              <w:rPr>
                <w:sz w:val="16"/>
                <w:szCs w:val="16"/>
              </w:rPr>
              <w:t>17141</w:t>
            </w:r>
          </w:p>
        </w:tc>
      </w:tr>
      <w:tr w:rsidR="00610312" w:rsidRPr="004F0345" w14:paraId="41E3D8DC" w14:textId="77777777" w:rsidTr="0088638B">
        <w:trPr>
          <w:trHeight w:val="600"/>
        </w:trPr>
        <w:tc>
          <w:tcPr>
            <w:tcW w:w="975" w:type="dxa"/>
            <w:vAlign w:val="center"/>
            <w:hideMark/>
          </w:tcPr>
          <w:p w14:paraId="1CCF4700"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56E39434"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3B97A7C"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D9CE0F5"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766EDEDB"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16687F2F" w14:textId="77777777" w:rsidR="00610312" w:rsidRPr="004F0345" w:rsidRDefault="00610312" w:rsidP="0088638B">
            <w:pPr>
              <w:pStyle w:val="A0"/>
              <w:ind w:firstLine="0"/>
              <w:jc w:val="center"/>
              <w:rPr>
                <w:sz w:val="16"/>
                <w:szCs w:val="16"/>
              </w:rPr>
            </w:pPr>
            <w:r w:rsidRPr="004F0345">
              <w:rPr>
                <w:sz w:val="16"/>
                <w:szCs w:val="16"/>
              </w:rPr>
              <w:t>17144</w:t>
            </w:r>
          </w:p>
        </w:tc>
      </w:tr>
      <w:tr w:rsidR="00610312" w:rsidRPr="004F0345" w14:paraId="6CA1D5E4" w14:textId="77777777" w:rsidTr="0088638B">
        <w:trPr>
          <w:trHeight w:val="600"/>
        </w:trPr>
        <w:tc>
          <w:tcPr>
            <w:tcW w:w="975" w:type="dxa"/>
            <w:vAlign w:val="center"/>
            <w:hideMark/>
          </w:tcPr>
          <w:p w14:paraId="5D033EE5"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090C24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C7973D6"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A5D9702" w14:textId="77777777" w:rsidR="00610312" w:rsidRPr="004F0345" w:rsidRDefault="00610312" w:rsidP="0088638B">
            <w:pPr>
              <w:pStyle w:val="A0"/>
              <w:jc w:val="center"/>
              <w:rPr>
                <w:sz w:val="16"/>
                <w:szCs w:val="16"/>
              </w:rPr>
            </w:pPr>
            <w:r w:rsidRPr="004F0345">
              <w:rPr>
                <w:sz w:val="16"/>
                <w:szCs w:val="16"/>
              </w:rPr>
              <w:t>P O Hernandez</w:t>
            </w:r>
          </w:p>
        </w:tc>
        <w:tc>
          <w:tcPr>
            <w:tcW w:w="630" w:type="dxa"/>
            <w:vAlign w:val="center"/>
            <w:hideMark/>
          </w:tcPr>
          <w:p w14:paraId="0376FF66"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07308D1A" w14:textId="77777777" w:rsidR="00610312" w:rsidRPr="004F0345" w:rsidRDefault="00610312" w:rsidP="0088638B">
            <w:pPr>
              <w:pStyle w:val="A0"/>
              <w:ind w:firstLine="0"/>
              <w:jc w:val="center"/>
              <w:rPr>
                <w:sz w:val="16"/>
                <w:szCs w:val="16"/>
              </w:rPr>
            </w:pPr>
            <w:r w:rsidRPr="004F0345">
              <w:rPr>
                <w:sz w:val="16"/>
                <w:szCs w:val="16"/>
              </w:rPr>
              <w:t>17221</w:t>
            </w:r>
          </w:p>
        </w:tc>
      </w:tr>
      <w:tr w:rsidR="00610312" w:rsidRPr="004F0345" w14:paraId="47A34999" w14:textId="77777777" w:rsidTr="0088638B">
        <w:trPr>
          <w:trHeight w:val="600"/>
        </w:trPr>
        <w:tc>
          <w:tcPr>
            <w:tcW w:w="975" w:type="dxa"/>
            <w:vAlign w:val="center"/>
            <w:hideMark/>
          </w:tcPr>
          <w:p w14:paraId="1797758E"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28858774"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5AA2FD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CF9A4D2"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6034C6BB"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63B8E7D9" w14:textId="77777777" w:rsidR="00610312" w:rsidRPr="004F0345" w:rsidRDefault="00610312" w:rsidP="0088638B">
            <w:pPr>
              <w:pStyle w:val="A0"/>
              <w:ind w:firstLine="0"/>
              <w:jc w:val="center"/>
              <w:rPr>
                <w:sz w:val="16"/>
                <w:szCs w:val="16"/>
              </w:rPr>
            </w:pPr>
            <w:r w:rsidRPr="004F0345">
              <w:rPr>
                <w:sz w:val="16"/>
                <w:szCs w:val="16"/>
              </w:rPr>
              <w:t>17225</w:t>
            </w:r>
          </w:p>
        </w:tc>
      </w:tr>
      <w:tr w:rsidR="00610312" w:rsidRPr="004F0345" w14:paraId="35047F77" w14:textId="77777777" w:rsidTr="0088638B">
        <w:trPr>
          <w:trHeight w:val="600"/>
        </w:trPr>
        <w:tc>
          <w:tcPr>
            <w:tcW w:w="975" w:type="dxa"/>
            <w:vAlign w:val="center"/>
            <w:hideMark/>
          </w:tcPr>
          <w:p w14:paraId="5E4B3D4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77AF709"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363BBC3"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426D0BF"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10233656" w14:textId="77777777" w:rsidR="00610312" w:rsidRPr="004F0345" w:rsidRDefault="00610312" w:rsidP="0088638B">
            <w:pPr>
              <w:pStyle w:val="A0"/>
              <w:ind w:firstLine="0"/>
              <w:jc w:val="center"/>
              <w:rPr>
                <w:sz w:val="16"/>
                <w:szCs w:val="16"/>
              </w:rPr>
            </w:pPr>
            <w:r w:rsidRPr="004F0345">
              <w:rPr>
                <w:sz w:val="16"/>
                <w:szCs w:val="16"/>
              </w:rPr>
              <w:t>005</w:t>
            </w:r>
          </w:p>
        </w:tc>
        <w:tc>
          <w:tcPr>
            <w:tcW w:w="810" w:type="dxa"/>
            <w:vAlign w:val="center"/>
            <w:hideMark/>
          </w:tcPr>
          <w:p w14:paraId="31E839F7" w14:textId="77777777" w:rsidR="00610312" w:rsidRPr="004F0345" w:rsidRDefault="00610312" w:rsidP="0088638B">
            <w:pPr>
              <w:pStyle w:val="A0"/>
              <w:ind w:firstLine="0"/>
              <w:jc w:val="center"/>
              <w:rPr>
                <w:sz w:val="16"/>
                <w:szCs w:val="16"/>
              </w:rPr>
            </w:pPr>
            <w:r w:rsidRPr="004F0345">
              <w:rPr>
                <w:sz w:val="16"/>
                <w:szCs w:val="16"/>
              </w:rPr>
              <w:t>17341</w:t>
            </w:r>
          </w:p>
        </w:tc>
      </w:tr>
      <w:tr w:rsidR="00610312" w:rsidRPr="004F0345" w14:paraId="02F0E1DE" w14:textId="77777777" w:rsidTr="0088638B">
        <w:trPr>
          <w:trHeight w:val="600"/>
        </w:trPr>
        <w:tc>
          <w:tcPr>
            <w:tcW w:w="975" w:type="dxa"/>
            <w:vAlign w:val="center"/>
            <w:hideMark/>
          </w:tcPr>
          <w:p w14:paraId="089ABDB1"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336BF16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4F1844B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1122ECC" w14:textId="77777777" w:rsidR="00610312" w:rsidRPr="004F0345" w:rsidRDefault="00610312" w:rsidP="0088638B">
            <w:pPr>
              <w:pStyle w:val="A0"/>
              <w:ind w:firstLine="0"/>
              <w:jc w:val="center"/>
              <w:rPr>
                <w:sz w:val="16"/>
                <w:szCs w:val="16"/>
              </w:rPr>
            </w:pPr>
            <w:r w:rsidRPr="004F0345">
              <w:rPr>
                <w:sz w:val="16"/>
                <w:szCs w:val="16"/>
              </w:rPr>
              <w:t>V Prejean</w:t>
            </w:r>
          </w:p>
        </w:tc>
        <w:tc>
          <w:tcPr>
            <w:tcW w:w="630" w:type="dxa"/>
            <w:vAlign w:val="center"/>
            <w:hideMark/>
          </w:tcPr>
          <w:p w14:paraId="619A3906"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748A9130" w14:textId="77777777" w:rsidR="00610312" w:rsidRPr="004F0345" w:rsidRDefault="00610312" w:rsidP="0088638B">
            <w:pPr>
              <w:pStyle w:val="A0"/>
              <w:ind w:firstLine="0"/>
              <w:jc w:val="center"/>
              <w:rPr>
                <w:sz w:val="16"/>
                <w:szCs w:val="16"/>
              </w:rPr>
            </w:pPr>
            <w:r w:rsidRPr="004F0345">
              <w:rPr>
                <w:sz w:val="16"/>
                <w:szCs w:val="16"/>
              </w:rPr>
              <w:t>17385</w:t>
            </w:r>
          </w:p>
        </w:tc>
      </w:tr>
      <w:tr w:rsidR="00610312" w:rsidRPr="004F0345" w14:paraId="0DB5B684" w14:textId="77777777" w:rsidTr="0088638B">
        <w:trPr>
          <w:trHeight w:val="600"/>
        </w:trPr>
        <w:tc>
          <w:tcPr>
            <w:tcW w:w="975" w:type="dxa"/>
            <w:vAlign w:val="center"/>
            <w:hideMark/>
          </w:tcPr>
          <w:p w14:paraId="6E15A5D6"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F87F8AE"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E5C186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E203408" w14:textId="77777777" w:rsidR="00610312" w:rsidRPr="004F0345" w:rsidRDefault="00610312" w:rsidP="0088638B">
            <w:pPr>
              <w:pStyle w:val="A0"/>
              <w:ind w:firstLine="0"/>
              <w:jc w:val="center"/>
              <w:rPr>
                <w:sz w:val="16"/>
                <w:szCs w:val="16"/>
              </w:rPr>
            </w:pPr>
            <w:r w:rsidRPr="004F0345">
              <w:rPr>
                <w:sz w:val="16"/>
                <w:szCs w:val="16"/>
              </w:rPr>
              <w:t>S Fall</w:t>
            </w:r>
          </w:p>
        </w:tc>
        <w:tc>
          <w:tcPr>
            <w:tcW w:w="630" w:type="dxa"/>
            <w:vAlign w:val="center"/>
            <w:hideMark/>
          </w:tcPr>
          <w:p w14:paraId="5478D4DF"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3A8B512B" w14:textId="77777777" w:rsidR="00610312" w:rsidRPr="004F0345" w:rsidRDefault="00610312" w:rsidP="0088638B">
            <w:pPr>
              <w:pStyle w:val="A0"/>
              <w:ind w:firstLine="0"/>
              <w:jc w:val="center"/>
              <w:rPr>
                <w:sz w:val="16"/>
                <w:szCs w:val="16"/>
              </w:rPr>
            </w:pPr>
            <w:r w:rsidRPr="004F0345">
              <w:rPr>
                <w:sz w:val="16"/>
                <w:szCs w:val="16"/>
              </w:rPr>
              <w:t>17457</w:t>
            </w:r>
          </w:p>
        </w:tc>
      </w:tr>
      <w:tr w:rsidR="00610312" w:rsidRPr="004F0345" w14:paraId="15C5C991" w14:textId="77777777" w:rsidTr="0088638B">
        <w:trPr>
          <w:trHeight w:val="600"/>
        </w:trPr>
        <w:tc>
          <w:tcPr>
            <w:tcW w:w="975" w:type="dxa"/>
            <w:vAlign w:val="center"/>
            <w:hideMark/>
          </w:tcPr>
          <w:p w14:paraId="0F279BE8"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7D94BE5D"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4E57E0A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C518198" w14:textId="77777777" w:rsidR="00610312" w:rsidRPr="004F0345" w:rsidRDefault="00610312" w:rsidP="0088638B">
            <w:pPr>
              <w:pStyle w:val="A0"/>
              <w:ind w:firstLine="0"/>
              <w:jc w:val="center"/>
              <w:rPr>
                <w:sz w:val="16"/>
                <w:szCs w:val="16"/>
              </w:rPr>
            </w:pPr>
            <w:r w:rsidRPr="004F0345">
              <w:rPr>
                <w:sz w:val="16"/>
                <w:szCs w:val="16"/>
              </w:rPr>
              <w:t>P O Hernandez SWD</w:t>
            </w:r>
          </w:p>
        </w:tc>
        <w:tc>
          <w:tcPr>
            <w:tcW w:w="630" w:type="dxa"/>
            <w:vAlign w:val="center"/>
            <w:hideMark/>
          </w:tcPr>
          <w:p w14:paraId="7DE5566B" w14:textId="77777777" w:rsidR="00610312" w:rsidRPr="004F0345" w:rsidRDefault="00610312" w:rsidP="0088638B">
            <w:pPr>
              <w:pStyle w:val="A0"/>
              <w:ind w:firstLine="0"/>
              <w:jc w:val="center"/>
              <w:rPr>
                <w:sz w:val="16"/>
                <w:szCs w:val="16"/>
              </w:rPr>
            </w:pPr>
            <w:r w:rsidRPr="004F0345">
              <w:rPr>
                <w:sz w:val="16"/>
                <w:szCs w:val="16"/>
              </w:rPr>
              <w:t>005</w:t>
            </w:r>
          </w:p>
        </w:tc>
        <w:tc>
          <w:tcPr>
            <w:tcW w:w="810" w:type="dxa"/>
            <w:vAlign w:val="center"/>
            <w:hideMark/>
          </w:tcPr>
          <w:p w14:paraId="62313B88" w14:textId="77777777" w:rsidR="00610312" w:rsidRPr="004F0345" w:rsidRDefault="00610312" w:rsidP="0088638B">
            <w:pPr>
              <w:pStyle w:val="A0"/>
              <w:ind w:firstLine="0"/>
              <w:jc w:val="center"/>
              <w:rPr>
                <w:sz w:val="16"/>
                <w:szCs w:val="16"/>
              </w:rPr>
            </w:pPr>
            <w:r w:rsidRPr="004F0345">
              <w:rPr>
                <w:sz w:val="16"/>
                <w:szCs w:val="16"/>
              </w:rPr>
              <w:t>17459</w:t>
            </w:r>
          </w:p>
        </w:tc>
      </w:tr>
      <w:tr w:rsidR="00610312" w:rsidRPr="004F0345" w14:paraId="68C8EF6E" w14:textId="77777777" w:rsidTr="0088638B">
        <w:trPr>
          <w:trHeight w:val="600"/>
        </w:trPr>
        <w:tc>
          <w:tcPr>
            <w:tcW w:w="975" w:type="dxa"/>
            <w:vAlign w:val="center"/>
            <w:hideMark/>
          </w:tcPr>
          <w:p w14:paraId="5FD28E80"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2BB1A1A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5892BB96"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0334D60" w14:textId="77777777" w:rsidR="00610312" w:rsidRPr="004F0345" w:rsidRDefault="00610312" w:rsidP="0088638B">
            <w:pPr>
              <w:pStyle w:val="A0"/>
              <w:ind w:firstLine="0"/>
              <w:jc w:val="center"/>
              <w:rPr>
                <w:sz w:val="16"/>
                <w:szCs w:val="16"/>
              </w:rPr>
            </w:pPr>
            <w:r w:rsidRPr="004F0345">
              <w:rPr>
                <w:sz w:val="16"/>
                <w:szCs w:val="16"/>
              </w:rPr>
              <w:t>P O Hernandez</w:t>
            </w:r>
          </w:p>
        </w:tc>
        <w:tc>
          <w:tcPr>
            <w:tcW w:w="630" w:type="dxa"/>
            <w:vAlign w:val="center"/>
            <w:hideMark/>
          </w:tcPr>
          <w:p w14:paraId="1B2C1439" w14:textId="77777777" w:rsidR="00610312" w:rsidRPr="004F0345" w:rsidRDefault="00610312" w:rsidP="0088638B">
            <w:pPr>
              <w:pStyle w:val="A0"/>
              <w:ind w:firstLine="0"/>
              <w:jc w:val="center"/>
              <w:rPr>
                <w:sz w:val="16"/>
                <w:szCs w:val="16"/>
              </w:rPr>
            </w:pPr>
            <w:r w:rsidRPr="004F0345">
              <w:rPr>
                <w:sz w:val="16"/>
                <w:szCs w:val="16"/>
              </w:rPr>
              <w:t>006</w:t>
            </w:r>
          </w:p>
        </w:tc>
        <w:tc>
          <w:tcPr>
            <w:tcW w:w="810" w:type="dxa"/>
            <w:vAlign w:val="center"/>
            <w:hideMark/>
          </w:tcPr>
          <w:p w14:paraId="051098F7" w14:textId="77777777" w:rsidR="00610312" w:rsidRPr="004F0345" w:rsidRDefault="00610312" w:rsidP="0088638B">
            <w:pPr>
              <w:pStyle w:val="A0"/>
              <w:ind w:firstLine="0"/>
              <w:jc w:val="center"/>
              <w:rPr>
                <w:sz w:val="16"/>
                <w:szCs w:val="16"/>
              </w:rPr>
            </w:pPr>
            <w:r w:rsidRPr="004F0345">
              <w:rPr>
                <w:sz w:val="16"/>
                <w:szCs w:val="16"/>
              </w:rPr>
              <w:t>17460</w:t>
            </w:r>
          </w:p>
        </w:tc>
      </w:tr>
      <w:tr w:rsidR="00610312" w:rsidRPr="004F0345" w14:paraId="6CEC2E85" w14:textId="77777777" w:rsidTr="0088638B">
        <w:trPr>
          <w:trHeight w:val="900"/>
        </w:trPr>
        <w:tc>
          <w:tcPr>
            <w:tcW w:w="975" w:type="dxa"/>
            <w:vAlign w:val="center"/>
            <w:hideMark/>
          </w:tcPr>
          <w:p w14:paraId="7F96358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090BC29"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0B8F403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1A07214" w14:textId="77777777" w:rsidR="00610312" w:rsidRPr="004F0345" w:rsidRDefault="00610312" w:rsidP="0088638B">
            <w:pPr>
              <w:pStyle w:val="A0"/>
              <w:ind w:firstLine="0"/>
              <w:jc w:val="center"/>
              <w:rPr>
                <w:sz w:val="16"/>
                <w:szCs w:val="16"/>
              </w:rPr>
            </w:pPr>
            <w:r w:rsidRPr="004F0345">
              <w:rPr>
                <w:sz w:val="16"/>
                <w:szCs w:val="16"/>
              </w:rPr>
              <w:t>U T Iseringhausen SWD</w:t>
            </w:r>
          </w:p>
        </w:tc>
        <w:tc>
          <w:tcPr>
            <w:tcW w:w="630" w:type="dxa"/>
            <w:vAlign w:val="center"/>
            <w:hideMark/>
          </w:tcPr>
          <w:p w14:paraId="53451DCA" w14:textId="77777777" w:rsidR="00610312" w:rsidRPr="004F0345" w:rsidRDefault="00610312" w:rsidP="0088638B">
            <w:pPr>
              <w:pStyle w:val="A0"/>
              <w:ind w:firstLine="0"/>
              <w:jc w:val="center"/>
              <w:rPr>
                <w:sz w:val="16"/>
                <w:szCs w:val="16"/>
              </w:rPr>
            </w:pPr>
            <w:r w:rsidRPr="004F0345">
              <w:rPr>
                <w:sz w:val="16"/>
                <w:szCs w:val="16"/>
              </w:rPr>
              <w:t>004</w:t>
            </w:r>
          </w:p>
        </w:tc>
        <w:tc>
          <w:tcPr>
            <w:tcW w:w="810" w:type="dxa"/>
            <w:vAlign w:val="center"/>
            <w:hideMark/>
          </w:tcPr>
          <w:p w14:paraId="1D94B4E3" w14:textId="77777777" w:rsidR="00610312" w:rsidRPr="004F0345" w:rsidRDefault="00610312" w:rsidP="0088638B">
            <w:pPr>
              <w:pStyle w:val="A0"/>
              <w:ind w:firstLine="0"/>
              <w:jc w:val="center"/>
              <w:rPr>
                <w:sz w:val="16"/>
                <w:szCs w:val="16"/>
              </w:rPr>
            </w:pPr>
            <w:r w:rsidRPr="004F0345">
              <w:rPr>
                <w:sz w:val="16"/>
                <w:szCs w:val="16"/>
              </w:rPr>
              <w:t>17465</w:t>
            </w:r>
          </w:p>
        </w:tc>
      </w:tr>
      <w:tr w:rsidR="00610312" w:rsidRPr="004F0345" w14:paraId="6DB04BCE" w14:textId="77777777" w:rsidTr="0088638B">
        <w:trPr>
          <w:trHeight w:val="600"/>
        </w:trPr>
        <w:tc>
          <w:tcPr>
            <w:tcW w:w="975" w:type="dxa"/>
            <w:vAlign w:val="center"/>
            <w:hideMark/>
          </w:tcPr>
          <w:p w14:paraId="3BC19E27"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DDCFF22"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234815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63528CBE"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70EE4065" w14:textId="77777777" w:rsidR="00610312" w:rsidRPr="004F0345" w:rsidRDefault="00610312" w:rsidP="0088638B">
            <w:pPr>
              <w:pStyle w:val="A0"/>
              <w:ind w:firstLine="0"/>
              <w:jc w:val="center"/>
              <w:rPr>
                <w:sz w:val="16"/>
                <w:szCs w:val="16"/>
              </w:rPr>
            </w:pPr>
            <w:r w:rsidRPr="004F0345">
              <w:rPr>
                <w:sz w:val="16"/>
                <w:szCs w:val="16"/>
              </w:rPr>
              <w:t>006</w:t>
            </w:r>
          </w:p>
        </w:tc>
        <w:tc>
          <w:tcPr>
            <w:tcW w:w="810" w:type="dxa"/>
            <w:vAlign w:val="center"/>
            <w:hideMark/>
          </w:tcPr>
          <w:p w14:paraId="7F2947B1" w14:textId="77777777" w:rsidR="00610312" w:rsidRPr="004F0345" w:rsidRDefault="00610312" w:rsidP="0088638B">
            <w:pPr>
              <w:pStyle w:val="A0"/>
              <w:ind w:firstLine="0"/>
              <w:jc w:val="center"/>
              <w:rPr>
                <w:sz w:val="16"/>
                <w:szCs w:val="16"/>
              </w:rPr>
            </w:pPr>
            <w:r w:rsidRPr="004F0345">
              <w:rPr>
                <w:sz w:val="16"/>
                <w:szCs w:val="16"/>
              </w:rPr>
              <w:t>17467</w:t>
            </w:r>
          </w:p>
        </w:tc>
      </w:tr>
      <w:tr w:rsidR="00610312" w:rsidRPr="004F0345" w14:paraId="26E158E5" w14:textId="77777777" w:rsidTr="0088638B">
        <w:trPr>
          <w:trHeight w:val="600"/>
        </w:trPr>
        <w:tc>
          <w:tcPr>
            <w:tcW w:w="975" w:type="dxa"/>
            <w:vAlign w:val="center"/>
            <w:hideMark/>
          </w:tcPr>
          <w:p w14:paraId="1F591D71"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38CB386A"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67401578"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0848A11" w14:textId="77777777" w:rsidR="00610312" w:rsidRPr="004F0345" w:rsidRDefault="00610312" w:rsidP="0088638B">
            <w:pPr>
              <w:pStyle w:val="A0"/>
              <w:ind w:firstLine="0"/>
              <w:jc w:val="center"/>
              <w:rPr>
                <w:sz w:val="16"/>
                <w:szCs w:val="16"/>
              </w:rPr>
            </w:pPr>
            <w:r w:rsidRPr="004F0345">
              <w:rPr>
                <w:sz w:val="16"/>
                <w:szCs w:val="16"/>
              </w:rPr>
              <w:t>P O Hernandez</w:t>
            </w:r>
          </w:p>
        </w:tc>
        <w:tc>
          <w:tcPr>
            <w:tcW w:w="630" w:type="dxa"/>
            <w:vAlign w:val="center"/>
            <w:hideMark/>
          </w:tcPr>
          <w:p w14:paraId="17B1701E" w14:textId="77777777" w:rsidR="00610312" w:rsidRPr="004F0345" w:rsidRDefault="00610312" w:rsidP="0088638B">
            <w:pPr>
              <w:pStyle w:val="A0"/>
              <w:ind w:firstLine="0"/>
              <w:jc w:val="center"/>
              <w:rPr>
                <w:sz w:val="16"/>
                <w:szCs w:val="16"/>
              </w:rPr>
            </w:pPr>
            <w:r w:rsidRPr="004F0345">
              <w:rPr>
                <w:sz w:val="16"/>
                <w:szCs w:val="16"/>
              </w:rPr>
              <w:t>010</w:t>
            </w:r>
          </w:p>
        </w:tc>
        <w:tc>
          <w:tcPr>
            <w:tcW w:w="810" w:type="dxa"/>
            <w:vAlign w:val="center"/>
            <w:hideMark/>
          </w:tcPr>
          <w:p w14:paraId="0D26DC62" w14:textId="77777777" w:rsidR="00610312" w:rsidRPr="004F0345" w:rsidRDefault="00610312" w:rsidP="0088638B">
            <w:pPr>
              <w:pStyle w:val="A0"/>
              <w:ind w:firstLine="0"/>
              <w:jc w:val="center"/>
              <w:rPr>
                <w:sz w:val="16"/>
                <w:szCs w:val="16"/>
              </w:rPr>
            </w:pPr>
            <w:r w:rsidRPr="004F0345">
              <w:rPr>
                <w:sz w:val="16"/>
                <w:szCs w:val="16"/>
              </w:rPr>
              <w:t>17868</w:t>
            </w:r>
          </w:p>
        </w:tc>
      </w:tr>
      <w:tr w:rsidR="00610312" w:rsidRPr="004F0345" w14:paraId="156526C2" w14:textId="77777777" w:rsidTr="0088638B">
        <w:trPr>
          <w:trHeight w:val="600"/>
        </w:trPr>
        <w:tc>
          <w:tcPr>
            <w:tcW w:w="975" w:type="dxa"/>
            <w:vAlign w:val="center"/>
            <w:hideMark/>
          </w:tcPr>
          <w:p w14:paraId="2E1C12FF"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6119742"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6BE4718D"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5E51F5E" w14:textId="77777777" w:rsidR="00610312" w:rsidRPr="004F0345" w:rsidRDefault="00610312" w:rsidP="0088638B">
            <w:pPr>
              <w:pStyle w:val="A0"/>
              <w:ind w:firstLine="0"/>
              <w:jc w:val="center"/>
              <w:rPr>
                <w:sz w:val="16"/>
                <w:szCs w:val="16"/>
              </w:rPr>
            </w:pPr>
            <w:r w:rsidRPr="004F0345">
              <w:rPr>
                <w:sz w:val="16"/>
                <w:szCs w:val="16"/>
              </w:rPr>
              <w:t>Delta Minerals SWD</w:t>
            </w:r>
          </w:p>
        </w:tc>
        <w:tc>
          <w:tcPr>
            <w:tcW w:w="630" w:type="dxa"/>
            <w:vAlign w:val="center"/>
            <w:hideMark/>
          </w:tcPr>
          <w:p w14:paraId="31F1176A" w14:textId="77777777" w:rsidR="00610312" w:rsidRPr="004F0345" w:rsidRDefault="00610312" w:rsidP="0088638B">
            <w:pPr>
              <w:pStyle w:val="A0"/>
              <w:ind w:firstLine="0"/>
              <w:jc w:val="center"/>
              <w:rPr>
                <w:sz w:val="16"/>
                <w:szCs w:val="16"/>
              </w:rPr>
            </w:pPr>
            <w:r w:rsidRPr="004F0345">
              <w:rPr>
                <w:sz w:val="16"/>
                <w:szCs w:val="16"/>
              </w:rPr>
              <w:t>005-A</w:t>
            </w:r>
          </w:p>
        </w:tc>
        <w:tc>
          <w:tcPr>
            <w:tcW w:w="810" w:type="dxa"/>
            <w:vAlign w:val="center"/>
            <w:hideMark/>
          </w:tcPr>
          <w:p w14:paraId="091C152D" w14:textId="77777777" w:rsidR="00610312" w:rsidRPr="004F0345" w:rsidRDefault="00610312" w:rsidP="0088638B">
            <w:pPr>
              <w:pStyle w:val="A0"/>
              <w:ind w:firstLine="0"/>
              <w:jc w:val="center"/>
              <w:rPr>
                <w:sz w:val="16"/>
                <w:szCs w:val="16"/>
              </w:rPr>
            </w:pPr>
            <w:r w:rsidRPr="004F0345">
              <w:rPr>
                <w:sz w:val="16"/>
                <w:szCs w:val="16"/>
              </w:rPr>
              <w:t>70470</w:t>
            </w:r>
          </w:p>
        </w:tc>
      </w:tr>
      <w:tr w:rsidR="00610312" w:rsidRPr="004F0345" w14:paraId="1E0C0197" w14:textId="77777777" w:rsidTr="0088638B">
        <w:trPr>
          <w:trHeight w:val="600"/>
        </w:trPr>
        <w:tc>
          <w:tcPr>
            <w:tcW w:w="975" w:type="dxa"/>
            <w:vAlign w:val="center"/>
            <w:hideMark/>
          </w:tcPr>
          <w:p w14:paraId="648C97EC"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0AD2276"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0D0FC7A9"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16B5A1D"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7E6CE6F5" w14:textId="77777777" w:rsidR="00610312" w:rsidRPr="004F0345" w:rsidRDefault="00610312" w:rsidP="0088638B">
            <w:pPr>
              <w:pStyle w:val="A0"/>
              <w:ind w:firstLine="0"/>
              <w:jc w:val="center"/>
              <w:rPr>
                <w:sz w:val="16"/>
                <w:szCs w:val="16"/>
              </w:rPr>
            </w:pPr>
            <w:r w:rsidRPr="004F0345">
              <w:rPr>
                <w:sz w:val="16"/>
                <w:szCs w:val="16"/>
              </w:rPr>
              <w:t>001D</w:t>
            </w:r>
          </w:p>
        </w:tc>
        <w:tc>
          <w:tcPr>
            <w:tcW w:w="810" w:type="dxa"/>
            <w:vAlign w:val="center"/>
            <w:hideMark/>
          </w:tcPr>
          <w:p w14:paraId="32E53416" w14:textId="77777777" w:rsidR="00610312" w:rsidRPr="004F0345" w:rsidRDefault="00610312" w:rsidP="0088638B">
            <w:pPr>
              <w:pStyle w:val="A0"/>
              <w:ind w:firstLine="0"/>
              <w:jc w:val="center"/>
              <w:rPr>
                <w:sz w:val="16"/>
                <w:szCs w:val="16"/>
              </w:rPr>
            </w:pPr>
            <w:r w:rsidRPr="004F0345">
              <w:rPr>
                <w:sz w:val="16"/>
                <w:szCs w:val="16"/>
              </w:rPr>
              <w:t>154895</w:t>
            </w:r>
          </w:p>
        </w:tc>
      </w:tr>
      <w:tr w:rsidR="00610312" w:rsidRPr="004F0345" w14:paraId="439873A2" w14:textId="77777777" w:rsidTr="0088638B">
        <w:trPr>
          <w:trHeight w:val="600"/>
        </w:trPr>
        <w:tc>
          <w:tcPr>
            <w:tcW w:w="975" w:type="dxa"/>
            <w:vAlign w:val="center"/>
            <w:hideMark/>
          </w:tcPr>
          <w:p w14:paraId="4DA5D047"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D34062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FDC5E7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4207E27" w14:textId="77777777" w:rsidR="00610312" w:rsidRPr="004F0345" w:rsidRDefault="00610312" w:rsidP="0088638B">
            <w:pPr>
              <w:pStyle w:val="A0"/>
              <w:ind w:firstLine="0"/>
              <w:jc w:val="center"/>
              <w:rPr>
                <w:sz w:val="16"/>
                <w:szCs w:val="16"/>
              </w:rPr>
            </w:pPr>
            <w:r w:rsidRPr="004F0345">
              <w:rPr>
                <w:sz w:val="16"/>
                <w:szCs w:val="16"/>
              </w:rPr>
              <w:t>P O Hernandez</w:t>
            </w:r>
          </w:p>
        </w:tc>
        <w:tc>
          <w:tcPr>
            <w:tcW w:w="630" w:type="dxa"/>
            <w:vAlign w:val="center"/>
            <w:hideMark/>
          </w:tcPr>
          <w:p w14:paraId="2D947B4E" w14:textId="77777777" w:rsidR="00610312" w:rsidRPr="004F0345" w:rsidRDefault="00610312" w:rsidP="0088638B">
            <w:pPr>
              <w:pStyle w:val="A0"/>
              <w:ind w:firstLine="0"/>
              <w:jc w:val="center"/>
              <w:rPr>
                <w:sz w:val="16"/>
                <w:szCs w:val="16"/>
              </w:rPr>
            </w:pPr>
            <w:r w:rsidRPr="004F0345">
              <w:rPr>
                <w:sz w:val="16"/>
                <w:szCs w:val="16"/>
              </w:rPr>
              <w:t>011</w:t>
            </w:r>
          </w:p>
        </w:tc>
        <w:tc>
          <w:tcPr>
            <w:tcW w:w="810" w:type="dxa"/>
            <w:vAlign w:val="center"/>
            <w:hideMark/>
          </w:tcPr>
          <w:p w14:paraId="344B30B6" w14:textId="77777777" w:rsidR="00610312" w:rsidRPr="004F0345" w:rsidRDefault="00610312" w:rsidP="0088638B">
            <w:pPr>
              <w:pStyle w:val="A0"/>
              <w:ind w:firstLine="0"/>
              <w:jc w:val="center"/>
              <w:rPr>
                <w:sz w:val="16"/>
                <w:szCs w:val="16"/>
              </w:rPr>
            </w:pPr>
            <w:r w:rsidRPr="004F0345">
              <w:rPr>
                <w:sz w:val="16"/>
                <w:szCs w:val="16"/>
              </w:rPr>
              <w:t>191186</w:t>
            </w:r>
          </w:p>
        </w:tc>
      </w:tr>
      <w:tr w:rsidR="00610312" w:rsidRPr="004F0345" w14:paraId="5C3B4292" w14:textId="77777777" w:rsidTr="0088638B">
        <w:trPr>
          <w:trHeight w:val="600"/>
        </w:trPr>
        <w:tc>
          <w:tcPr>
            <w:tcW w:w="975" w:type="dxa"/>
            <w:vAlign w:val="center"/>
            <w:hideMark/>
          </w:tcPr>
          <w:p w14:paraId="4A98EC90"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7B81A90"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CE006B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96F673C"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21D85C30" w14:textId="77777777" w:rsidR="00610312" w:rsidRPr="004F0345" w:rsidRDefault="00610312" w:rsidP="0088638B">
            <w:pPr>
              <w:pStyle w:val="A0"/>
              <w:ind w:firstLine="0"/>
              <w:jc w:val="center"/>
              <w:rPr>
                <w:sz w:val="16"/>
                <w:szCs w:val="16"/>
              </w:rPr>
            </w:pPr>
            <w:r w:rsidRPr="004F0345">
              <w:rPr>
                <w:sz w:val="16"/>
                <w:szCs w:val="16"/>
              </w:rPr>
              <w:t>006</w:t>
            </w:r>
          </w:p>
        </w:tc>
        <w:tc>
          <w:tcPr>
            <w:tcW w:w="810" w:type="dxa"/>
            <w:vAlign w:val="center"/>
            <w:hideMark/>
          </w:tcPr>
          <w:p w14:paraId="04556CCA" w14:textId="77777777" w:rsidR="00610312" w:rsidRPr="004F0345" w:rsidRDefault="00610312" w:rsidP="0088638B">
            <w:pPr>
              <w:pStyle w:val="A0"/>
              <w:ind w:firstLine="0"/>
              <w:jc w:val="center"/>
              <w:rPr>
                <w:sz w:val="16"/>
                <w:szCs w:val="16"/>
              </w:rPr>
            </w:pPr>
            <w:r w:rsidRPr="004F0345">
              <w:rPr>
                <w:sz w:val="16"/>
                <w:szCs w:val="16"/>
              </w:rPr>
              <w:t>193098</w:t>
            </w:r>
          </w:p>
        </w:tc>
      </w:tr>
      <w:tr w:rsidR="00610312" w:rsidRPr="004F0345" w14:paraId="02500462" w14:textId="77777777" w:rsidTr="0088638B">
        <w:trPr>
          <w:trHeight w:val="600"/>
        </w:trPr>
        <w:tc>
          <w:tcPr>
            <w:tcW w:w="975" w:type="dxa"/>
            <w:vAlign w:val="center"/>
            <w:hideMark/>
          </w:tcPr>
          <w:p w14:paraId="6875B5ED"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6D12B9A"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182790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568EED6"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459F488E" w14:textId="77777777" w:rsidR="00610312" w:rsidRPr="004F0345" w:rsidRDefault="00610312" w:rsidP="0088638B">
            <w:pPr>
              <w:pStyle w:val="A0"/>
              <w:ind w:firstLine="0"/>
              <w:jc w:val="center"/>
              <w:rPr>
                <w:sz w:val="16"/>
                <w:szCs w:val="16"/>
              </w:rPr>
            </w:pPr>
            <w:r w:rsidRPr="004F0345">
              <w:rPr>
                <w:sz w:val="16"/>
                <w:szCs w:val="16"/>
              </w:rPr>
              <w:t>006-D</w:t>
            </w:r>
          </w:p>
        </w:tc>
        <w:tc>
          <w:tcPr>
            <w:tcW w:w="810" w:type="dxa"/>
            <w:vAlign w:val="center"/>
            <w:hideMark/>
          </w:tcPr>
          <w:p w14:paraId="0AAF4E00" w14:textId="77777777" w:rsidR="00610312" w:rsidRPr="004F0345" w:rsidRDefault="00610312" w:rsidP="0088638B">
            <w:pPr>
              <w:pStyle w:val="A0"/>
              <w:ind w:firstLine="0"/>
              <w:jc w:val="center"/>
              <w:rPr>
                <w:sz w:val="16"/>
                <w:szCs w:val="16"/>
              </w:rPr>
            </w:pPr>
            <w:r w:rsidRPr="004F0345">
              <w:rPr>
                <w:sz w:val="16"/>
                <w:szCs w:val="16"/>
              </w:rPr>
              <w:t>196641</w:t>
            </w:r>
          </w:p>
        </w:tc>
      </w:tr>
      <w:tr w:rsidR="00610312" w:rsidRPr="004F0345" w14:paraId="0725F1EE" w14:textId="77777777" w:rsidTr="0088638B">
        <w:trPr>
          <w:trHeight w:val="600"/>
        </w:trPr>
        <w:tc>
          <w:tcPr>
            <w:tcW w:w="975" w:type="dxa"/>
            <w:vAlign w:val="center"/>
            <w:hideMark/>
          </w:tcPr>
          <w:p w14:paraId="52C4E7C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6FCEF19"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06D8433"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4756481"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369D89BF" w14:textId="77777777" w:rsidR="00610312" w:rsidRPr="004F0345" w:rsidRDefault="00610312" w:rsidP="0088638B">
            <w:pPr>
              <w:pStyle w:val="A0"/>
              <w:ind w:firstLine="0"/>
              <w:jc w:val="center"/>
              <w:rPr>
                <w:sz w:val="16"/>
                <w:szCs w:val="16"/>
              </w:rPr>
            </w:pPr>
            <w:r w:rsidRPr="004F0345">
              <w:rPr>
                <w:sz w:val="16"/>
                <w:szCs w:val="16"/>
              </w:rPr>
              <w:t>007</w:t>
            </w:r>
          </w:p>
        </w:tc>
        <w:tc>
          <w:tcPr>
            <w:tcW w:w="810" w:type="dxa"/>
            <w:vAlign w:val="center"/>
            <w:hideMark/>
          </w:tcPr>
          <w:p w14:paraId="54BA38E8" w14:textId="77777777" w:rsidR="00610312" w:rsidRPr="004F0345" w:rsidRDefault="00610312" w:rsidP="0088638B">
            <w:pPr>
              <w:pStyle w:val="A0"/>
              <w:ind w:firstLine="0"/>
              <w:jc w:val="center"/>
              <w:rPr>
                <w:sz w:val="16"/>
                <w:szCs w:val="16"/>
              </w:rPr>
            </w:pPr>
            <w:r w:rsidRPr="004F0345">
              <w:rPr>
                <w:sz w:val="16"/>
                <w:szCs w:val="16"/>
              </w:rPr>
              <w:t>199434</w:t>
            </w:r>
          </w:p>
        </w:tc>
      </w:tr>
      <w:tr w:rsidR="00610312" w:rsidRPr="004F0345" w14:paraId="42131B41" w14:textId="77777777" w:rsidTr="0088638B">
        <w:trPr>
          <w:trHeight w:val="600"/>
        </w:trPr>
        <w:tc>
          <w:tcPr>
            <w:tcW w:w="975" w:type="dxa"/>
            <w:vAlign w:val="center"/>
            <w:hideMark/>
          </w:tcPr>
          <w:p w14:paraId="55BEDC2D"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16118457"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390EB6D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4899A59"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2DF2F0F2" w14:textId="77777777" w:rsidR="00610312" w:rsidRPr="004F0345" w:rsidRDefault="00610312" w:rsidP="0088638B">
            <w:pPr>
              <w:pStyle w:val="A0"/>
              <w:ind w:firstLine="0"/>
              <w:jc w:val="center"/>
              <w:rPr>
                <w:sz w:val="16"/>
                <w:szCs w:val="16"/>
              </w:rPr>
            </w:pPr>
            <w:r w:rsidRPr="004F0345">
              <w:rPr>
                <w:sz w:val="16"/>
                <w:szCs w:val="16"/>
              </w:rPr>
              <w:t>013</w:t>
            </w:r>
          </w:p>
        </w:tc>
        <w:tc>
          <w:tcPr>
            <w:tcW w:w="810" w:type="dxa"/>
            <w:vAlign w:val="center"/>
            <w:hideMark/>
          </w:tcPr>
          <w:p w14:paraId="5C12389F" w14:textId="77777777" w:rsidR="00610312" w:rsidRPr="004F0345" w:rsidRDefault="00610312" w:rsidP="0088638B">
            <w:pPr>
              <w:pStyle w:val="A0"/>
              <w:ind w:firstLine="0"/>
              <w:jc w:val="center"/>
              <w:rPr>
                <w:sz w:val="16"/>
                <w:szCs w:val="16"/>
              </w:rPr>
            </w:pPr>
            <w:r w:rsidRPr="004F0345">
              <w:rPr>
                <w:sz w:val="16"/>
                <w:szCs w:val="16"/>
              </w:rPr>
              <w:t>207463</w:t>
            </w:r>
          </w:p>
        </w:tc>
      </w:tr>
      <w:tr w:rsidR="00610312" w:rsidRPr="004F0345" w14:paraId="687A5EC2" w14:textId="77777777" w:rsidTr="0088638B">
        <w:trPr>
          <w:trHeight w:val="600"/>
        </w:trPr>
        <w:tc>
          <w:tcPr>
            <w:tcW w:w="975" w:type="dxa"/>
            <w:vAlign w:val="center"/>
            <w:hideMark/>
          </w:tcPr>
          <w:p w14:paraId="7209713D"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F4A2F30"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0C01325C"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4F5B8E2" w14:textId="77777777" w:rsidR="00610312" w:rsidRPr="004F0345" w:rsidRDefault="00610312" w:rsidP="0088638B">
            <w:pPr>
              <w:pStyle w:val="A0"/>
              <w:ind w:firstLine="0"/>
              <w:jc w:val="center"/>
              <w:rPr>
                <w:sz w:val="16"/>
                <w:szCs w:val="16"/>
              </w:rPr>
            </w:pPr>
            <w:r w:rsidRPr="004F0345">
              <w:rPr>
                <w:sz w:val="16"/>
                <w:szCs w:val="16"/>
              </w:rPr>
              <w:t>P M Dugas 34</w:t>
            </w:r>
          </w:p>
        </w:tc>
        <w:tc>
          <w:tcPr>
            <w:tcW w:w="630" w:type="dxa"/>
            <w:vAlign w:val="center"/>
            <w:hideMark/>
          </w:tcPr>
          <w:p w14:paraId="01C27831"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1C89AB39" w14:textId="77777777" w:rsidR="00610312" w:rsidRPr="004F0345" w:rsidRDefault="00610312" w:rsidP="0088638B">
            <w:pPr>
              <w:pStyle w:val="A0"/>
              <w:ind w:firstLine="0"/>
              <w:jc w:val="center"/>
              <w:rPr>
                <w:sz w:val="16"/>
                <w:szCs w:val="16"/>
              </w:rPr>
            </w:pPr>
            <w:r w:rsidRPr="004F0345">
              <w:rPr>
                <w:sz w:val="16"/>
                <w:szCs w:val="16"/>
              </w:rPr>
              <w:t>239501</w:t>
            </w:r>
          </w:p>
        </w:tc>
      </w:tr>
      <w:tr w:rsidR="00610312" w:rsidRPr="004F0345" w14:paraId="7EAD9054" w14:textId="77777777" w:rsidTr="0088638B">
        <w:trPr>
          <w:trHeight w:val="600"/>
        </w:trPr>
        <w:tc>
          <w:tcPr>
            <w:tcW w:w="975" w:type="dxa"/>
            <w:vAlign w:val="center"/>
            <w:hideMark/>
          </w:tcPr>
          <w:p w14:paraId="39921A09" w14:textId="77777777" w:rsidR="00610312" w:rsidRPr="004F0345" w:rsidRDefault="00610312" w:rsidP="0088638B">
            <w:pPr>
              <w:pStyle w:val="A0"/>
              <w:ind w:firstLine="0"/>
              <w:jc w:val="center"/>
              <w:rPr>
                <w:sz w:val="16"/>
                <w:szCs w:val="16"/>
              </w:rPr>
            </w:pPr>
            <w:r w:rsidRPr="004F0345">
              <w:rPr>
                <w:sz w:val="16"/>
                <w:szCs w:val="16"/>
              </w:rPr>
              <w:lastRenderedPageBreak/>
              <w:t>Bull Operating, LLC</w:t>
            </w:r>
          </w:p>
        </w:tc>
        <w:tc>
          <w:tcPr>
            <w:tcW w:w="720" w:type="dxa"/>
            <w:vAlign w:val="center"/>
            <w:hideMark/>
          </w:tcPr>
          <w:p w14:paraId="34FD91C7"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ECE563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CCE2411" w14:textId="77777777" w:rsidR="00610312" w:rsidRDefault="00610312" w:rsidP="0088638B">
            <w:pPr>
              <w:pStyle w:val="A0"/>
              <w:ind w:firstLine="0"/>
              <w:jc w:val="center"/>
              <w:rPr>
                <w:sz w:val="16"/>
                <w:szCs w:val="16"/>
              </w:rPr>
            </w:pPr>
            <w:r w:rsidRPr="004F0345">
              <w:rPr>
                <w:sz w:val="16"/>
                <w:szCs w:val="16"/>
              </w:rPr>
              <w:t>VUA;</w:t>
            </w:r>
          </w:p>
          <w:p w14:paraId="1B4A80E9" w14:textId="77777777" w:rsidR="00610312" w:rsidRPr="004F0345" w:rsidRDefault="00610312" w:rsidP="0088638B">
            <w:pPr>
              <w:pStyle w:val="A0"/>
              <w:ind w:firstLine="0"/>
              <w:jc w:val="center"/>
              <w:rPr>
                <w:sz w:val="16"/>
                <w:szCs w:val="16"/>
              </w:rPr>
            </w:pPr>
            <w:r w:rsidRPr="004F0345">
              <w:rPr>
                <w:sz w:val="16"/>
                <w:szCs w:val="16"/>
              </w:rPr>
              <w:t>Prejean Estate</w:t>
            </w:r>
          </w:p>
        </w:tc>
        <w:tc>
          <w:tcPr>
            <w:tcW w:w="630" w:type="dxa"/>
            <w:vAlign w:val="center"/>
            <w:hideMark/>
          </w:tcPr>
          <w:p w14:paraId="1440313B"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7DAD5BF4" w14:textId="77777777" w:rsidR="00610312" w:rsidRPr="004F0345" w:rsidRDefault="00610312" w:rsidP="0088638B">
            <w:pPr>
              <w:pStyle w:val="A0"/>
              <w:ind w:firstLine="0"/>
              <w:jc w:val="center"/>
              <w:rPr>
                <w:sz w:val="16"/>
                <w:szCs w:val="16"/>
              </w:rPr>
            </w:pPr>
            <w:r w:rsidRPr="004F0345">
              <w:rPr>
                <w:sz w:val="16"/>
                <w:szCs w:val="16"/>
              </w:rPr>
              <w:t>245045</w:t>
            </w:r>
          </w:p>
        </w:tc>
      </w:tr>
      <w:tr w:rsidR="00610312" w:rsidRPr="004F0345" w14:paraId="6D3B61F2" w14:textId="77777777" w:rsidTr="0088638B">
        <w:trPr>
          <w:trHeight w:val="600"/>
        </w:trPr>
        <w:tc>
          <w:tcPr>
            <w:tcW w:w="975" w:type="dxa"/>
            <w:vAlign w:val="center"/>
            <w:hideMark/>
          </w:tcPr>
          <w:p w14:paraId="6386EDE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A61E62D"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8C820B8"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09BFA8D" w14:textId="77777777" w:rsidR="00610312" w:rsidRPr="004F0345" w:rsidRDefault="00610312" w:rsidP="0088638B">
            <w:pPr>
              <w:pStyle w:val="A0"/>
              <w:ind w:firstLine="0"/>
              <w:jc w:val="center"/>
              <w:rPr>
                <w:sz w:val="16"/>
                <w:szCs w:val="16"/>
              </w:rPr>
            </w:pPr>
            <w:r w:rsidRPr="004F0345">
              <w:rPr>
                <w:sz w:val="16"/>
                <w:szCs w:val="16"/>
              </w:rPr>
              <w:t>P O Hernandez SWD</w:t>
            </w:r>
          </w:p>
        </w:tc>
        <w:tc>
          <w:tcPr>
            <w:tcW w:w="630" w:type="dxa"/>
            <w:vAlign w:val="center"/>
            <w:hideMark/>
          </w:tcPr>
          <w:p w14:paraId="1AE7C68C"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48B89BBC" w14:textId="77777777" w:rsidR="00610312" w:rsidRPr="004F0345" w:rsidRDefault="00610312" w:rsidP="0088638B">
            <w:pPr>
              <w:pStyle w:val="A0"/>
              <w:ind w:firstLine="0"/>
              <w:jc w:val="center"/>
              <w:rPr>
                <w:sz w:val="16"/>
                <w:szCs w:val="16"/>
              </w:rPr>
            </w:pPr>
            <w:r w:rsidRPr="004F0345">
              <w:rPr>
                <w:sz w:val="16"/>
                <w:szCs w:val="16"/>
              </w:rPr>
              <w:t>971068</w:t>
            </w:r>
          </w:p>
        </w:tc>
      </w:tr>
      <w:tr w:rsidR="00610312" w:rsidRPr="004F0345" w14:paraId="3772BB09" w14:textId="77777777" w:rsidTr="0088638B">
        <w:trPr>
          <w:trHeight w:val="600"/>
        </w:trPr>
        <w:tc>
          <w:tcPr>
            <w:tcW w:w="975" w:type="dxa"/>
            <w:vAlign w:val="center"/>
            <w:hideMark/>
          </w:tcPr>
          <w:p w14:paraId="1A297B46"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46AF7BC"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56AEAFD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69C2B44" w14:textId="77777777" w:rsidR="00610312" w:rsidRPr="004F0345" w:rsidRDefault="00610312" w:rsidP="0088638B">
            <w:pPr>
              <w:pStyle w:val="A0"/>
              <w:ind w:firstLine="0"/>
              <w:jc w:val="center"/>
              <w:rPr>
                <w:sz w:val="16"/>
                <w:szCs w:val="16"/>
              </w:rPr>
            </w:pPr>
            <w:r w:rsidRPr="004F0345">
              <w:rPr>
                <w:sz w:val="16"/>
                <w:szCs w:val="16"/>
              </w:rPr>
              <w:t>W V Larcade SWD</w:t>
            </w:r>
          </w:p>
        </w:tc>
        <w:tc>
          <w:tcPr>
            <w:tcW w:w="630" w:type="dxa"/>
            <w:vAlign w:val="center"/>
            <w:hideMark/>
          </w:tcPr>
          <w:p w14:paraId="30347B9D"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6876FA71" w14:textId="77777777" w:rsidR="00610312" w:rsidRPr="004F0345" w:rsidRDefault="00610312" w:rsidP="0088638B">
            <w:pPr>
              <w:pStyle w:val="A0"/>
              <w:ind w:firstLine="0"/>
              <w:jc w:val="center"/>
              <w:rPr>
                <w:sz w:val="16"/>
                <w:szCs w:val="16"/>
              </w:rPr>
            </w:pPr>
            <w:r w:rsidRPr="004F0345">
              <w:rPr>
                <w:sz w:val="16"/>
                <w:szCs w:val="16"/>
              </w:rPr>
              <w:t>972136</w:t>
            </w:r>
          </w:p>
        </w:tc>
      </w:tr>
      <w:tr w:rsidR="00610312" w:rsidRPr="004F0345" w14:paraId="03680620" w14:textId="77777777" w:rsidTr="0088638B">
        <w:trPr>
          <w:trHeight w:val="600"/>
        </w:trPr>
        <w:tc>
          <w:tcPr>
            <w:tcW w:w="975" w:type="dxa"/>
            <w:vAlign w:val="center"/>
            <w:hideMark/>
          </w:tcPr>
          <w:p w14:paraId="477E1705" w14:textId="77777777" w:rsidR="00610312" w:rsidRPr="004F0345" w:rsidRDefault="00610312" w:rsidP="0088638B">
            <w:pPr>
              <w:pStyle w:val="A0"/>
              <w:ind w:firstLine="0"/>
              <w:jc w:val="center"/>
              <w:rPr>
                <w:sz w:val="16"/>
                <w:szCs w:val="16"/>
              </w:rPr>
            </w:pPr>
            <w:r w:rsidRPr="004F0345">
              <w:rPr>
                <w:sz w:val="16"/>
                <w:szCs w:val="16"/>
              </w:rPr>
              <w:t>Monroe Well Service-East End</w:t>
            </w:r>
          </w:p>
        </w:tc>
        <w:tc>
          <w:tcPr>
            <w:tcW w:w="720" w:type="dxa"/>
            <w:vAlign w:val="center"/>
            <w:hideMark/>
          </w:tcPr>
          <w:p w14:paraId="4B45F0FC" w14:textId="77777777" w:rsidR="00610312" w:rsidRPr="004F0345" w:rsidRDefault="00610312" w:rsidP="0088638B">
            <w:pPr>
              <w:pStyle w:val="A0"/>
              <w:ind w:firstLine="0"/>
              <w:jc w:val="center"/>
              <w:rPr>
                <w:sz w:val="16"/>
                <w:szCs w:val="16"/>
              </w:rPr>
            </w:pPr>
            <w:r w:rsidRPr="004F0345">
              <w:rPr>
                <w:sz w:val="16"/>
                <w:szCs w:val="16"/>
              </w:rPr>
              <w:t>Tullos Urania</w:t>
            </w:r>
          </w:p>
        </w:tc>
        <w:tc>
          <w:tcPr>
            <w:tcW w:w="810" w:type="dxa"/>
            <w:vAlign w:val="center"/>
            <w:hideMark/>
          </w:tcPr>
          <w:p w14:paraId="553AC90A" w14:textId="77777777" w:rsidR="00610312" w:rsidRPr="004F0345" w:rsidRDefault="00610312" w:rsidP="0088638B">
            <w:pPr>
              <w:pStyle w:val="A0"/>
              <w:jc w:val="center"/>
              <w:rPr>
                <w:sz w:val="16"/>
                <w:szCs w:val="16"/>
              </w:rPr>
            </w:pPr>
            <w:r w:rsidRPr="004F0345">
              <w:rPr>
                <w:sz w:val="16"/>
                <w:szCs w:val="16"/>
              </w:rPr>
              <w:t>M</w:t>
            </w:r>
          </w:p>
        </w:tc>
        <w:tc>
          <w:tcPr>
            <w:tcW w:w="1260" w:type="dxa"/>
            <w:vAlign w:val="center"/>
            <w:hideMark/>
          </w:tcPr>
          <w:p w14:paraId="4B3F6823" w14:textId="77777777" w:rsidR="00610312" w:rsidRPr="004F0345" w:rsidRDefault="00610312" w:rsidP="0088638B">
            <w:pPr>
              <w:pStyle w:val="A0"/>
              <w:ind w:firstLine="0"/>
              <w:jc w:val="center"/>
              <w:rPr>
                <w:sz w:val="16"/>
                <w:szCs w:val="16"/>
              </w:rPr>
            </w:pPr>
            <w:r w:rsidRPr="004F0345">
              <w:rPr>
                <w:sz w:val="16"/>
                <w:szCs w:val="16"/>
              </w:rPr>
              <w:t>Mary B Holmes</w:t>
            </w:r>
          </w:p>
        </w:tc>
        <w:tc>
          <w:tcPr>
            <w:tcW w:w="630" w:type="dxa"/>
            <w:vAlign w:val="center"/>
            <w:hideMark/>
          </w:tcPr>
          <w:p w14:paraId="5A8AE8F2" w14:textId="77777777" w:rsidR="00610312" w:rsidRPr="004F0345" w:rsidRDefault="00610312" w:rsidP="0088638B">
            <w:pPr>
              <w:pStyle w:val="A0"/>
              <w:ind w:firstLine="0"/>
              <w:jc w:val="center"/>
              <w:rPr>
                <w:sz w:val="16"/>
                <w:szCs w:val="16"/>
              </w:rPr>
            </w:pPr>
            <w:r w:rsidRPr="004F0345">
              <w:rPr>
                <w:sz w:val="16"/>
                <w:szCs w:val="16"/>
              </w:rPr>
              <w:t>008</w:t>
            </w:r>
          </w:p>
        </w:tc>
        <w:tc>
          <w:tcPr>
            <w:tcW w:w="810" w:type="dxa"/>
            <w:vAlign w:val="center"/>
            <w:hideMark/>
          </w:tcPr>
          <w:p w14:paraId="1E176AC7" w14:textId="77777777" w:rsidR="00610312" w:rsidRPr="004F0345" w:rsidRDefault="00610312" w:rsidP="0088638B">
            <w:pPr>
              <w:pStyle w:val="A0"/>
              <w:ind w:firstLine="0"/>
              <w:jc w:val="center"/>
              <w:rPr>
                <w:sz w:val="16"/>
                <w:szCs w:val="16"/>
              </w:rPr>
            </w:pPr>
            <w:r w:rsidRPr="004F0345">
              <w:rPr>
                <w:sz w:val="16"/>
                <w:szCs w:val="16"/>
              </w:rPr>
              <w:t>203251</w:t>
            </w:r>
          </w:p>
        </w:tc>
      </w:tr>
      <w:tr w:rsidR="00610312" w:rsidRPr="004F0345" w14:paraId="3E9E5FBD" w14:textId="77777777" w:rsidTr="0088638B">
        <w:trPr>
          <w:trHeight w:val="600"/>
        </w:trPr>
        <w:tc>
          <w:tcPr>
            <w:tcW w:w="975" w:type="dxa"/>
            <w:vAlign w:val="center"/>
            <w:hideMark/>
          </w:tcPr>
          <w:p w14:paraId="48BFA515"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B2CFDF4"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081765F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4B06791" w14:textId="77777777" w:rsidR="00610312" w:rsidRPr="004F0345" w:rsidRDefault="00610312" w:rsidP="0088638B">
            <w:pPr>
              <w:pStyle w:val="A0"/>
              <w:ind w:firstLine="0"/>
              <w:jc w:val="center"/>
              <w:rPr>
                <w:sz w:val="16"/>
                <w:szCs w:val="16"/>
              </w:rPr>
            </w:pPr>
            <w:r w:rsidRPr="004F0345">
              <w:rPr>
                <w:sz w:val="16"/>
                <w:szCs w:val="16"/>
              </w:rPr>
              <w:t>R R Barrow Inc</w:t>
            </w:r>
          </w:p>
        </w:tc>
        <w:tc>
          <w:tcPr>
            <w:tcW w:w="630" w:type="dxa"/>
            <w:vAlign w:val="center"/>
            <w:hideMark/>
          </w:tcPr>
          <w:p w14:paraId="7E81D22E"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55692ADE" w14:textId="77777777" w:rsidR="00610312" w:rsidRPr="004F0345" w:rsidRDefault="00610312" w:rsidP="0088638B">
            <w:pPr>
              <w:pStyle w:val="A0"/>
              <w:ind w:firstLine="0"/>
              <w:jc w:val="center"/>
              <w:rPr>
                <w:sz w:val="16"/>
                <w:szCs w:val="16"/>
              </w:rPr>
            </w:pPr>
            <w:r w:rsidRPr="004F0345">
              <w:rPr>
                <w:sz w:val="16"/>
                <w:szCs w:val="16"/>
              </w:rPr>
              <w:t>71342</w:t>
            </w:r>
          </w:p>
        </w:tc>
      </w:tr>
      <w:tr w:rsidR="00610312" w:rsidRPr="004F0345" w14:paraId="3197E96E" w14:textId="77777777" w:rsidTr="0088638B">
        <w:trPr>
          <w:trHeight w:val="600"/>
        </w:trPr>
        <w:tc>
          <w:tcPr>
            <w:tcW w:w="975" w:type="dxa"/>
            <w:vAlign w:val="center"/>
            <w:hideMark/>
          </w:tcPr>
          <w:p w14:paraId="5CCBAE6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CED751D"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0CB2A40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C4AF60F" w14:textId="77777777" w:rsidR="00610312" w:rsidRPr="004F0345" w:rsidRDefault="00610312" w:rsidP="0088638B">
            <w:pPr>
              <w:pStyle w:val="A0"/>
              <w:ind w:firstLine="0"/>
              <w:jc w:val="center"/>
              <w:rPr>
                <w:sz w:val="16"/>
                <w:szCs w:val="16"/>
              </w:rPr>
            </w:pPr>
            <w:r w:rsidRPr="004F0345">
              <w:rPr>
                <w:sz w:val="16"/>
                <w:szCs w:val="16"/>
              </w:rPr>
              <w:t>BB O RA SU;J B Watkins</w:t>
            </w:r>
          </w:p>
        </w:tc>
        <w:tc>
          <w:tcPr>
            <w:tcW w:w="630" w:type="dxa"/>
            <w:vAlign w:val="center"/>
            <w:hideMark/>
          </w:tcPr>
          <w:p w14:paraId="22CE77AA" w14:textId="77777777" w:rsidR="00610312" w:rsidRPr="004F0345" w:rsidRDefault="00610312" w:rsidP="0088638B">
            <w:pPr>
              <w:pStyle w:val="A0"/>
              <w:ind w:firstLine="0"/>
              <w:jc w:val="center"/>
              <w:rPr>
                <w:sz w:val="16"/>
                <w:szCs w:val="16"/>
              </w:rPr>
            </w:pPr>
            <w:r w:rsidRPr="004F0345">
              <w:rPr>
                <w:sz w:val="16"/>
                <w:szCs w:val="16"/>
              </w:rPr>
              <w:t>098</w:t>
            </w:r>
          </w:p>
        </w:tc>
        <w:tc>
          <w:tcPr>
            <w:tcW w:w="810" w:type="dxa"/>
            <w:vAlign w:val="center"/>
            <w:hideMark/>
          </w:tcPr>
          <w:p w14:paraId="65D182E8" w14:textId="77777777" w:rsidR="00610312" w:rsidRPr="004F0345" w:rsidRDefault="00610312" w:rsidP="0088638B">
            <w:pPr>
              <w:pStyle w:val="A0"/>
              <w:ind w:firstLine="0"/>
              <w:jc w:val="center"/>
              <w:rPr>
                <w:sz w:val="16"/>
                <w:szCs w:val="16"/>
              </w:rPr>
            </w:pPr>
            <w:r w:rsidRPr="004F0345">
              <w:rPr>
                <w:sz w:val="16"/>
                <w:szCs w:val="16"/>
              </w:rPr>
              <w:t>85162</w:t>
            </w:r>
          </w:p>
        </w:tc>
      </w:tr>
      <w:tr w:rsidR="00610312" w:rsidRPr="004F0345" w14:paraId="654855F7" w14:textId="77777777" w:rsidTr="0088638B">
        <w:trPr>
          <w:trHeight w:val="600"/>
        </w:trPr>
        <w:tc>
          <w:tcPr>
            <w:tcW w:w="975" w:type="dxa"/>
            <w:vAlign w:val="center"/>
            <w:hideMark/>
          </w:tcPr>
          <w:p w14:paraId="2BE2F11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C46ACF5"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E660B0B"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BC28F3F"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61FE2D3D" w14:textId="77777777" w:rsidR="00610312" w:rsidRPr="004F0345" w:rsidRDefault="00610312" w:rsidP="0088638B">
            <w:pPr>
              <w:pStyle w:val="A0"/>
              <w:ind w:firstLine="0"/>
              <w:jc w:val="center"/>
              <w:rPr>
                <w:sz w:val="16"/>
                <w:szCs w:val="16"/>
              </w:rPr>
            </w:pPr>
            <w:r w:rsidRPr="004F0345">
              <w:rPr>
                <w:sz w:val="16"/>
                <w:szCs w:val="16"/>
              </w:rPr>
              <w:t>098D</w:t>
            </w:r>
          </w:p>
        </w:tc>
        <w:tc>
          <w:tcPr>
            <w:tcW w:w="810" w:type="dxa"/>
            <w:vAlign w:val="center"/>
            <w:hideMark/>
          </w:tcPr>
          <w:p w14:paraId="6F1A76B1" w14:textId="77777777" w:rsidR="00610312" w:rsidRPr="004F0345" w:rsidRDefault="00610312" w:rsidP="0088638B">
            <w:pPr>
              <w:pStyle w:val="A0"/>
              <w:ind w:firstLine="0"/>
              <w:jc w:val="center"/>
              <w:rPr>
                <w:sz w:val="16"/>
                <w:szCs w:val="16"/>
              </w:rPr>
            </w:pPr>
            <w:r w:rsidRPr="004F0345">
              <w:rPr>
                <w:sz w:val="16"/>
                <w:szCs w:val="16"/>
              </w:rPr>
              <w:t>86465</w:t>
            </w:r>
          </w:p>
        </w:tc>
      </w:tr>
      <w:tr w:rsidR="00610312" w:rsidRPr="004F0345" w14:paraId="0297F010" w14:textId="77777777" w:rsidTr="0088638B">
        <w:trPr>
          <w:trHeight w:val="600"/>
        </w:trPr>
        <w:tc>
          <w:tcPr>
            <w:tcW w:w="975" w:type="dxa"/>
            <w:vAlign w:val="center"/>
            <w:hideMark/>
          </w:tcPr>
          <w:p w14:paraId="2316D3B4"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DC4543E"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FE09CAD"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6E75DA1"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4FFDFF4" w14:textId="77777777" w:rsidR="00610312" w:rsidRPr="004F0345" w:rsidRDefault="00610312" w:rsidP="0088638B">
            <w:pPr>
              <w:pStyle w:val="A0"/>
              <w:ind w:firstLine="0"/>
              <w:jc w:val="center"/>
              <w:rPr>
                <w:sz w:val="16"/>
                <w:szCs w:val="16"/>
              </w:rPr>
            </w:pPr>
            <w:r w:rsidRPr="004F0345">
              <w:rPr>
                <w:sz w:val="16"/>
                <w:szCs w:val="16"/>
              </w:rPr>
              <w:t>106</w:t>
            </w:r>
          </w:p>
        </w:tc>
        <w:tc>
          <w:tcPr>
            <w:tcW w:w="810" w:type="dxa"/>
            <w:vAlign w:val="center"/>
            <w:hideMark/>
          </w:tcPr>
          <w:p w14:paraId="673F4DC8" w14:textId="77777777" w:rsidR="00610312" w:rsidRPr="004F0345" w:rsidRDefault="00610312" w:rsidP="0088638B">
            <w:pPr>
              <w:pStyle w:val="A0"/>
              <w:ind w:firstLine="0"/>
              <w:jc w:val="center"/>
              <w:rPr>
                <w:sz w:val="16"/>
                <w:szCs w:val="16"/>
              </w:rPr>
            </w:pPr>
            <w:r w:rsidRPr="004F0345">
              <w:rPr>
                <w:sz w:val="16"/>
                <w:szCs w:val="16"/>
              </w:rPr>
              <w:t>88586</w:t>
            </w:r>
          </w:p>
        </w:tc>
      </w:tr>
      <w:tr w:rsidR="00610312" w:rsidRPr="004F0345" w14:paraId="7906B2AC" w14:textId="77777777" w:rsidTr="0088638B">
        <w:trPr>
          <w:trHeight w:val="600"/>
        </w:trPr>
        <w:tc>
          <w:tcPr>
            <w:tcW w:w="975" w:type="dxa"/>
            <w:vAlign w:val="center"/>
            <w:hideMark/>
          </w:tcPr>
          <w:p w14:paraId="19E159B3"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53AF13B"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1456708"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E8E8ED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E0A044E" w14:textId="77777777" w:rsidR="00610312" w:rsidRPr="004F0345" w:rsidRDefault="00610312" w:rsidP="0088638B">
            <w:pPr>
              <w:pStyle w:val="A0"/>
              <w:ind w:firstLine="0"/>
              <w:jc w:val="center"/>
              <w:rPr>
                <w:sz w:val="16"/>
                <w:szCs w:val="16"/>
              </w:rPr>
            </w:pPr>
            <w:r w:rsidRPr="004F0345">
              <w:rPr>
                <w:sz w:val="16"/>
                <w:szCs w:val="16"/>
              </w:rPr>
              <w:t>106D</w:t>
            </w:r>
          </w:p>
        </w:tc>
        <w:tc>
          <w:tcPr>
            <w:tcW w:w="810" w:type="dxa"/>
            <w:vAlign w:val="center"/>
            <w:hideMark/>
          </w:tcPr>
          <w:p w14:paraId="3153DB09" w14:textId="77777777" w:rsidR="00610312" w:rsidRPr="004F0345" w:rsidRDefault="00610312" w:rsidP="0088638B">
            <w:pPr>
              <w:pStyle w:val="A0"/>
              <w:ind w:firstLine="0"/>
              <w:jc w:val="center"/>
              <w:rPr>
                <w:sz w:val="16"/>
                <w:szCs w:val="16"/>
              </w:rPr>
            </w:pPr>
            <w:r w:rsidRPr="004F0345">
              <w:rPr>
                <w:sz w:val="16"/>
                <w:szCs w:val="16"/>
              </w:rPr>
              <w:t>90465</w:t>
            </w:r>
          </w:p>
        </w:tc>
      </w:tr>
      <w:tr w:rsidR="00610312" w:rsidRPr="004F0345" w14:paraId="076037F4" w14:textId="77777777" w:rsidTr="0088638B">
        <w:trPr>
          <w:trHeight w:val="600"/>
        </w:trPr>
        <w:tc>
          <w:tcPr>
            <w:tcW w:w="975" w:type="dxa"/>
            <w:vAlign w:val="center"/>
            <w:hideMark/>
          </w:tcPr>
          <w:p w14:paraId="1101587D"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BAC6B61"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0A05C6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304BDB2" w14:textId="77777777" w:rsidR="00610312" w:rsidRPr="004F0345" w:rsidRDefault="00610312" w:rsidP="0088638B">
            <w:pPr>
              <w:pStyle w:val="A0"/>
              <w:ind w:firstLine="0"/>
              <w:jc w:val="center"/>
              <w:rPr>
                <w:sz w:val="16"/>
                <w:szCs w:val="16"/>
              </w:rPr>
            </w:pPr>
            <w:r w:rsidRPr="004F0345">
              <w:rPr>
                <w:sz w:val="16"/>
                <w:szCs w:val="16"/>
              </w:rPr>
              <w:t>J B Watkins SWD</w:t>
            </w:r>
          </w:p>
        </w:tc>
        <w:tc>
          <w:tcPr>
            <w:tcW w:w="630" w:type="dxa"/>
            <w:vAlign w:val="center"/>
            <w:hideMark/>
          </w:tcPr>
          <w:p w14:paraId="27EE21F1" w14:textId="77777777" w:rsidR="00610312" w:rsidRPr="004F0345" w:rsidRDefault="00610312" w:rsidP="0088638B">
            <w:pPr>
              <w:pStyle w:val="A0"/>
              <w:ind w:firstLine="0"/>
              <w:jc w:val="center"/>
              <w:rPr>
                <w:sz w:val="16"/>
                <w:szCs w:val="16"/>
              </w:rPr>
            </w:pPr>
            <w:r w:rsidRPr="004F0345">
              <w:rPr>
                <w:sz w:val="16"/>
                <w:szCs w:val="16"/>
              </w:rPr>
              <w:t>129</w:t>
            </w:r>
          </w:p>
        </w:tc>
        <w:tc>
          <w:tcPr>
            <w:tcW w:w="810" w:type="dxa"/>
            <w:vAlign w:val="center"/>
            <w:hideMark/>
          </w:tcPr>
          <w:p w14:paraId="7598F0F1" w14:textId="77777777" w:rsidR="00610312" w:rsidRPr="004F0345" w:rsidRDefault="00610312" w:rsidP="0088638B">
            <w:pPr>
              <w:pStyle w:val="A0"/>
              <w:ind w:firstLine="0"/>
              <w:jc w:val="center"/>
              <w:rPr>
                <w:sz w:val="16"/>
                <w:szCs w:val="16"/>
              </w:rPr>
            </w:pPr>
            <w:r w:rsidRPr="004F0345">
              <w:rPr>
                <w:sz w:val="16"/>
                <w:szCs w:val="16"/>
              </w:rPr>
              <w:t>112061</w:t>
            </w:r>
          </w:p>
        </w:tc>
      </w:tr>
      <w:tr w:rsidR="00610312" w:rsidRPr="004F0345" w14:paraId="23838CC4" w14:textId="77777777" w:rsidTr="0088638B">
        <w:trPr>
          <w:trHeight w:val="600"/>
        </w:trPr>
        <w:tc>
          <w:tcPr>
            <w:tcW w:w="975" w:type="dxa"/>
            <w:vAlign w:val="center"/>
            <w:hideMark/>
          </w:tcPr>
          <w:p w14:paraId="114F3C6C"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7CDB83A"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1A215D5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D079FE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88D9EE7" w14:textId="77777777" w:rsidR="00610312" w:rsidRPr="004F0345" w:rsidRDefault="00610312" w:rsidP="0088638B">
            <w:pPr>
              <w:pStyle w:val="A0"/>
              <w:ind w:firstLine="0"/>
              <w:jc w:val="center"/>
              <w:rPr>
                <w:sz w:val="16"/>
                <w:szCs w:val="16"/>
              </w:rPr>
            </w:pPr>
            <w:r w:rsidRPr="004F0345">
              <w:rPr>
                <w:sz w:val="16"/>
                <w:szCs w:val="16"/>
              </w:rPr>
              <w:t>172</w:t>
            </w:r>
          </w:p>
        </w:tc>
        <w:tc>
          <w:tcPr>
            <w:tcW w:w="810" w:type="dxa"/>
            <w:vAlign w:val="center"/>
            <w:hideMark/>
          </w:tcPr>
          <w:p w14:paraId="6C160325" w14:textId="77777777" w:rsidR="00610312" w:rsidRPr="004F0345" w:rsidRDefault="00610312" w:rsidP="0088638B">
            <w:pPr>
              <w:pStyle w:val="A0"/>
              <w:ind w:firstLine="0"/>
              <w:jc w:val="center"/>
              <w:rPr>
                <w:sz w:val="16"/>
                <w:szCs w:val="16"/>
              </w:rPr>
            </w:pPr>
            <w:r w:rsidRPr="004F0345">
              <w:rPr>
                <w:sz w:val="16"/>
                <w:szCs w:val="16"/>
              </w:rPr>
              <w:t>134303</w:t>
            </w:r>
          </w:p>
        </w:tc>
      </w:tr>
      <w:tr w:rsidR="00610312" w:rsidRPr="004F0345" w14:paraId="7FA0F28C" w14:textId="77777777" w:rsidTr="0088638B">
        <w:trPr>
          <w:trHeight w:val="600"/>
        </w:trPr>
        <w:tc>
          <w:tcPr>
            <w:tcW w:w="975" w:type="dxa"/>
            <w:vAlign w:val="center"/>
            <w:hideMark/>
          </w:tcPr>
          <w:p w14:paraId="08BC0B74"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1102939"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540A3F8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83322DD"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4CCD3A72" w14:textId="77777777" w:rsidR="00610312" w:rsidRPr="004F0345" w:rsidRDefault="00610312" w:rsidP="0088638B">
            <w:pPr>
              <w:pStyle w:val="A0"/>
              <w:ind w:firstLine="0"/>
              <w:jc w:val="center"/>
              <w:rPr>
                <w:sz w:val="16"/>
                <w:szCs w:val="16"/>
              </w:rPr>
            </w:pPr>
            <w:r w:rsidRPr="004F0345">
              <w:rPr>
                <w:sz w:val="16"/>
                <w:szCs w:val="16"/>
              </w:rPr>
              <w:t>172D</w:t>
            </w:r>
          </w:p>
        </w:tc>
        <w:tc>
          <w:tcPr>
            <w:tcW w:w="810" w:type="dxa"/>
            <w:vAlign w:val="center"/>
            <w:hideMark/>
          </w:tcPr>
          <w:p w14:paraId="78481029" w14:textId="77777777" w:rsidR="00610312" w:rsidRPr="004F0345" w:rsidRDefault="00610312" w:rsidP="0088638B">
            <w:pPr>
              <w:pStyle w:val="A0"/>
              <w:ind w:firstLine="0"/>
              <w:jc w:val="center"/>
              <w:rPr>
                <w:sz w:val="16"/>
                <w:szCs w:val="16"/>
              </w:rPr>
            </w:pPr>
            <w:r w:rsidRPr="004F0345">
              <w:rPr>
                <w:sz w:val="16"/>
                <w:szCs w:val="16"/>
              </w:rPr>
              <w:t>135059</w:t>
            </w:r>
          </w:p>
        </w:tc>
      </w:tr>
      <w:tr w:rsidR="00610312" w:rsidRPr="004F0345" w14:paraId="56AD0B22" w14:textId="77777777" w:rsidTr="0088638B">
        <w:trPr>
          <w:trHeight w:val="600"/>
        </w:trPr>
        <w:tc>
          <w:tcPr>
            <w:tcW w:w="975" w:type="dxa"/>
            <w:vAlign w:val="center"/>
            <w:hideMark/>
          </w:tcPr>
          <w:p w14:paraId="5C85D639"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578422B"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18F2FF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D2F96A8"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15B37DE8" w14:textId="77777777" w:rsidR="00610312" w:rsidRPr="004F0345" w:rsidRDefault="00610312" w:rsidP="0088638B">
            <w:pPr>
              <w:pStyle w:val="A0"/>
              <w:ind w:firstLine="0"/>
              <w:jc w:val="center"/>
              <w:rPr>
                <w:sz w:val="16"/>
                <w:szCs w:val="16"/>
              </w:rPr>
            </w:pPr>
            <w:r w:rsidRPr="004F0345">
              <w:rPr>
                <w:sz w:val="16"/>
                <w:szCs w:val="16"/>
              </w:rPr>
              <w:t>231</w:t>
            </w:r>
          </w:p>
        </w:tc>
        <w:tc>
          <w:tcPr>
            <w:tcW w:w="810" w:type="dxa"/>
            <w:vAlign w:val="center"/>
            <w:hideMark/>
          </w:tcPr>
          <w:p w14:paraId="21F1DCB7" w14:textId="77777777" w:rsidR="00610312" w:rsidRPr="004F0345" w:rsidRDefault="00610312" w:rsidP="0088638B">
            <w:pPr>
              <w:pStyle w:val="A0"/>
              <w:ind w:firstLine="0"/>
              <w:jc w:val="center"/>
              <w:rPr>
                <w:sz w:val="16"/>
                <w:szCs w:val="16"/>
              </w:rPr>
            </w:pPr>
            <w:r w:rsidRPr="004F0345">
              <w:rPr>
                <w:sz w:val="16"/>
                <w:szCs w:val="16"/>
              </w:rPr>
              <w:t>169082</w:t>
            </w:r>
          </w:p>
        </w:tc>
      </w:tr>
      <w:tr w:rsidR="00610312" w:rsidRPr="004F0345" w14:paraId="5AA65559" w14:textId="77777777" w:rsidTr="0088638B">
        <w:trPr>
          <w:trHeight w:val="600"/>
        </w:trPr>
        <w:tc>
          <w:tcPr>
            <w:tcW w:w="975" w:type="dxa"/>
            <w:vAlign w:val="center"/>
            <w:hideMark/>
          </w:tcPr>
          <w:p w14:paraId="4790E919"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D4B4471"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6B8D6D2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BA163A9" w14:textId="77777777" w:rsidR="00610312" w:rsidRPr="004F0345" w:rsidRDefault="00610312" w:rsidP="0088638B">
            <w:pPr>
              <w:pStyle w:val="A0"/>
              <w:ind w:firstLine="0"/>
              <w:jc w:val="center"/>
              <w:rPr>
                <w:sz w:val="16"/>
                <w:szCs w:val="16"/>
              </w:rPr>
            </w:pPr>
            <w:r w:rsidRPr="004F0345">
              <w:rPr>
                <w:sz w:val="16"/>
                <w:szCs w:val="16"/>
              </w:rPr>
              <w:t>Constantin Et Al</w:t>
            </w:r>
          </w:p>
        </w:tc>
        <w:tc>
          <w:tcPr>
            <w:tcW w:w="630" w:type="dxa"/>
            <w:vAlign w:val="center"/>
            <w:hideMark/>
          </w:tcPr>
          <w:p w14:paraId="697912D9"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64D50178" w14:textId="77777777" w:rsidR="00610312" w:rsidRPr="004F0345" w:rsidRDefault="00610312" w:rsidP="0088638B">
            <w:pPr>
              <w:pStyle w:val="A0"/>
              <w:ind w:firstLine="0"/>
              <w:jc w:val="center"/>
              <w:rPr>
                <w:sz w:val="16"/>
                <w:szCs w:val="16"/>
              </w:rPr>
            </w:pPr>
            <w:r w:rsidRPr="004F0345">
              <w:rPr>
                <w:sz w:val="16"/>
                <w:szCs w:val="16"/>
              </w:rPr>
              <w:t>185061</w:t>
            </w:r>
          </w:p>
        </w:tc>
      </w:tr>
      <w:tr w:rsidR="00610312" w:rsidRPr="004F0345" w14:paraId="7DCF7205" w14:textId="77777777" w:rsidTr="0088638B">
        <w:trPr>
          <w:trHeight w:val="900"/>
        </w:trPr>
        <w:tc>
          <w:tcPr>
            <w:tcW w:w="975" w:type="dxa"/>
            <w:vAlign w:val="center"/>
            <w:hideMark/>
          </w:tcPr>
          <w:p w14:paraId="3A2521BB"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D8BDA13"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3939EE4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E762E44" w14:textId="77777777" w:rsidR="00610312" w:rsidRDefault="00610312" w:rsidP="0088638B">
            <w:pPr>
              <w:pStyle w:val="A0"/>
              <w:ind w:firstLine="0"/>
              <w:jc w:val="center"/>
              <w:rPr>
                <w:sz w:val="16"/>
                <w:szCs w:val="16"/>
              </w:rPr>
            </w:pPr>
            <w:r w:rsidRPr="004F0345">
              <w:rPr>
                <w:sz w:val="16"/>
                <w:szCs w:val="16"/>
              </w:rPr>
              <w:t>VUA;</w:t>
            </w:r>
          </w:p>
          <w:p w14:paraId="16D9F42C" w14:textId="77777777" w:rsidR="00610312" w:rsidRPr="004F0345" w:rsidRDefault="00610312" w:rsidP="0088638B">
            <w:pPr>
              <w:pStyle w:val="A0"/>
              <w:ind w:firstLine="0"/>
              <w:jc w:val="center"/>
              <w:rPr>
                <w:sz w:val="16"/>
                <w:szCs w:val="16"/>
              </w:rPr>
            </w:pPr>
            <w:r w:rsidRPr="004F0345">
              <w:rPr>
                <w:sz w:val="16"/>
                <w:szCs w:val="16"/>
              </w:rPr>
              <w:t>Eugene Constantin Jr Et Al</w:t>
            </w:r>
          </w:p>
        </w:tc>
        <w:tc>
          <w:tcPr>
            <w:tcW w:w="630" w:type="dxa"/>
            <w:vAlign w:val="center"/>
            <w:hideMark/>
          </w:tcPr>
          <w:p w14:paraId="4278ED10"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342B57AE" w14:textId="77777777" w:rsidR="00610312" w:rsidRPr="004F0345" w:rsidRDefault="00610312" w:rsidP="0088638B">
            <w:pPr>
              <w:pStyle w:val="A0"/>
              <w:ind w:firstLine="0"/>
              <w:jc w:val="center"/>
              <w:rPr>
                <w:sz w:val="16"/>
                <w:szCs w:val="16"/>
              </w:rPr>
            </w:pPr>
            <w:r w:rsidRPr="004F0345">
              <w:rPr>
                <w:sz w:val="16"/>
                <w:szCs w:val="16"/>
              </w:rPr>
              <w:t>186347</w:t>
            </w:r>
          </w:p>
        </w:tc>
      </w:tr>
      <w:tr w:rsidR="00610312" w:rsidRPr="004F0345" w14:paraId="2510223B" w14:textId="77777777" w:rsidTr="0088638B">
        <w:trPr>
          <w:trHeight w:val="600"/>
        </w:trPr>
        <w:tc>
          <w:tcPr>
            <w:tcW w:w="975" w:type="dxa"/>
            <w:vAlign w:val="center"/>
            <w:hideMark/>
          </w:tcPr>
          <w:p w14:paraId="1A56126B"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30D5C39"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6297F03D"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9E845F9" w14:textId="77777777" w:rsidR="00610312" w:rsidRPr="004F0345" w:rsidRDefault="00610312" w:rsidP="0088638B">
            <w:pPr>
              <w:pStyle w:val="A0"/>
              <w:ind w:firstLine="0"/>
              <w:jc w:val="center"/>
              <w:rPr>
                <w:sz w:val="16"/>
                <w:szCs w:val="16"/>
              </w:rPr>
            </w:pPr>
            <w:r w:rsidRPr="004F0345">
              <w:rPr>
                <w:sz w:val="16"/>
                <w:szCs w:val="16"/>
              </w:rPr>
              <w:t>BB H RD SU;J B Watkins</w:t>
            </w:r>
          </w:p>
        </w:tc>
        <w:tc>
          <w:tcPr>
            <w:tcW w:w="630" w:type="dxa"/>
            <w:vAlign w:val="center"/>
            <w:hideMark/>
          </w:tcPr>
          <w:p w14:paraId="5ED15E49" w14:textId="77777777" w:rsidR="00610312" w:rsidRPr="004F0345" w:rsidRDefault="00610312" w:rsidP="0088638B">
            <w:pPr>
              <w:pStyle w:val="A0"/>
              <w:ind w:firstLine="0"/>
              <w:jc w:val="center"/>
              <w:rPr>
                <w:sz w:val="16"/>
                <w:szCs w:val="16"/>
              </w:rPr>
            </w:pPr>
            <w:r w:rsidRPr="004F0345">
              <w:rPr>
                <w:sz w:val="16"/>
                <w:szCs w:val="16"/>
              </w:rPr>
              <w:t>245</w:t>
            </w:r>
          </w:p>
        </w:tc>
        <w:tc>
          <w:tcPr>
            <w:tcW w:w="810" w:type="dxa"/>
            <w:vAlign w:val="center"/>
            <w:hideMark/>
          </w:tcPr>
          <w:p w14:paraId="211B080A" w14:textId="77777777" w:rsidR="00610312" w:rsidRPr="004F0345" w:rsidRDefault="00610312" w:rsidP="0088638B">
            <w:pPr>
              <w:pStyle w:val="A0"/>
              <w:ind w:firstLine="0"/>
              <w:jc w:val="center"/>
              <w:rPr>
                <w:sz w:val="16"/>
                <w:szCs w:val="16"/>
              </w:rPr>
            </w:pPr>
            <w:r w:rsidRPr="004F0345">
              <w:rPr>
                <w:sz w:val="16"/>
                <w:szCs w:val="16"/>
              </w:rPr>
              <w:t>189272</w:t>
            </w:r>
          </w:p>
        </w:tc>
      </w:tr>
      <w:tr w:rsidR="00610312" w:rsidRPr="004F0345" w14:paraId="41713666" w14:textId="77777777" w:rsidTr="0088638B">
        <w:trPr>
          <w:trHeight w:val="600"/>
        </w:trPr>
        <w:tc>
          <w:tcPr>
            <w:tcW w:w="975" w:type="dxa"/>
            <w:vAlign w:val="center"/>
            <w:hideMark/>
          </w:tcPr>
          <w:p w14:paraId="76FDE68E"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582CD7A"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0611666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6492A09C" w14:textId="77777777" w:rsidR="00610312" w:rsidRPr="004F0345" w:rsidRDefault="00610312" w:rsidP="0088638B">
            <w:pPr>
              <w:pStyle w:val="A0"/>
              <w:ind w:firstLine="0"/>
              <w:jc w:val="center"/>
              <w:rPr>
                <w:sz w:val="16"/>
                <w:szCs w:val="16"/>
              </w:rPr>
            </w:pPr>
            <w:r w:rsidRPr="004F0345">
              <w:rPr>
                <w:sz w:val="16"/>
                <w:szCs w:val="16"/>
              </w:rPr>
              <w:t>LL&amp;E</w:t>
            </w:r>
          </w:p>
        </w:tc>
        <w:tc>
          <w:tcPr>
            <w:tcW w:w="630" w:type="dxa"/>
            <w:vAlign w:val="center"/>
            <w:hideMark/>
          </w:tcPr>
          <w:p w14:paraId="68287209"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72ABBCA7" w14:textId="77777777" w:rsidR="00610312" w:rsidRPr="004F0345" w:rsidRDefault="00610312" w:rsidP="0088638B">
            <w:pPr>
              <w:pStyle w:val="A0"/>
              <w:ind w:firstLine="0"/>
              <w:jc w:val="center"/>
              <w:rPr>
                <w:sz w:val="16"/>
                <w:szCs w:val="16"/>
              </w:rPr>
            </w:pPr>
            <w:r w:rsidRPr="004F0345">
              <w:rPr>
                <w:sz w:val="16"/>
                <w:szCs w:val="16"/>
              </w:rPr>
              <w:t>207114</w:t>
            </w:r>
          </w:p>
        </w:tc>
      </w:tr>
      <w:tr w:rsidR="00610312" w:rsidRPr="004F0345" w14:paraId="671EDC12" w14:textId="77777777" w:rsidTr="0088638B">
        <w:trPr>
          <w:trHeight w:val="600"/>
        </w:trPr>
        <w:tc>
          <w:tcPr>
            <w:tcW w:w="975" w:type="dxa"/>
            <w:vAlign w:val="center"/>
            <w:hideMark/>
          </w:tcPr>
          <w:p w14:paraId="2F40B7E7"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0DBF261"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0EE6ECB"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61D4FBF" w14:textId="77777777" w:rsidR="00610312" w:rsidRPr="004F0345" w:rsidRDefault="00610312" w:rsidP="0088638B">
            <w:pPr>
              <w:pStyle w:val="A0"/>
              <w:ind w:firstLine="0"/>
              <w:jc w:val="center"/>
              <w:rPr>
                <w:sz w:val="16"/>
                <w:szCs w:val="16"/>
              </w:rPr>
            </w:pPr>
            <w:r w:rsidRPr="004F0345">
              <w:rPr>
                <w:sz w:val="16"/>
                <w:szCs w:val="16"/>
              </w:rPr>
              <w:t>Bonne Terre Expl Co Llc 8 SWD</w:t>
            </w:r>
          </w:p>
        </w:tc>
        <w:tc>
          <w:tcPr>
            <w:tcW w:w="630" w:type="dxa"/>
            <w:vAlign w:val="center"/>
            <w:hideMark/>
          </w:tcPr>
          <w:p w14:paraId="2D88F860"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7AAD583B" w14:textId="77777777" w:rsidR="00610312" w:rsidRPr="004F0345" w:rsidRDefault="00610312" w:rsidP="0088638B">
            <w:pPr>
              <w:pStyle w:val="A0"/>
              <w:ind w:firstLine="0"/>
              <w:jc w:val="center"/>
              <w:rPr>
                <w:sz w:val="16"/>
                <w:szCs w:val="16"/>
              </w:rPr>
            </w:pPr>
            <w:r w:rsidRPr="004F0345">
              <w:rPr>
                <w:sz w:val="16"/>
                <w:szCs w:val="16"/>
              </w:rPr>
              <w:t>228369</w:t>
            </w:r>
          </w:p>
        </w:tc>
      </w:tr>
      <w:tr w:rsidR="00610312" w:rsidRPr="004F0345" w14:paraId="6549642A" w14:textId="77777777" w:rsidTr="0088638B">
        <w:trPr>
          <w:trHeight w:val="600"/>
        </w:trPr>
        <w:tc>
          <w:tcPr>
            <w:tcW w:w="975" w:type="dxa"/>
            <w:vAlign w:val="center"/>
            <w:hideMark/>
          </w:tcPr>
          <w:p w14:paraId="25ED9C7F"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7997494"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51A0D5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37E5F3B"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2181CBE" w14:textId="77777777" w:rsidR="00610312" w:rsidRPr="004F0345" w:rsidRDefault="00610312" w:rsidP="0088638B">
            <w:pPr>
              <w:pStyle w:val="A0"/>
              <w:ind w:firstLine="0"/>
              <w:jc w:val="center"/>
              <w:rPr>
                <w:sz w:val="16"/>
                <w:szCs w:val="16"/>
              </w:rPr>
            </w:pPr>
            <w:r w:rsidRPr="004F0345">
              <w:rPr>
                <w:sz w:val="16"/>
                <w:szCs w:val="16"/>
              </w:rPr>
              <w:t>272</w:t>
            </w:r>
          </w:p>
        </w:tc>
        <w:tc>
          <w:tcPr>
            <w:tcW w:w="810" w:type="dxa"/>
            <w:vAlign w:val="center"/>
            <w:hideMark/>
          </w:tcPr>
          <w:p w14:paraId="22139BB6" w14:textId="77777777" w:rsidR="00610312" w:rsidRPr="004F0345" w:rsidRDefault="00610312" w:rsidP="0088638B">
            <w:pPr>
              <w:pStyle w:val="A0"/>
              <w:ind w:firstLine="0"/>
              <w:jc w:val="center"/>
              <w:rPr>
                <w:sz w:val="16"/>
                <w:szCs w:val="16"/>
              </w:rPr>
            </w:pPr>
            <w:r w:rsidRPr="004F0345">
              <w:rPr>
                <w:sz w:val="16"/>
                <w:szCs w:val="16"/>
              </w:rPr>
              <w:t>250083</w:t>
            </w:r>
          </w:p>
        </w:tc>
      </w:tr>
      <w:tr w:rsidR="00610312" w:rsidRPr="004F0345" w14:paraId="50E85D64" w14:textId="77777777" w:rsidTr="0088638B">
        <w:trPr>
          <w:trHeight w:val="600"/>
        </w:trPr>
        <w:tc>
          <w:tcPr>
            <w:tcW w:w="975" w:type="dxa"/>
            <w:vAlign w:val="center"/>
            <w:hideMark/>
          </w:tcPr>
          <w:p w14:paraId="4B94914C"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D96FBFC"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44DB130"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3935294" w14:textId="77777777" w:rsidR="00610312" w:rsidRPr="004F0345" w:rsidRDefault="00610312" w:rsidP="0088638B">
            <w:pPr>
              <w:pStyle w:val="A0"/>
              <w:ind w:firstLine="0"/>
              <w:jc w:val="center"/>
              <w:rPr>
                <w:sz w:val="16"/>
                <w:szCs w:val="16"/>
              </w:rPr>
            </w:pPr>
            <w:r w:rsidRPr="004F0345">
              <w:rPr>
                <w:sz w:val="16"/>
                <w:szCs w:val="16"/>
              </w:rPr>
              <w:t>J B Watkins SWD</w:t>
            </w:r>
          </w:p>
        </w:tc>
        <w:tc>
          <w:tcPr>
            <w:tcW w:w="630" w:type="dxa"/>
            <w:vAlign w:val="center"/>
            <w:hideMark/>
          </w:tcPr>
          <w:p w14:paraId="75D3F74A" w14:textId="77777777" w:rsidR="00610312" w:rsidRPr="004F0345" w:rsidRDefault="00610312" w:rsidP="0088638B">
            <w:pPr>
              <w:pStyle w:val="A0"/>
              <w:ind w:firstLine="0"/>
              <w:jc w:val="center"/>
              <w:rPr>
                <w:sz w:val="16"/>
                <w:szCs w:val="16"/>
              </w:rPr>
            </w:pPr>
            <w:r w:rsidRPr="004F0345">
              <w:rPr>
                <w:sz w:val="16"/>
                <w:szCs w:val="16"/>
              </w:rPr>
              <w:t>273</w:t>
            </w:r>
          </w:p>
        </w:tc>
        <w:tc>
          <w:tcPr>
            <w:tcW w:w="810" w:type="dxa"/>
            <w:vAlign w:val="center"/>
            <w:hideMark/>
          </w:tcPr>
          <w:p w14:paraId="5FC2D814" w14:textId="77777777" w:rsidR="00610312" w:rsidRPr="004F0345" w:rsidRDefault="00610312" w:rsidP="0088638B">
            <w:pPr>
              <w:pStyle w:val="A0"/>
              <w:ind w:firstLine="0"/>
              <w:jc w:val="center"/>
              <w:rPr>
                <w:sz w:val="16"/>
                <w:szCs w:val="16"/>
              </w:rPr>
            </w:pPr>
            <w:r w:rsidRPr="004F0345">
              <w:rPr>
                <w:sz w:val="16"/>
                <w:szCs w:val="16"/>
              </w:rPr>
              <w:t>250433</w:t>
            </w:r>
          </w:p>
        </w:tc>
      </w:tr>
      <w:tr w:rsidR="00610312" w:rsidRPr="004F0345" w14:paraId="2B31C861" w14:textId="77777777" w:rsidTr="0088638B">
        <w:trPr>
          <w:trHeight w:val="600"/>
        </w:trPr>
        <w:tc>
          <w:tcPr>
            <w:tcW w:w="975" w:type="dxa"/>
            <w:vAlign w:val="center"/>
            <w:hideMark/>
          </w:tcPr>
          <w:p w14:paraId="7D53B544"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F5E0025"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4384A7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E8D3B21"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2B22258D" w14:textId="77777777" w:rsidR="00610312" w:rsidRPr="004F0345" w:rsidRDefault="00610312" w:rsidP="0088638B">
            <w:pPr>
              <w:pStyle w:val="A0"/>
              <w:ind w:firstLine="0"/>
              <w:jc w:val="center"/>
              <w:rPr>
                <w:sz w:val="16"/>
                <w:szCs w:val="16"/>
              </w:rPr>
            </w:pPr>
            <w:r w:rsidRPr="004F0345">
              <w:rPr>
                <w:sz w:val="16"/>
                <w:szCs w:val="16"/>
              </w:rPr>
              <w:t>274</w:t>
            </w:r>
          </w:p>
        </w:tc>
        <w:tc>
          <w:tcPr>
            <w:tcW w:w="810" w:type="dxa"/>
            <w:vAlign w:val="center"/>
            <w:hideMark/>
          </w:tcPr>
          <w:p w14:paraId="58074D6A" w14:textId="77777777" w:rsidR="00610312" w:rsidRPr="004F0345" w:rsidRDefault="00610312" w:rsidP="0088638B">
            <w:pPr>
              <w:pStyle w:val="A0"/>
              <w:ind w:firstLine="0"/>
              <w:jc w:val="center"/>
              <w:rPr>
                <w:sz w:val="16"/>
                <w:szCs w:val="16"/>
              </w:rPr>
            </w:pPr>
            <w:r w:rsidRPr="004F0345">
              <w:rPr>
                <w:sz w:val="16"/>
                <w:szCs w:val="16"/>
              </w:rPr>
              <w:t>250502</w:t>
            </w:r>
          </w:p>
        </w:tc>
      </w:tr>
      <w:tr w:rsidR="00610312" w:rsidRPr="004F0345" w14:paraId="114E8112" w14:textId="77777777" w:rsidTr="0088638B">
        <w:trPr>
          <w:trHeight w:val="600"/>
        </w:trPr>
        <w:tc>
          <w:tcPr>
            <w:tcW w:w="975" w:type="dxa"/>
            <w:vAlign w:val="center"/>
            <w:hideMark/>
          </w:tcPr>
          <w:p w14:paraId="2FE10828"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702B4FB"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6DE5E1D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715DB16"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C8296B7" w14:textId="77777777" w:rsidR="00610312" w:rsidRPr="004F0345" w:rsidRDefault="00610312" w:rsidP="0088638B">
            <w:pPr>
              <w:pStyle w:val="A0"/>
              <w:jc w:val="center"/>
              <w:rPr>
                <w:sz w:val="16"/>
                <w:szCs w:val="16"/>
              </w:rPr>
            </w:pPr>
            <w:r w:rsidRPr="004F0345">
              <w:rPr>
                <w:sz w:val="16"/>
                <w:szCs w:val="16"/>
              </w:rPr>
              <w:t>273-D</w:t>
            </w:r>
          </w:p>
        </w:tc>
        <w:tc>
          <w:tcPr>
            <w:tcW w:w="810" w:type="dxa"/>
            <w:vAlign w:val="center"/>
            <w:hideMark/>
          </w:tcPr>
          <w:p w14:paraId="08DC950B" w14:textId="77777777" w:rsidR="00610312" w:rsidRPr="004F0345" w:rsidRDefault="00610312" w:rsidP="0088638B">
            <w:pPr>
              <w:pStyle w:val="A0"/>
              <w:ind w:firstLine="0"/>
              <w:jc w:val="center"/>
              <w:rPr>
                <w:sz w:val="16"/>
                <w:szCs w:val="16"/>
              </w:rPr>
            </w:pPr>
            <w:r w:rsidRPr="004F0345">
              <w:rPr>
                <w:sz w:val="16"/>
                <w:szCs w:val="16"/>
              </w:rPr>
              <w:t>250645</w:t>
            </w:r>
          </w:p>
        </w:tc>
      </w:tr>
      <w:tr w:rsidR="00610312" w:rsidRPr="004F0345" w14:paraId="2682DDDF" w14:textId="77777777" w:rsidTr="0088638B">
        <w:trPr>
          <w:trHeight w:val="600"/>
        </w:trPr>
        <w:tc>
          <w:tcPr>
            <w:tcW w:w="975" w:type="dxa"/>
            <w:vAlign w:val="center"/>
            <w:hideMark/>
          </w:tcPr>
          <w:p w14:paraId="0BBA3A4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2597143"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C5AB9C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F9702F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5F5949CB" w14:textId="77777777" w:rsidR="00610312" w:rsidRPr="004F0345" w:rsidRDefault="00610312" w:rsidP="0088638B">
            <w:pPr>
              <w:pStyle w:val="A0"/>
              <w:ind w:firstLine="0"/>
              <w:jc w:val="center"/>
              <w:rPr>
                <w:sz w:val="16"/>
                <w:szCs w:val="16"/>
              </w:rPr>
            </w:pPr>
            <w:r w:rsidRPr="004F0345">
              <w:rPr>
                <w:sz w:val="16"/>
                <w:szCs w:val="16"/>
              </w:rPr>
              <w:t>275</w:t>
            </w:r>
          </w:p>
        </w:tc>
        <w:tc>
          <w:tcPr>
            <w:tcW w:w="810" w:type="dxa"/>
            <w:vAlign w:val="center"/>
            <w:hideMark/>
          </w:tcPr>
          <w:p w14:paraId="7F70D406" w14:textId="77777777" w:rsidR="00610312" w:rsidRPr="004F0345" w:rsidRDefault="00610312" w:rsidP="0088638B">
            <w:pPr>
              <w:pStyle w:val="A0"/>
              <w:ind w:firstLine="0"/>
              <w:jc w:val="center"/>
              <w:rPr>
                <w:sz w:val="16"/>
                <w:szCs w:val="16"/>
              </w:rPr>
            </w:pPr>
            <w:r w:rsidRPr="004F0345">
              <w:rPr>
                <w:sz w:val="16"/>
                <w:szCs w:val="16"/>
              </w:rPr>
              <w:t>250717</w:t>
            </w:r>
          </w:p>
        </w:tc>
      </w:tr>
      <w:tr w:rsidR="00610312" w:rsidRPr="004F0345" w14:paraId="54C7D749" w14:textId="77777777" w:rsidTr="0088638B">
        <w:trPr>
          <w:trHeight w:val="600"/>
        </w:trPr>
        <w:tc>
          <w:tcPr>
            <w:tcW w:w="975" w:type="dxa"/>
            <w:vAlign w:val="center"/>
            <w:hideMark/>
          </w:tcPr>
          <w:p w14:paraId="058678E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2D7DA15"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DD60DA6"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7D69816"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1E95445C" w14:textId="77777777" w:rsidR="00610312" w:rsidRPr="004F0345" w:rsidRDefault="00610312" w:rsidP="0088638B">
            <w:pPr>
              <w:pStyle w:val="A0"/>
              <w:ind w:firstLine="0"/>
              <w:jc w:val="center"/>
              <w:rPr>
                <w:sz w:val="16"/>
                <w:szCs w:val="16"/>
              </w:rPr>
            </w:pPr>
            <w:r w:rsidRPr="004F0345">
              <w:rPr>
                <w:sz w:val="16"/>
                <w:szCs w:val="16"/>
              </w:rPr>
              <w:t>276</w:t>
            </w:r>
          </w:p>
        </w:tc>
        <w:tc>
          <w:tcPr>
            <w:tcW w:w="810" w:type="dxa"/>
            <w:vAlign w:val="center"/>
            <w:hideMark/>
          </w:tcPr>
          <w:p w14:paraId="5F6C3205" w14:textId="77777777" w:rsidR="00610312" w:rsidRPr="004F0345" w:rsidRDefault="00610312" w:rsidP="0088638B">
            <w:pPr>
              <w:pStyle w:val="A0"/>
              <w:ind w:firstLine="0"/>
              <w:jc w:val="center"/>
              <w:rPr>
                <w:sz w:val="16"/>
                <w:szCs w:val="16"/>
              </w:rPr>
            </w:pPr>
            <w:r w:rsidRPr="004F0345">
              <w:rPr>
                <w:sz w:val="16"/>
                <w:szCs w:val="16"/>
              </w:rPr>
              <w:t>251254</w:t>
            </w:r>
          </w:p>
        </w:tc>
      </w:tr>
      <w:tr w:rsidR="00610312" w:rsidRPr="004F0345" w14:paraId="20F78A4C" w14:textId="77777777" w:rsidTr="0088638B">
        <w:trPr>
          <w:trHeight w:val="600"/>
        </w:trPr>
        <w:tc>
          <w:tcPr>
            <w:tcW w:w="975" w:type="dxa"/>
            <w:vAlign w:val="center"/>
            <w:hideMark/>
          </w:tcPr>
          <w:p w14:paraId="119AF3D3"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0889323"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1281630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8C00D89" w14:textId="77777777" w:rsidR="00610312" w:rsidRPr="004F0345" w:rsidRDefault="00610312" w:rsidP="0088638B">
            <w:pPr>
              <w:pStyle w:val="A0"/>
              <w:ind w:firstLine="0"/>
              <w:jc w:val="center"/>
              <w:rPr>
                <w:sz w:val="16"/>
                <w:szCs w:val="16"/>
              </w:rPr>
            </w:pPr>
            <w:r w:rsidRPr="004F0345">
              <w:rPr>
                <w:sz w:val="16"/>
                <w:szCs w:val="16"/>
              </w:rPr>
              <w:t>BB T RT SU;J B Watkins</w:t>
            </w:r>
          </w:p>
        </w:tc>
        <w:tc>
          <w:tcPr>
            <w:tcW w:w="630" w:type="dxa"/>
            <w:vAlign w:val="center"/>
            <w:hideMark/>
          </w:tcPr>
          <w:p w14:paraId="4AD3FC86" w14:textId="77777777" w:rsidR="00610312" w:rsidRPr="004F0345" w:rsidRDefault="00610312" w:rsidP="0088638B">
            <w:pPr>
              <w:pStyle w:val="A0"/>
              <w:ind w:firstLine="0"/>
              <w:jc w:val="center"/>
              <w:rPr>
                <w:sz w:val="16"/>
                <w:szCs w:val="16"/>
              </w:rPr>
            </w:pPr>
            <w:r w:rsidRPr="004F0345">
              <w:rPr>
                <w:sz w:val="16"/>
                <w:szCs w:val="16"/>
              </w:rPr>
              <w:t>277</w:t>
            </w:r>
          </w:p>
        </w:tc>
        <w:tc>
          <w:tcPr>
            <w:tcW w:w="810" w:type="dxa"/>
            <w:vAlign w:val="center"/>
            <w:hideMark/>
          </w:tcPr>
          <w:p w14:paraId="418B8845" w14:textId="77777777" w:rsidR="00610312" w:rsidRPr="004F0345" w:rsidRDefault="00610312" w:rsidP="0088638B">
            <w:pPr>
              <w:pStyle w:val="A0"/>
              <w:ind w:firstLine="0"/>
              <w:jc w:val="center"/>
              <w:rPr>
                <w:sz w:val="16"/>
                <w:szCs w:val="16"/>
              </w:rPr>
            </w:pPr>
            <w:r w:rsidRPr="004F0345">
              <w:rPr>
                <w:sz w:val="16"/>
                <w:szCs w:val="16"/>
              </w:rPr>
              <w:t>251301</w:t>
            </w:r>
          </w:p>
        </w:tc>
      </w:tr>
      <w:tr w:rsidR="00610312" w:rsidRPr="004F0345" w14:paraId="6581784D" w14:textId="77777777" w:rsidTr="0088638B">
        <w:trPr>
          <w:trHeight w:val="600"/>
        </w:trPr>
        <w:tc>
          <w:tcPr>
            <w:tcW w:w="975" w:type="dxa"/>
            <w:vAlign w:val="center"/>
            <w:hideMark/>
          </w:tcPr>
          <w:p w14:paraId="5381472C"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1943A5A"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E8F609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6D796F26"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66A9ED07" w14:textId="77777777" w:rsidR="00610312" w:rsidRPr="004F0345" w:rsidRDefault="00610312" w:rsidP="0088638B">
            <w:pPr>
              <w:pStyle w:val="A0"/>
              <w:ind w:firstLine="0"/>
              <w:jc w:val="center"/>
              <w:rPr>
                <w:sz w:val="16"/>
                <w:szCs w:val="16"/>
              </w:rPr>
            </w:pPr>
            <w:r w:rsidRPr="004F0345">
              <w:rPr>
                <w:sz w:val="16"/>
                <w:szCs w:val="16"/>
              </w:rPr>
              <w:t>278</w:t>
            </w:r>
          </w:p>
        </w:tc>
        <w:tc>
          <w:tcPr>
            <w:tcW w:w="810" w:type="dxa"/>
            <w:vAlign w:val="center"/>
            <w:hideMark/>
          </w:tcPr>
          <w:p w14:paraId="1FF718DC" w14:textId="77777777" w:rsidR="00610312" w:rsidRPr="004F0345" w:rsidRDefault="00610312" w:rsidP="0088638B">
            <w:pPr>
              <w:pStyle w:val="A0"/>
              <w:ind w:firstLine="0"/>
              <w:jc w:val="center"/>
              <w:rPr>
                <w:sz w:val="16"/>
                <w:szCs w:val="16"/>
              </w:rPr>
            </w:pPr>
            <w:r w:rsidRPr="004F0345">
              <w:rPr>
                <w:sz w:val="16"/>
                <w:szCs w:val="16"/>
              </w:rPr>
              <w:t>251364</w:t>
            </w:r>
          </w:p>
        </w:tc>
      </w:tr>
      <w:tr w:rsidR="00610312" w:rsidRPr="004F0345" w14:paraId="72522430" w14:textId="77777777" w:rsidTr="0088638B">
        <w:trPr>
          <w:trHeight w:val="600"/>
        </w:trPr>
        <w:tc>
          <w:tcPr>
            <w:tcW w:w="975" w:type="dxa"/>
            <w:vAlign w:val="center"/>
            <w:hideMark/>
          </w:tcPr>
          <w:p w14:paraId="32F10DA5"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4A54D74"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499452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6FF36EB"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37EACD55" w14:textId="77777777" w:rsidR="00610312" w:rsidRPr="004F0345" w:rsidRDefault="00610312" w:rsidP="0088638B">
            <w:pPr>
              <w:pStyle w:val="A0"/>
              <w:ind w:firstLine="0"/>
              <w:jc w:val="center"/>
              <w:rPr>
                <w:sz w:val="16"/>
                <w:szCs w:val="16"/>
              </w:rPr>
            </w:pPr>
            <w:r w:rsidRPr="004F0345">
              <w:rPr>
                <w:sz w:val="16"/>
                <w:szCs w:val="16"/>
              </w:rPr>
              <w:t>279</w:t>
            </w:r>
          </w:p>
        </w:tc>
        <w:tc>
          <w:tcPr>
            <w:tcW w:w="810" w:type="dxa"/>
            <w:vAlign w:val="center"/>
            <w:hideMark/>
          </w:tcPr>
          <w:p w14:paraId="45D40860" w14:textId="77777777" w:rsidR="00610312" w:rsidRPr="004F0345" w:rsidRDefault="00610312" w:rsidP="0088638B">
            <w:pPr>
              <w:pStyle w:val="A0"/>
              <w:ind w:firstLine="0"/>
              <w:jc w:val="center"/>
              <w:rPr>
                <w:sz w:val="16"/>
                <w:szCs w:val="16"/>
              </w:rPr>
            </w:pPr>
            <w:r w:rsidRPr="004F0345">
              <w:rPr>
                <w:sz w:val="16"/>
                <w:szCs w:val="16"/>
              </w:rPr>
              <w:t>251620</w:t>
            </w:r>
          </w:p>
        </w:tc>
      </w:tr>
      <w:tr w:rsidR="00610312" w:rsidRPr="004F0345" w14:paraId="67C09BC0" w14:textId="77777777" w:rsidTr="0088638B">
        <w:trPr>
          <w:trHeight w:val="600"/>
        </w:trPr>
        <w:tc>
          <w:tcPr>
            <w:tcW w:w="975" w:type="dxa"/>
            <w:vAlign w:val="center"/>
            <w:hideMark/>
          </w:tcPr>
          <w:p w14:paraId="5443330F"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10A9666"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E38999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C6A6F68"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A40D25A" w14:textId="77777777" w:rsidR="00610312" w:rsidRPr="004F0345" w:rsidRDefault="00610312" w:rsidP="0088638B">
            <w:pPr>
              <w:pStyle w:val="A0"/>
              <w:ind w:firstLine="0"/>
              <w:jc w:val="center"/>
              <w:rPr>
                <w:sz w:val="16"/>
                <w:szCs w:val="16"/>
              </w:rPr>
            </w:pPr>
            <w:r w:rsidRPr="004F0345">
              <w:rPr>
                <w:sz w:val="16"/>
                <w:szCs w:val="16"/>
              </w:rPr>
              <w:t>280</w:t>
            </w:r>
          </w:p>
        </w:tc>
        <w:tc>
          <w:tcPr>
            <w:tcW w:w="810" w:type="dxa"/>
            <w:vAlign w:val="center"/>
            <w:hideMark/>
          </w:tcPr>
          <w:p w14:paraId="23D2C447" w14:textId="77777777" w:rsidR="00610312" w:rsidRPr="004F0345" w:rsidRDefault="00610312" w:rsidP="0088638B">
            <w:pPr>
              <w:pStyle w:val="A0"/>
              <w:ind w:firstLine="0"/>
              <w:jc w:val="center"/>
              <w:rPr>
                <w:sz w:val="16"/>
                <w:szCs w:val="16"/>
              </w:rPr>
            </w:pPr>
            <w:r w:rsidRPr="004F0345">
              <w:rPr>
                <w:sz w:val="16"/>
                <w:szCs w:val="16"/>
              </w:rPr>
              <w:t>251845</w:t>
            </w:r>
          </w:p>
        </w:tc>
      </w:tr>
      <w:tr w:rsidR="00610312" w:rsidRPr="004F0345" w14:paraId="78AE9726" w14:textId="77777777" w:rsidTr="0088638B">
        <w:trPr>
          <w:trHeight w:val="600"/>
        </w:trPr>
        <w:tc>
          <w:tcPr>
            <w:tcW w:w="975" w:type="dxa"/>
            <w:vAlign w:val="center"/>
            <w:hideMark/>
          </w:tcPr>
          <w:p w14:paraId="63240B49"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8D1D6FE"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531C88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1E7DA37" w14:textId="77777777" w:rsidR="00610312" w:rsidRPr="004F0345" w:rsidRDefault="00610312" w:rsidP="0088638B">
            <w:pPr>
              <w:pStyle w:val="A0"/>
              <w:ind w:firstLine="0"/>
              <w:jc w:val="center"/>
              <w:rPr>
                <w:sz w:val="16"/>
                <w:szCs w:val="16"/>
              </w:rPr>
            </w:pPr>
            <w:r w:rsidRPr="004F0345">
              <w:rPr>
                <w:sz w:val="16"/>
                <w:szCs w:val="16"/>
              </w:rPr>
              <w:t>BB T RT SU;J B Watkins</w:t>
            </w:r>
          </w:p>
        </w:tc>
        <w:tc>
          <w:tcPr>
            <w:tcW w:w="630" w:type="dxa"/>
            <w:vAlign w:val="center"/>
            <w:hideMark/>
          </w:tcPr>
          <w:p w14:paraId="36AB0F4D" w14:textId="77777777" w:rsidR="00610312" w:rsidRPr="004F0345" w:rsidRDefault="00610312" w:rsidP="0088638B">
            <w:pPr>
              <w:pStyle w:val="A0"/>
              <w:ind w:firstLine="0"/>
              <w:jc w:val="center"/>
              <w:rPr>
                <w:sz w:val="16"/>
                <w:szCs w:val="16"/>
              </w:rPr>
            </w:pPr>
            <w:r w:rsidRPr="004F0345">
              <w:rPr>
                <w:sz w:val="16"/>
                <w:szCs w:val="16"/>
              </w:rPr>
              <w:t>281</w:t>
            </w:r>
          </w:p>
        </w:tc>
        <w:tc>
          <w:tcPr>
            <w:tcW w:w="810" w:type="dxa"/>
            <w:vAlign w:val="center"/>
            <w:hideMark/>
          </w:tcPr>
          <w:p w14:paraId="5B76D3F7" w14:textId="77777777" w:rsidR="00610312" w:rsidRPr="004F0345" w:rsidRDefault="00610312" w:rsidP="0088638B">
            <w:pPr>
              <w:pStyle w:val="A0"/>
              <w:ind w:firstLine="0"/>
              <w:jc w:val="center"/>
              <w:rPr>
                <w:sz w:val="16"/>
                <w:szCs w:val="16"/>
              </w:rPr>
            </w:pPr>
            <w:r w:rsidRPr="004F0345">
              <w:rPr>
                <w:sz w:val="16"/>
                <w:szCs w:val="16"/>
              </w:rPr>
              <w:t>252383</w:t>
            </w:r>
          </w:p>
        </w:tc>
      </w:tr>
      <w:tr w:rsidR="00610312" w:rsidRPr="004F0345" w14:paraId="0E262621" w14:textId="77777777" w:rsidTr="0088638B">
        <w:trPr>
          <w:trHeight w:val="600"/>
        </w:trPr>
        <w:tc>
          <w:tcPr>
            <w:tcW w:w="975" w:type="dxa"/>
            <w:vAlign w:val="center"/>
            <w:hideMark/>
          </w:tcPr>
          <w:p w14:paraId="5CE986A3"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5DF028B" w14:textId="77777777" w:rsidR="00610312" w:rsidRPr="004F0345" w:rsidRDefault="00610312" w:rsidP="0088638B">
            <w:pPr>
              <w:pStyle w:val="A0"/>
              <w:ind w:firstLine="0"/>
              <w:jc w:val="center"/>
              <w:rPr>
                <w:sz w:val="16"/>
                <w:szCs w:val="16"/>
              </w:rPr>
            </w:pPr>
            <w:r w:rsidRPr="004F0345">
              <w:rPr>
                <w:sz w:val="16"/>
                <w:szCs w:val="16"/>
              </w:rPr>
              <w:t>Bon Air, North</w:t>
            </w:r>
          </w:p>
        </w:tc>
        <w:tc>
          <w:tcPr>
            <w:tcW w:w="810" w:type="dxa"/>
            <w:vAlign w:val="center"/>
            <w:hideMark/>
          </w:tcPr>
          <w:p w14:paraId="5771547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1C2BF30" w14:textId="77777777" w:rsidR="00610312" w:rsidRPr="004F0345" w:rsidRDefault="00610312" w:rsidP="0088638B">
            <w:pPr>
              <w:pStyle w:val="A0"/>
              <w:ind w:firstLine="0"/>
              <w:jc w:val="center"/>
              <w:rPr>
                <w:sz w:val="16"/>
                <w:szCs w:val="16"/>
              </w:rPr>
            </w:pPr>
            <w:r w:rsidRPr="004F0345">
              <w:rPr>
                <w:sz w:val="16"/>
                <w:szCs w:val="16"/>
              </w:rPr>
              <w:t>HBY RA SUA;Cormier</w:t>
            </w:r>
          </w:p>
        </w:tc>
        <w:tc>
          <w:tcPr>
            <w:tcW w:w="630" w:type="dxa"/>
            <w:vAlign w:val="center"/>
            <w:hideMark/>
          </w:tcPr>
          <w:p w14:paraId="172D5960"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41CA6F8C" w14:textId="77777777" w:rsidR="00610312" w:rsidRPr="004F0345" w:rsidRDefault="00610312" w:rsidP="0088638B">
            <w:pPr>
              <w:pStyle w:val="A0"/>
              <w:ind w:firstLine="0"/>
              <w:jc w:val="center"/>
              <w:rPr>
                <w:sz w:val="16"/>
                <w:szCs w:val="16"/>
              </w:rPr>
            </w:pPr>
            <w:r w:rsidRPr="004F0345">
              <w:rPr>
                <w:sz w:val="16"/>
                <w:szCs w:val="16"/>
              </w:rPr>
              <w:t>252527</w:t>
            </w:r>
          </w:p>
        </w:tc>
      </w:tr>
      <w:tr w:rsidR="00610312" w:rsidRPr="004F0345" w14:paraId="25887CB5" w14:textId="77777777" w:rsidTr="0088638B">
        <w:trPr>
          <w:trHeight w:val="600"/>
        </w:trPr>
        <w:tc>
          <w:tcPr>
            <w:tcW w:w="975" w:type="dxa"/>
            <w:vAlign w:val="center"/>
            <w:hideMark/>
          </w:tcPr>
          <w:p w14:paraId="6891726A"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EDF2FB7"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33645D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4221217"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A1CACAE" w14:textId="77777777" w:rsidR="00610312" w:rsidRPr="004F0345" w:rsidRDefault="00610312" w:rsidP="0088638B">
            <w:pPr>
              <w:pStyle w:val="A0"/>
              <w:ind w:firstLine="0"/>
              <w:jc w:val="center"/>
              <w:rPr>
                <w:sz w:val="16"/>
                <w:szCs w:val="16"/>
              </w:rPr>
            </w:pPr>
            <w:r w:rsidRPr="004F0345">
              <w:rPr>
                <w:sz w:val="16"/>
                <w:szCs w:val="16"/>
              </w:rPr>
              <w:t>282</w:t>
            </w:r>
          </w:p>
        </w:tc>
        <w:tc>
          <w:tcPr>
            <w:tcW w:w="810" w:type="dxa"/>
            <w:vAlign w:val="center"/>
            <w:hideMark/>
          </w:tcPr>
          <w:p w14:paraId="3919957C" w14:textId="77777777" w:rsidR="00610312" w:rsidRPr="004F0345" w:rsidRDefault="00610312" w:rsidP="0088638B">
            <w:pPr>
              <w:pStyle w:val="A0"/>
              <w:ind w:firstLine="0"/>
              <w:jc w:val="center"/>
              <w:rPr>
                <w:sz w:val="16"/>
                <w:szCs w:val="16"/>
              </w:rPr>
            </w:pPr>
            <w:r w:rsidRPr="004F0345">
              <w:rPr>
                <w:sz w:val="16"/>
                <w:szCs w:val="16"/>
              </w:rPr>
              <w:t>253535</w:t>
            </w:r>
          </w:p>
        </w:tc>
      </w:tr>
      <w:tr w:rsidR="00610312" w:rsidRPr="004F0345" w14:paraId="489A42B8" w14:textId="77777777" w:rsidTr="0088638B">
        <w:trPr>
          <w:trHeight w:val="600"/>
        </w:trPr>
        <w:tc>
          <w:tcPr>
            <w:tcW w:w="975" w:type="dxa"/>
            <w:vAlign w:val="center"/>
            <w:hideMark/>
          </w:tcPr>
          <w:p w14:paraId="0024EA4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33B3919"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20A2F2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BBECBF2"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1A2DD46" w14:textId="77777777" w:rsidR="00610312" w:rsidRPr="004F0345" w:rsidRDefault="00610312" w:rsidP="0088638B">
            <w:pPr>
              <w:pStyle w:val="A0"/>
              <w:ind w:firstLine="0"/>
              <w:jc w:val="center"/>
              <w:rPr>
                <w:sz w:val="16"/>
                <w:szCs w:val="16"/>
              </w:rPr>
            </w:pPr>
            <w:r w:rsidRPr="004F0345">
              <w:rPr>
                <w:sz w:val="16"/>
                <w:szCs w:val="16"/>
              </w:rPr>
              <w:t>284</w:t>
            </w:r>
          </w:p>
        </w:tc>
        <w:tc>
          <w:tcPr>
            <w:tcW w:w="810" w:type="dxa"/>
            <w:vAlign w:val="center"/>
            <w:hideMark/>
          </w:tcPr>
          <w:p w14:paraId="100FC8E2" w14:textId="77777777" w:rsidR="00610312" w:rsidRPr="004F0345" w:rsidRDefault="00610312" w:rsidP="0088638B">
            <w:pPr>
              <w:pStyle w:val="A0"/>
              <w:ind w:firstLine="0"/>
              <w:jc w:val="center"/>
              <w:rPr>
                <w:sz w:val="16"/>
                <w:szCs w:val="16"/>
              </w:rPr>
            </w:pPr>
            <w:r w:rsidRPr="004F0345">
              <w:rPr>
                <w:sz w:val="16"/>
                <w:szCs w:val="16"/>
              </w:rPr>
              <w:t>253584</w:t>
            </w:r>
          </w:p>
        </w:tc>
      </w:tr>
      <w:tr w:rsidR="00610312" w:rsidRPr="004F0345" w14:paraId="29D3FB2B" w14:textId="77777777" w:rsidTr="0088638B">
        <w:trPr>
          <w:trHeight w:val="600"/>
        </w:trPr>
        <w:tc>
          <w:tcPr>
            <w:tcW w:w="975" w:type="dxa"/>
            <w:vAlign w:val="center"/>
            <w:hideMark/>
          </w:tcPr>
          <w:p w14:paraId="60FE64A8"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A687CBE"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586343B"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88E7F8A"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DBFD59C" w14:textId="77777777" w:rsidR="00610312" w:rsidRPr="004F0345" w:rsidRDefault="00610312" w:rsidP="0088638B">
            <w:pPr>
              <w:pStyle w:val="A0"/>
              <w:ind w:firstLine="0"/>
              <w:jc w:val="center"/>
              <w:rPr>
                <w:sz w:val="16"/>
                <w:szCs w:val="16"/>
              </w:rPr>
            </w:pPr>
            <w:r w:rsidRPr="004F0345">
              <w:rPr>
                <w:sz w:val="16"/>
                <w:szCs w:val="16"/>
              </w:rPr>
              <w:t>285</w:t>
            </w:r>
          </w:p>
        </w:tc>
        <w:tc>
          <w:tcPr>
            <w:tcW w:w="810" w:type="dxa"/>
            <w:vAlign w:val="center"/>
            <w:hideMark/>
          </w:tcPr>
          <w:p w14:paraId="13727A8C" w14:textId="77777777" w:rsidR="00610312" w:rsidRPr="004F0345" w:rsidRDefault="00610312" w:rsidP="0088638B">
            <w:pPr>
              <w:pStyle w:val="A0"/>
              <w:ind w:firstLine="0"/>
              <w:jc w:val="center"/>
              <w:rPr>
                <w:sz w:val="16"/>
                <w:szCs w:val="16"/>
              </w:rPr>
            </w:pPr>
            <w:r w:rsidRPr="004F0345">
              <w:rPr>
                <w:sz w:val="16"/>
                <w:szCs w:val="16"/>
              </w:rPr>
              <w:t>253895</w:t>
            </w:r>
          </w:p>
        </w:tc>
      </w:tr>
      <w:tr w:rsidR="00610312" w:rsidRPr="004F0345" w14:paraId="6A3522C4" w14:textId="77777777" w:rsidTr="0088638B">
        <w:trPr>
          <w:trHeight w:val="600"/>
        </w:trPr>
        <w:tc>
          <w:tcPr>
            <w:tcW w:w="975" w:type="dxa"/>
            <w:vAlign w:val="center"/>
            <w:hideMark/>
          </w:tcPr>
          <w:p w14:paraId="44575DD6"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6B7C3F1"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2E4CF4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EF1227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53C36414" w14:textId="77777777" w:rsidR="00610312" w:rsidRPr="004F0345" w:rsidRDefault="00610312" w:rsidP="0088638B">
            <w:pPr>
              <w:pStyle w:val="A0"/>
              <w:ind w:firstLine="0"/>
              <w:jc w:val="center"/>
              <w:rPr>
                <w:sz w:val="16"/>
                <w:szCs w:val="16"/>
              </w:rPr>
            </w:pPr>
            <w:r w:rsidRPr="004F0345">
              <w:rPr>
                <w:sz w:val="16"/>
                <w:szCs w:val="16"/>
              </w:rPr>
              <w:t>286</w:t>
            </w:r>
          </w:p>
        </w:tc>
        <w:tc>
          <w:tcPr>
            <w:tcW w:w="810" w:type="dxa"/>
            <w:vAlign w:val="center"/>
            <w:hideMark/>
          </w:tcPr>
          <w:p w14:paraId="09E325FD" w14:textId="77777777" w:rsidR="00610312" w:rsidRPr="004F0345" w:rsidRDefault="00610312" w:rsidP="0088638B">
            <w:pPr>
              <w:pStyle w:val="A0"/>
              <w:ind w:firstLine="0"/>
              <w:jc w:val="center"/>
              <w:rPr>
                <w:sz w:val="16"/>
                <w:szCs w:val="16"/>
              </w:rPr>
            </w:pPr>
            <w:r w:rsidRPr="004F0345">
              <w:rPr>
                <w:sz w:val="16"/>
                <w:szCs w:val="16"/>
              </w:rPr>
              <w:t>253896</w:t>
            </w:r>
          </w:p>
        </w:tc>
      </w:tr>
    </w:tbl>
    <w:p w14:paraId="13839A77" w14:textId="77777777" w:rsidR="00610312" w:rsidRDefault="00610312" w:rsidP="00610312">
      <w:pPr>
        <w:pStyle w:val="A0"/>
      </w:pPr>
    </w:p>
    <w:p w14:paraId="3AC971DE" w14:textId="77777777" w:rsidR="00610312" w:rsidRDefault="00610312" w:rsidP="00610312">
      <w:pPr>
        <w:pStyle w:val="RegSignature"/>
      </w:pPr>
      <w:r w:rsidRPr="008467E5">
        <w:t>Manny Acosta</w:t>
      </w:r>
    </w:p>
    <w:p w14:paraId="5D2212AF" w14:textId="77777777" w:rsidR="00610312" w:rsidRDefault="00610312" w:rsidP="00610312">
      <w:pPr>
        <w:pStyle w:val="RegSignature"/>
      </w:pPr>
      <w:r w:rsidRPr="008467E5">
        <w:t>Executive Director</w:t>
      </w:r>
    </w:p>
    <w:p w14:paraId="7F33B6E3" w14:textId="77777777" w:rsidR="00610312" w:rsidRPr="008467E5" w:rsidRDefault="00610312" w:rsidP="00610312">
      <w:pPr>
        <w:pStyle w:val="RegLogNumber"/>
      </w:pPr>
      <w:r>
        <w:t>2609#047</w:t>
      </w:r>
    </w:p>
    <w:p w14:paraId="7DFC1135" w14:textId="77777777" w:rsidR="00610312" w:rsidRPr="009F66F9" w:rsidRDefault="00610312" w:rsidP="00610312"/>
    <w:p w14:paraId="4A2D0A13" w14:textId="77777777" w:rsidR="00610312" w:rsidRDefault="00610312" w:rsidP="00610312">
      <w:pPr>
        <w:pStyle w:val="RegItemFirstLine"/>
      </w:pPr>
      <w:r>
        <w:t>POTPOURRI</w:t>
      </w:r>
    </w:p>
    <w:p w14:paraId="3CE8636E" w14:textId="77777777" w:rsidR="00610312" w:rsidRDefault="00610312" w:rsidP="00610312">
      <w:pPr>
        <w:pStyle w:val="RegDepartment"/>
      </w:pPr>
      <w:r>
        <w:t>Department of Conservation and Energy</w:t>
      </w:r>
    </w:p>
    <w:p w14:paraId="3A3B3559" w14:textId="77777777" w:rsidR="00610312" w:rsidRDefault="00610312" w:rsidP="00610312">
      <w:pPr>
        <w:pStyle w:val="RegItemTitle"/>
        <w:spacing w:before="240"/>
      </w:pPr>
      <w:r w:rsidRPr="00A60D52">
        <w:t>Requests for Comments on Groundwater Management Rulemaking</w:t>
      </w:r>
      <w:r>
        <w:t xml:space="preserve"> </w:t>
      </w:r>
      <w:r w:rsidRPr="00A60D52">
        <w:t>(LAC 43:VI.Chapters 1-13)</w:t>
      </w:r>
    </w:p>
    <w:p w14:paraId="0C7A6EA1" w14:textId="77777777" w:rsidR="00610312" w:rsidRPr="00A60D52" w:rsidRDefault="00610312" w:rsidP="00610312">
      <w:pPr>
        <w:pStyle w:val="A0"/>
      </w:pPr>
      <w:r w:rsidRPr="00A60D52">
        <w:t xml:space="preserve">The Department of Conservation and Energy (C&amp;E) is seeking initial public comments on prospective rule changes dealing with groundwater management in the state, with the eventual intent to consolidate and revise existing rules within the Natural Resources title of the </w:t>
      </w:r>
      <w:r w:rsidRPr="00637AD8">
        <w:rPr>
          <w:i/>
          <w:iCs/>
        </w:rPr>
        <w:t>Louisiana Administrative Code</w:t>
      </w:r>
      <w:r w:rsidRPr="00A60D52">
        <w:t xml:space="preserve"> (LAC).</w:t>
      </w:r>
      <w:r>
        <w:t xml:space="preserve"> </w:t>
      </w:r>
      <w:r w:rsidRPr="00A60D52">
        <w:t>The draft Rule can be viewed at: https://www.dce.louisiana.gov/assets/OMR/Title-43-Part-VI-Water-Resources-Management.docx</w:t>
      </w:r>
    </w:p>
    <w:p w14:paraId="4FF2BB0D" w14:textId="77777777" w:rsidR="00610312" w:rsidRPr="00A60D52" w:rsidRDefault="00610312" w:rsidP="00610312">
      <w:pPr>
        <w:pStyle w:val="A0"/>
      </w:pPr>
      <w:r w:rsidRPr="00A60D52">
        <w:t xml:space="preserve">C&amp;E proposes to consolidate rules governing groundwater management; water-well drilling and construction standards; water-well plugging and abandonment requirements; and special rules for the Capital Area Groundwater Conservation </w:t>
      </w:r>
      <w:r>
        <w:br w:type="page"/>
      </w:r>
      <w:r w:rsidRPr="00A60D52">
        <w:lastRenderedPageBreak/>
        <w:t>District.</w:t>
      </w:r>
      <w:r>
        <w:t xml:space="preserve"> </w:t>
      </w:r>
      <w:r w:rsidRPr="00A60D52">
        <w:t xml:space="preserve">Rules for these functions are presently scattered through several LAC titles, making them less accessible to water-well owners, drillers, regulated users, and the general public. </w:t>
      </w:r>
    </w:p>
    <w:p w14:paraId="2DFED424" w14:textId="77777777" w:rsidR="00610312" w:rsidRPr="00A60D52" w:rsidRDefault="00610312" w:rsidP="00610312">
      <w:pPr>
        <w:pStyle w:val="A0"/>
      </w:pPr>
      <w:r w:rsidRPr="00A60D52">
        <w:t xml:space="preserve">C&amp;E also seeks to re-promulgate rules to ensure they conform to changes made by Act 458 of the 2025 Regular Session, reorganizing the former Department of Energy and Natural Resources (DENR), transferring the authority of the former </w:t>
      </w:r>
      <w:r>
        <w:t>c</w:t>
      </w:r>
      <w:r w:rsidRPr="00A60D52">
        <w:t xml:space="preserve">ommissioner of Conservation to the C&amp;E Secretary, as the </w:t>
      </w:r>
      <w:r>
        <w:t>c</w:t>
      </w:r>
      <w:r w:rsidRPr="00A60D52">
        <w:t xml:space="preserve">ommissioner of Conservation title was changed/consolidated to Secretary of C&amp;E. </w:t>
      </w:r>
    </w:p>
    <w:p w14:paraId="241D2A91" w14:textId="77777777" w:rsidR="00610312" w:rsidRPr="00A60D52" w:rsidRDefault="00610312" w:rsidP="00610312">
      <w:pPr>
        <w:pStyle w:val="A0"/>
      </w:pPr>
      <w:r w:rsidRPr="00A60D52">
        <w:t>In addition to the changes described above, there are several proposed changes for which C&amp;E wishes to give particular notice:</w:t>
      </w:r>
    </w:p>
    <w:p w14:paraId="0DF6CD14" w14:textId="77777777" w:rsidR="00610312" w:rsidRPr="00A60D52" w:rsidRDefault="00610312" w:rsidP="00610312">
      <w:pPr>
        <w:pStyle w:val="A0"/>
        <w:numPr>
          <w:ilvl w:val="0"/>
          <w:numId w:val="32"/>
        </w:numPr>
        <w:tabs>
          <w:tab w:val="clear" w:pos="907"/>
        </w:tabs>
        <w:ind w:left="540"/>
      </w:pPr>
      <w:r>
        <w:t>d</w:t>
      </w:r>
      <w:r w:rsidRPr="00A60D52">
        <w:t xml:space="preserve">efining </w:t>
      </w:r>
      <w:r w:rsidRPr="00C348B4">
        <w:rPr>
          <w:i/>
          <w:iCs/>
        </w:rPr>
        <w:t>large volume well</w:t>
      </w:r>
      <w:r w:rsidRPr="00A60D52">
        <w:t xml:space="preserve"> to include any well with an eight-inch or greater diameter screen, or any well (alone or in combination with related wells) determined capable of producing 300 gallons per minute, in place of the prior 1,500-gallon-per-minute threshold</w:t>
      </w:r>
      <w:r>
        <w:t>;</w:t>
      </w:r>
    </w:p>
    <w:p w14:paraId="502627EB" w14:textId="77777777" w:rsidR="00610312" w:rsidRPr="00A60D52" w:rsidRDefault="00610312" w:rsidP="00610312">
      <w:pPr>
        <w:pStyle w:val="A0"/>
        <w:numPr>
          <w:ilvl w:val="0"/>
          <w:numId w:val="32"/>
        </w:numPr>
        <w:tabs>
          <w:tab w:val="clear" w:pos="907"/>
        </w:tabs>
        <w:ind w:left="540"/>
      </w:pPr>
      <w:r>
        <w:t>s</w:t>
      </w:r>
      <w:r w:rsidRPr="00A60D52">
        <w:t>trengthening of language relative to variance requests made to the department and the flexibility of the department in responding to, granting, altering, or otherwise handling such requests</w:t>
      </w:r>
      <w:r>
        <w:t>;</w:t>
      </w:r>
    </w:p>
    <w:p w14:paraId="62D6504A" w14:textId="77777777" w:rsidR="00610312" w:rsidRPr="00A60D52" w:rsidRDefault="00610312" w:rsidP="00610312">
      <w:pPr>
        <w:pStyle w:val="A0"/>
        <w:numPr>
          <w:ilvl w:val="0"/>
          <w:numId w:val="32"/>
        </w:numPr>
        <w:tabs>
          <w:tab w:val="clear" w:pos="907"/>
        </w:tabs>
        <w:ind w:left="540"/>
      </w:pPr>
      <w:r>
        <w:t>c</w:t>
      </w:r>
      <w:r w:rsidRPr="00A60D52">
        <w:t xml:space="preserve">reation of Areas of Investigation terminology as a tool for the collection of data in a specific geographic region under an order of the </w:t>
      </w:r>
      <w:r>
        <w:t>s</w:t>
      </w:r>
      <w:r w:rsidRPr="00A60D52">
        <w:t>ecretary, separate and apart from Groundwater Area of Concern and Critical Area of Concern designations</w:t>
      </w:r>
      <w:r>
        <w:t>;</w:t>
      </w:r>
    </w:p>
    <w:p w14:paraId="52D312A1" w14:textId="77777777" w:rsidR="00610312" w:rsidRPr="00A60D52" w:rsidRDefault="00610312" w:rsidP="00610312">
      <w:pPr>
        <w:pStyle w:val="A0"/>
        <w:numPr>
          <w:ilvl w:val="0"/>
          <w:numId w:val="32"/>
        </w:numPr>
        <w:tabs>
          <w:tab w:val="clear" w:pos="907"/>
        </w:tabs>
        <w:ind w:left="540"/>
      </w:pPr>
      <w:r>
        <w:t>m</w:t>
      </w:r>
      <w:r w:rsidRPr="00A60D52">
        <w:t xml:space="preserve">aking orders of the </w:t>
      </w:r>
      <w:r>
        <w:t>s</w:t>
      </w:r>
      <w:r w:rsidRPr="00A60D52">
        <w:t>ecretary appealable to the Nineteenth Judicial District Court as provided by law</w:t>
      </w:r>
      <w:r>
        <w:t>;</w:t>
      </w:r>
    </w:p>
    <w:p w14:paraId="067E8BF9" w14:textId="77777777" w:rsidR="00610312" w:rsidRPr="00A60D52" w:rsidRDefault="00610312" w:rsidP="00610312">
      <w:pPr>
        <w:pStyle w:val="A0"/>
        <w:numPr>
          <w:ilvl w:val="0"/>
          <w:numId w:val="32"/>
        </w:numPr>
        <w:tabs>
          <w:tab w:val="clear" w:pos="907"/>
        </w:tabs>
        <w:ind w:left="540"/>
      </w:pPr>
      <w:r>
        <w:t>m</w:t>
      </w:r>
      <w:r w:rsidRPr="00A60D52">
        <w:t>aking new provisions prohibiting screening or perforating a water well, environmental well, test hole, or borehole across or into more than one distinct aquifer</w:t>
      </w:r>
      <w:r>
        <w:t>;</w:t>
      </w:r>
    </w:p>
    <w:p w14:paraId="3FCC8EFF" w14:textId="77777777" w:rsidR="00610312" w:rsidRDefault="00610312" w:rsidP="00610312">
      <w:pPr>
        <w:pStyle w:val="A0"/>
        <w:numPr>
          <w:ilvl w:val="0"/>
          <w:numId w:val="32"/>
        </w:numPr>
        <w:tabs>
          <w:tab w:val="clear" w:pos="907"/>
        </w:tabs>
        <w:ind w:left="540"/>
      </w:pPr>
      <w:r>
        <w:t>c</w:t>
      </w:r>
      <w:r w:rsidRPr="00A60D52">
        <w:t xml:space="preserve">arrying forward the special rules for the Capital Area Ground Water Conservation District, while removing duplicative rules specific to this </w:t>
      </w:r>
      <w:r>
        <w:t>d</w:t>
      </w:r>
      <w:r w:rsidRPr="00A60D52">
        <w:t>istrict that were previously separate from state rules</w:t>
      </w:r>
      <w:r>
        <w:t>.</w:t>
      </w:r>
    </w:p>
    <w:p w14:paraId="2596A7AD" w14:textId="77777777" w:rsidR="00610312" w:rsidRPr="00A60D52" w:rsidRDefault="00610312" w:rsidP="00610312">
      <w:pPr>
        <w:pStyle w:val="RegCodeTitle"/>
      </w:pPr>
      <w:r>
        <w:t>Public Comments</w:t>
      </w:r>
    </w:p>
    <w:p w14:paraId="1FAB65ED" w14:textId="77777777" w:rsidR="00610312" w:rsidRDefault="00610312" w:rsidP="00610312">
      <w:pPr>
        <w:pStyle w:val="A0"/>
      </w:pPr>
      <w:r w:rsidRPr="00A60D52">
        <w:t>C&amp;E requests persons or organizations interested in providing written comment</w:t>
      </w:r>
      <w:r>
        <w:t>s</w:t>
      </w:r>
      <w:r w:rsidRPr="00A60D52">
        <w:t xml:space="preserve"> or other feedback on the proposed rule changes do so through the Rule Comment Webpage (https://www.dce.louisiana.gov/form/rulemaking-comments) or by email to cerulecomments@stateofla.onmicrosoft.com. All comments must be received by the close of business on October 15, 2026.</w:t>
      </w:r>
    </w:p>
    <w:p w14:paraId="0D71F2EB" w14:textId="77777777" w:rsidR="00610312" w:rsidRDefault="00610312" w:rsidP="00610312">
      <w:pPr>
        <w:pStyle w:val="A0"/>
      </w:pPr>
    </w:p>
    <w:p w14:paraId="6780CF3A" w14:textId="77777777" w:rsidR="00610312" w:rsidRPr="00A60D52" w:rsidRDefault="00610312" w:rsidP="00610312">
      <w:pPr>
        <w:pStyle w:val="RegSignature"/>
      </w:pPr>
      <w:r w:rsidRPr="00A60D52">
        <w:t>Monique M. Edwards</w:t>
      </w:r>
    </w:p>
    <w:p w14:paraId="539AC434" w14:textId="77777777" w:rsidR="00610312" w:rsidRDefault="00610312" w:rsidP="00610312">
      <w:pPr>
        <w:pStyle w:val="RegSignature"/>
      </w:pPr>
      <w:r w:rsidRPr="00A60D52">
        <w:t>Executive Director</w:t>
      </w:r>
    </w:p>
    <w:p w14:paraId="7365DA73" w14:textId="77777777" w:rsidR="00610312" w:rsidRPr="00A60D52" w:rsidRDefault="00610312" w:rsidP="00610312">
      <w:pPr>
        <w:pStyle w:val="RegLogNumber"/>
      </w:pPr>
      <w:r>
        <w:t>2609#015</w:t>
      </w:r>
    </w:p>
    <w:p w14:paraId="257A6CA2" w14:textId="77777777" w:rsidR="00610312" w:rsidRPr="009F66F9" w:rsidRDefault="00610312" w:rsidP="00610312"/>
    <w:p w14:paraId="64A64A42" w14:textId="77777777" w:rsidR="00610312" w:rsidRDefault="00610312" w:rsidP="00610312">
      <w:pPr>
        <w:pStyle w:val="RegItemFirstLine"/>
      </w:pPr>
      <w:r>
        <w:br w:type="column"/>
      </w:r>
      <w:r>
        <w:t>POTPOURRI</w:t>
      </w:r>
    </w:p>
    <w:p w14:paraId="5A7BA3C9" w14:textId="77777777" w:rsidR="00610312" w:rsidRDefault="00610312" w:rsidP="00610312">
      <w:pPr>
        <w:pStyle w:val="RegDepartment"/>
      </w:pPr>
      <w:r>
        <w:t>Department of Environmental Quality</w:t>
      </w:r>
    </w:p>
    <w:p w14:paraId="54473FBE" w14:textId="77777777" w:rsidR="00610312" w:rsidRDefault="00610312" w:rsidP="00610312">
      <w:pPr>
        <w:pStyle w:val="RegDepartment"/>
      </w:pPr>
      <w:r>
        <w:t>Office of the Secretary</w:t>
      </w:r>
    </w:p>
    <w:p w14:paraId="4C65412D" w14:textId="77777777" w:rsidR="00610312" w:rsidRPr="00A32585" w:rsidRDefault="00610312" w:rsidP="00610312">
      <w:pPr>
        <w:pStyle w:val="RegSubDepartment"/>
        <w:rPr>
          <w:sz w:val="20"/>
        </w:rPr>
      </w:pPr>
      <w:r w:rsidRPr="00A32585">
        <w:rPr>
          <w:sz w:val="20"/>
        </w:rPr>
        <w:t>Legal Affairs Division</w:t>
      </w:r>
    </w:p>
    <w:p w14:paraId="63823D6D" w14:textId="77777777" w:rsidR="00610312" w:rsidRPr="00A32585" w:rsidRDefault="00610312" w:rsidP="00610312">
      <w:pPr>
        <w:pStyle w:val="RegItemTitle"/>
      </w:pPr>
      <w:r w:rsidRPr="004F3099">
        <w:t>Notice of Public Hearing</w:t>
      </w:r>
      <w:r>
        <w:br/>
      </w:r>
      <w:r w:rsidRPr="004F3099">
        <w:t>Substantive Changes to Proposed Rule WQ118</w:t>
      </w:r>
      <w:r>
        <w:br/>
      </w:r>
      <w:r w:rsidRPr="004F3099">
        <w:t>Turbidity Criteria Refinement</w:t>
      </w:r>
      <w:r>
        <w:br/>
      </w:r>
      <w:r w:rsidRPr="0075551A">
        <w:t>(LAC 33:IX.1113 and 1123)</w:t>
      </w:r>
    </w:p>
    <w:p w14:paraId="167B75E3" w14:textId="77777777" w:rsidR="00610312" w:rsidRPr="004F3099" w:rsidRDefault="00610312" w:rsidP="00610312">
      <w:pPr>
        <w:pStyle w:val="A0"/>
        <w:rPr>
          <w:highlight w:val="yellow"/>
        </w:rPr>
      </w:pPr>
      <w:r w:rsidRPr="004F3099">
        <w:t>Under the authority of the Environmental Quality Act, R.S. 30:2001 et seq., and in accordance with the provisions of the Administrative Procedure Act, R.S. 49:950 et seq., the secretary gives notice that the department is seeking to incorporate substantive changes to proposed regulation (</w:t>
      </w:r>
      <w:r w:rsidRPr="004F3099">
        <w:rPr>
          <w:noProof/>
        </w:rPr>
        <w:t>LAC 33:IX.1113 and 1123</w:t>
      </w:r>
      <w:r w:rsidRPr="004F3099">
        <w:t xml:space="preserve">), which was originally noticed as WQ118 in the May 20, 2026, issue of the </w:t>
      </w:r>
      <w:r w:rsidRPr="004F3099">
        <w:rPr>
          <w:i/>
        </w:rPr>
        <w:t>Louisiana Register</w:t>
      </w:r>
      <w:r w:rsidRPr="004F3099">
        <w:t xml:space="preserve">. </w:t>
      </w:r>
      <w:r w:rsidRPr="004F3099">
        <w:rPr>
          <w:noProof/>
        </w:rPr>
        <w:t>(2609Pot1)</w:t>
      </w:r>
    </w:p>
    <w:p w14:paraId="19663F89" w14:textId="77777777" w:rsidR="00610312" w:rsidRPr="004F3099" w:rsidRDefault="00610312" w:rsidP="00610312">
      <w:pPr>
        <w:pStyle w:val="A0"/>
      </w:pPr>
      <w:r w:rsidRPr="004F3099">
        <w:t xml:space="preserve">The department has proposed substantive changes to address comments received during the public comment period of proposed rule WQ118. Louisiana's turbidity criteria are expressed as general and numeric criteria. In 2025, the Water </w:t>
      </w:r>
      <w:r>
        <w:t xml:space="preserve"> </w:t>
      </w:r>
      <w:r w:rsidRPr="004F3099">
        <w:t>Planning and Assessment Division completed a study with the objective to determine appropriate methods for developing numeric turbidity criteria in select water bodies. https://edms.deq.louisiana.gov/app/doc/view?doc=14986295 An endnote is incorporated as a placeholder, because this subsegment may or may change in the future and the subsegment is retaining the current 50 NTU criteria based on LAC 33:IX.1113.B.9.b. In the interest of clarity and transparency, the department is providing public notice and opportunity to comment on the proposed changes to the amendments of the regulation in question. The department is also providing an interim response to comments received on the initial regulation proposal.</w:t>
      </w:r>
    </w:p>
    <w:p w14:paraId="02A03BD9" w14:textId="77777777" w:rsidR="00610312" w:rsidRDefault="00610312" w:rsidP="00610312">
      <w:pPr>
        <w:pStyle w:val="A0"/>
      </w:pPr>
      <w:r w:rsidRPr="004F3099">
        <w:t>A strikeout/underline/shaded version of the proposed rule that distinguishes original proposed language from language changed by this proposal and the interim response to comments are available on the department’s website under Rules and Regulations at https://www.deq.louisiana.gov/about-ldeq/rules-regulations. The following change is to be incorporated into the Notice of Intent:</w:t>
      </w:r>
    </w:p>
    <w:p w14:paraId="58249579" w14:textId="77777777" w:rsidR="00610312" w:rsidRDefault="00610312" w:rsidP="00610312">
      <w:pPr>
        <w:pStyle w:val="RegCodeTitle"/>
        <w:rPr>
          <w:rFonts w:eastAsia="Calibri"/>
        </w:rPr>
      </w:pPr>
      <w:r>
        <w:rPr>
          <w:rFonts w:eastAsia="Calibri"/>
        </w:rPr>
        <w:br w:type="page"/>
      </w:r>
    </w:p>
    <w:p w14:paraId="0E873228" w14:textId="77777777" w:rsidR="00610312" w:rsidRPr="004F3099" w:rsidRDefault="00610312" w:rsidP="00610312">
      <w:pPr>
        <w:pStyle w:val="RegCodeTitle"/>
        <w:rPr>
          <w:rFonts w:eastAsia="Calibri"/>
        </w:rPr>
      </w:pPr>
      <w:r w:rsidRPr="004F3099">
        <w:rPr>
          <w:rFonts w:eastAsia="Calibri"/>
        </w:rPr>
        <w:lastRenderedPageBreak/>
        <w:t>Title 33</w:t>
      </w:r>
    </w:p>
    <w:p w14:paraId="739BE1EC" w14:textId="77777777" w:rsidR="00610312" w:rsidRPr="004F3099" w:rsidRDefault="00610312" w:rsidP="00610312">
      <w:pPr>
        <w:pStyle w:val="RegCodeTitle"/>
        <w:rPr>
          <w:rFonts w:eastAsia="Calibri"/>
        </w:rPr>
      </w:pPr>
      <w:r w:rsidRPr="004F3099">
        <w:rPr>
          <w:rFonts w:eastAsia="Calibri"/>
        </w:rPr>
        <w:t>ENVIRONMENTAL QUALITY</w:t>
      </w:r>
    </w:p>
    <w:p w14:paraId="3E37202F" w14:textId="77777777" w:rsidR="00610312" w:rsidRPr="004F3099" w:rsidRDefault="00610312" w:rsidP="00610312">
      <w:pPr>
        <w:pStyle w:val="RegCodePart"/>
        <w:rPr>
          <w:rFonts w:eastAsia="Calibri"/>
        </w:rPr>
      </w:pPr>
      <w:r w:rsidRPr="004F3099">
        <w:rPr>
          <w:rFonts w:eastAsia="Calibri"/>
        </w:rPr>
        <w:t>Part IX.</w:t>
      </w:r>
      <w:r>
        <w:rPr>
          <w:rFonts w:eastAsia="Calibri"/>
        </w:rPr>
        <w:t xml:space="preserve">  </w:t>
      </w:r>
      <w:r w:rsidRPr="004F3099">
        <w:rPr>
          <w:rFonts w:eastAsia="Calibri"/>
        </w:rPr>
        <w:t>Water Quality</w:t>
      </w:r>
    </w:p>
    <w:p w14:paraId="63DA71E1" w14:textId="77777777" w:rsidR="00610312" w:rsidRPr="004F3099" w:rsidRDefault="00610312" w:rsidP="00610312">
      <w:pPr>
        <w:pStyle w:val="RegCodePart"/>
        <w:rPr>
          <w:rFonts w:eastAsia="Calibri"/>
        </w:rPr>
      </w:pPr>
      <w:r w:rsidRPr="004F3099">
        <w:rPr>
          <w:rFonts w:eastAsia="Calibri"/>
        </w:rPr>
        <w:t>Subpart 1.</w:t>
      </w:r>
      <w:r>
        <w:rPr>
          <w:rFonts w:eastAsia="Calibri"/>
        </w:rPr>
        <w:t xml:space="preserve">  </w:t>
      </w:r>
      <w:r w:rsidRPr="004F3099">
        <w:rPr>
          <w:rFonts w:eastAsia="Calibri"/>
        </w:rPr>
        <w:t>Water Pollution Control</w:t>
      </w:r>
    </w:p>
    <w:p w14:paraId="4E4FB787" w14:textId="77777777" w:rsidR="00610312" w:rsidRPr="004F3099" w:rsidRDefault="00610312" w:rsidP="00610312">
      <w:pPr>
        <w:pStyle w:val="Chapter"/>
        <w:rPr>
          <w:rFonts w:eastAsia="Calibri"/>
        </w:rPr>
      </w:pPr>
      <w:r w:rsidRPr="004F3099">
        <w:rPr>
          <w:rFonts w:eastAsia="Calibri"/>
        </w:rPr>
        <w:t>Chapter 11.</w:t>
      </w:r>
      <w:r w:rsidRPr="004F3099">
        <w:rPr>
          <w:rFonts w:eastAsia="Calibri"/>
        </w:rPr>
        <w:tab/>
        <w:t>Surface Water Quality Standards</w:t>
      </w:r>
    </w:p>
    <w:p w14:paraId="63409A5F" w14:textId="77777777" w:rsidR="00610312" w:rsidRPr="004F3099" w:rsidRDefault="00610312" w:rsidP="00610312">
      <w:pPr>
        <w:pStyle w:val="Section"/>
      </w:pPr>
      <w:bookmarkStart w:id="808" w:name="_Toc483474915"/>
      <w:bookmarkStart w:id="809" w:name="TOC_Sect372"/>
      <w:r w:rsidRPr="004F3099">
        <w:t>§1123.</w:t>
      </w:r>
      <w:r w:rsidRPr="004F3099">
        <w:tab/>
        <w:t>Numeric Criteria and Designated Uses</w:t>
      </w:r>
      <w:bookmarkEnd w:id="808"/>
      <w:bookmarkEnd w:id="809"/>
    </w:p>
    <w:p w14:paraId="406F10AB" w14:textId="77777777" w:rsidR="00610312" w:rsidRPr="004F3099" w:rsidRDefault="00610312" w:rsidP="00610312">
      <w:pPr>
        <w:pStyle w:val="A0"/>
      </w:pPr>
      <w:r w:rsidRPr="004F3099">
        <w:t xml:space="preserve">A. </w:t>
      </w:r>
      <w:r>
        <w:t>-</w:t>
      </w:r>
      <w:r w:rsidRPr="004F3099">
        <w:t xml:space="preserve"> E.</w:t>
      </w:r>
      <w:r w:rsidRPr="004F3099">
        <w:tab/>
        <w:t>…</w:t>
      </w:r>
    </w:p>
    <w:p w14:paraId="7FDF4802" w14:textId="77777777" w:rsidR="00610312" w:rsidRDefault="00610312" w:rsidP="00610312">
      <w:pPr>
        <w:keepNext/>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sectPr w:rsidR="00610312" w:rsidSect="00610312">
          <w:type w:val="continuous"/>
          <w:pgSz w:w="12240" w:h="15840" w:code="1"/>
          <w:pgMar w:top="720" w:right="864" w:bottom="317" w:left="864" w:header="576" w:footer="432" w:gutter="0"/>
          <w:cols w:num="2" w:space="720"/>
        </w:sectPr>
      </w:pPr>
    </w:p>
    <w:tbl>
      <w:tblPr>
        <w:tblW w:w="9877" w:type="dxa"/>
        <w:jc w:val="center"/>
        <w:tblLayout w:type="fixed"/>
        <w:tblCellMar>
          <w:left w:w="115" w:type="dxa"/>
          <w:right w:w="115" w:type="dxa"/>
        </w:tblCellMar>
        <w:tblLook w:val="0000" w:firstRow="0" w:lastRow="0" w:firstColumn="0" w:lastColumn="0" w:noHBand="0" w:noVBand="0"/>
      </w:tblPr>
      <w:tblGrid>
        <w:gridCol w:w="877"/>
        <w:gridCol w:w="1440"/>
        <w:gridCol w:w="1260"/>
        <w:gridCol w:w="780"/>
        <w:gridCol w:w="675"/>
        <w:gridCol w:w="630"/>
        <w:gridCol w:w="897"/>
        <w:gridCol w:w="708"/>
        <w:gridCol w:w="540"/>
        <w:gridCol w:w="630"/>
        <w:gridCol w:w="1440"/>
      </w:tblGrid>
      <w:tr w:rsidR="00610312" w:rsidRPr="00FA1838" w14:paraId="5F237BDD" w14:textId="77777777" w:rsidTr="0088638B">
        <w:trPr>
          <w:cantSplit/>
          <w:tblHeader/>
          <w:jc w:val="center"/>
        </w:trPr>
        <w:tc>
          <w:tcPr>
            <w:tcW w:w="9877" w:type="dxa"/>
            <w:gridSpan w:val="11"/>
            <w:tcBorders>
              <w:top w:val="double" w:sz="6" w:space="0" w:color="auto"/>
              <w:left w:val="double" w:sz="6" w:space="0" w:color="auto"/>
              <w:bottom w:val="single" w:sz="6" w:space="0" w:color="auto"/>
              <w:right w:val="double" w:sz="6" w:space="0" w:color="auto"/>
            </w:tcBorders>
            <w:shd w:val="clear" w:color="auto" w:fill="BFBFBF" w:themeFill="background1" w:themeFillShade="BF"/>
          </w:tcPr>
          <w:p w14:paraId="33DA7767" w14:textId="77777777" w:rsidR="00610312" w:rsidRPr="00511918" w:rsidRDefault="00610312" w:rsidP="0088638B">
            <w:pPr>
              <w:jc w:val="center"/>
              <w:rPr>
                <w:rFonts w:eastAsia="Calibri"/>
                <w:b/>
                <w:bCs/>
                <w:sz w:val="16"/>
                <w:szCs w:val="16"/>
              </w:rPr>
            </w:pPr>
            <w:r w:rsidRPr="00511918">
              <w:rPr>
                <w:rFonts w:eastAsia="Calibri"/>
                <w:b/>
                <w:bCs/>
                <w:sz w:val="16"/>
                <w:szCs w:val="16"/>
              </w:rPr>
              <w:t>Table 3. Numeric Criteria and Designated Uses</w:t>
            </w:r>
          </w:p>
        </w:tc>
      </w:tr>
      <w:tr w:rsidR="00610312" w:rsidRPr="00FA1838" w14:paraId="1A354A42" w14:textId="77777777" w:rsidTr="0088638B">
        <w:trPr>
          <w:cantSplit/>
          <w:tblHeader/>
          <w:jc w:val="center"/>
        </w:trPr>
        <w:tc>
          <w:tcPr>
            <w:tcW w:w="9877" w:type="dxa"/>
            <w:gridSpan w:val="11"/>
            <w:tcBorders>
              <w:top w:val="single" w:sz="6" w:space="0" w:color="auto"/>
              <w:left w:val="double" w:sz="6" w:space="0" w:color="auto"/>
              <w:bottom w:val="single" w:sz="6" w:space="0" w:color="auto"/>
              <w:right w:val="double" w:sz="6" w:space="0" w:color="auto"/>
            </w:tcBorders>
            <w:vAlign w:val="bottom"/>
          </w:tcPr>
          <w:p w14:paraId="6F53B821" w14:textId="77777777" w:rsidR="00610312" w:rsidRPr="00511918" w:rsidRDefault="00610312" w:rsidP="0088638B">
            <w:pPr>
              <w:rPr>
                <w:rFonts w:eastAsia="Calibri"/>
                <w:sz w:val="16"/>
                <w:szCs w:val="16"/>
              </w:rPr>
            </w:pPr>
            <w:r w:rsidRPr="00511918">
              <w:rPr>
                <w:rFonts w:eastAsia="Calibri"/>
                <w:sz w:val="16"/>
                <w:szCs w:val="16"/>
              </w:rPr>
              <w:t>A-Primary Contact Recreation; B-Secondary Contact Recreation; C-Fish And Wildlife Propagation; L-Limited Aquatic Life and Wildlife Use;</w:t>
            </w:r>
          </w:p>
          <w:p w14:paraId="79CBCAF0" w14:textId="77777777" w:rsidR="00610312" w:rsidRPr="00511918" w:rsidRDefault="00610312" w:rsidP="0088638B">
            <w:pPr>
              <w:rPr>
                <w:rFonts w:eastAsia="Calibri"/>
                <w:sz w:val="16"/>
                <w:szCs w:val="16"/>
              </w:rPr>
            </w:pPr>
            <w:r w:rsidRPr="00511918">
              <w:rPr>
                <w:rFonts w:eastAsia="Calibri"/>
                <w:sz w:val="16"/>
                <w:szCs w:val="16"/>
              </w:rPr>
              <w:t>D-Drinking Water Supply; E-Oyster Propagation; F-Agriculture; G-Outstanding Natural Resource Waters</w:t>
            </w:r>
          </w:p>
        </w:tc>
      </w:tr>
      <w:tr w:rsidR="00610312" w:rsidRPr="00FA1838" w14:paraId="4CEB109C" w14:textId="77777777" w:rsidTr="0088638B">
        <w:trPr>
          <w:cantSplit/>
          <w:tblHeader/>
          <w:jc w:val="center"/>
        </w:trPr>
        <w:tc>
          <w:tcPr>
            <w:tcW w:w="877" w:type="dxa"/>
            <w:vMerge w:val="restart"/>
            <w:tcBorders>
              <w:top w:val="single" w:sz="6" w:space="0" w:color="auto"/>
              <w:left w:val="double" w:sz="6" w:space="0" w:color="auto"/>
              <w:bottom w:val="single" w:sz="6" w:space="0" w:color="auto"/>
              <w:right w:val="single" w:sz="6" w:space="0" w:color="auto"/>
            </w:tcBorders>
            <w:vAlign w:val="bottom"/>
          </w:tcPr>
          <w:p w14:paraId="096E7D34" w14:textId="77777777" w:rsidR="00610312" w:rsidRPr="00511918" w:rsidRDefault="00610312" w:rsidP="0088638B">
            <w:pPr>
              <w:jc w:val="center"/>
              <w:rPr>
                <w:rFonts w:eastAsia="Calibri"/>
                <w:sz w:val="16"/>
                <w:szCs w:val="16"/>
              </w:rPr>
            </w:pPr>
            <w:r w:rsidRPr="00511918">
              <w:rPr>
                <w:rFonts w:eastAsia="Calibri"/>
                <w:sz w:val="16"/>
                <w:szCs w:val="16"/>
              </w:rPr>
              <w:t>Code</w:t>
            </w:r>
          </w:p>
        </w:tc>
        <w:tc>
          <w:tcPr>
            <w:tcW w:w="1440" w:type="dxa"/>
            <w:vMerge w:val="restart"/>
            <w:tcBorders>
              <w:top w:val="single" w:sz="6" w:space="0" w:color="auto"/>
              <w:left w:val="single" w:sz="6" w:space="0" w:color="auto"/>
              <w:bottom w:val="single" w:sz="6" w:space="0" w:color="auto"/>
              <w:right w:val="single" w:sz="6" w:space="0" w:color="auto"/>
            </w:tcBorders>
            <w:vAlign w:val="bottom"/>
          </w:tcPr>
          <w:p w14:paraId="6EC5E258" w14:textId="77777777" w:rsidR="00610312" w:rsidRPr="00511918" w:rsidRDefault="00610312" w:rsidP="0088638B">
            <w:pPr>
              <w:keepLines/>
              <w:jc w:val="center"/>
              <w:rPr>
                <w:rFonts w:eastAsia="Calibri"/>
                <w:sz w:val="16"/>
                <w:szCs w:val="16"/>
              </w:rPr>
            </w:pPr>
            <w:r w:rsidRPr="00511918">
              <w:rPr>
                <w:rFonts w:eastAsia="Calibri"/>
                <w:sz w:val="16"/>
                <w:szCs w:val="16"/>
              </w:rPr>
              <w:t>Stream</w:t>
            </w:r>
          </w:p>
          <w:p w14:paraId="38893B7C" w14:textId="77777777" w:rsidR="00610312" w:rsidRPr="00511918" w:rsidRDefault="00610312" w:rsidP="0088638B">
            <w:pPr>
              <w:keepNext/>
              <w:jc w:val="center"/>
              <w:rPr>
                <w:rFonts w:eastAsia="Calibri"/>
                <w:sz w:val="16"/>
                <w:szCs w:val="16"/>
              </w:rPr>
            </w:pPr>
            <w:r w:rsidRPr="00511918">
              <w:rPr>
                <w:rFonts w:eastAsia="Calibri"/>
                <w:sz w:val="16"/>
                <w:szCs w:val="16"/>
              </w:rPr>
              <w:t>Description</w:t>
            </w:r>
          </w:p>
        </w:tc>
        <w:tc>
          <w:tcPr>
            <w:tcW w:w="1260" w:type="dxa"/>
            <w:vMerge w:val="restart"/>
            <w:tcBorders>
              <w:top w:val="single" w:sz="6" w:space="0" w:color="auto"/>
              <w:left w:val="single" w:sz="6" w:space="0" w:color="auto"/>
              <w:bottom w:val="single" w:sz="6" w:space="0" w:color="auto"/>
              <w:right w:val="single" w:sz="6" w:space="0" w:color="auto"/>
            </w:tcBorders>
            <w:vAlign w:val="bottom"/>
          </w:tcPr>
          <w:p w14:paraId="03BBE515" w14:textId="77777777" w:rsidR="00610312" w:rsidRPr="00511918" w:rsidRDefault="00610312" w:rsidP="0088638B">
            <w:pPr>
              <w:jc w:val="center"/>
              <w:rPr>
                <w:rFonts w:eastAsia="Calibri"/>
                <w:sz w:val="16"/>
                <w:szCs w:val="16"/>
              </w:rPr>
            </w:pPr>
            <w:r w:rsidRPr="00511918">
              <w:rPr>
                <w:rFonts w:eastAsia="Calibri"/>
                <w:sz w:val="16"/>
                <w:szCs w:val="16"/>
              </w:rPr>
              <w:t>Designated Uses</w:t>
            </w:r>
          </w:p>
        </w:tc>
        <w:tc>
          <w:tcPr>
            <w:tcW w:w="6300" w:type="dxa"/>
            <w:gridSpan w:val="8"/>
            <w:tcBorders>
              <w:top w:val="single" w:sz="6" w:space="0" w:color="auto"/>
              <w:left w:val="single" w:sz="6" w:space="0" w:color="auto"/>
              <w:bottom w:val="single" w:sz="6" w:space="0" w:color="auto"/>
              <w:right w:val="double" w:sz="6" w:space="0" w:color="auto"/>
            </w:tcBorders>
          </w:tcPr>
          <w:p w14:paraId="5A5012B8" w14:textId="77777777" w:rsidR="00610312" w:rsidRPr="00511918" w:rsidRDefault="00610312" w:rsidP="0088638B">
            <w:pPr>
              <w:jc w:val="center"/>
              <w:rPr>
                <w:rFonts w:eastAsia="Calibri"/>
                <w:sz w:val="16"/>
                <w:szCs w:val="16"/>
              </w:rPr>
            </w:pPr>
            <w:r w:rsidRPr="00511918">
              <w:rPr>
                <w:rFonts w:eastAsia="Calibri"/>
                <w:sz w:val="16"/>
                <w:szCs w:val="16"/>
              </w:rPr>
              <w:t>Numerical Criteria</w:t>
            </w:r>
          </w:p>
        </w:tc>
      </w:tr>
      <w:tr w:rsidR="00610312" w:rsidRPr="00FA1838" w14:paraId="241BF6B1" w14:textId="77777777" w:rsidTr="0088638B">
        <w:trPr>
          <w:cantSplit/>
          <w:tblHeader/>
          <w:jc w:val="center"/>
        </w:trPr>
        <w:tc>
          <w:tcPr>
            <w:tcW w:w="877" w:type="dxa"/>
            <w:vMerge/>
            <w:tcBorders>
              <w:top w:val="single" w:sz="6" w:space="0" w:color="auto"/>
              <w:left w:val="double" w:sz="6" w:space="0" w:color="auto"/>
              <w:bottom w:val="single" w:sz="6" w:space="0" w:color="auto"/>
              <w:right w:val="single" w:sz="6" w:space="0" w:color="auto"/>
            </w:tcBorders>
          </w:tcPr>
          <w:p w14:paraId="70E8FC7F" w14:textId="77777777" w:rsidR="00610312" w:rsidRPr="00511918" w:rsidRDefault="00610312" w:rsidP="0088638B">
            <w:pPr>
              <w:rPr>
                <w:rFonts w:eastAsia="Calibri"/>
                <w:sz w:val="16"/>
                <w:szCs w:val="16"/>
              </w:rPr>
            </w:pPr>
          </w:p>
        </w:tc>
        <w:tc>
          <w:tcPr>
            <w:tcW w:w="1440" w:type="dxa"/>
            <w:vMerge/>
            <w:tcBorders>
              <w:top w:val="single" w:sz="6" w:space="0" w:color="auto"/>
              <w:left w:val="single" w:sz="6" w:space="0" w:color="auto"/>
              <w:bottom w:val="single" w:sz="6" w:space="0" w:color="auto"/>
              <w:right w:val="single" w:sz="6" w:space="0" w:color="auto"/>
            </w:tcBorders>
          </w:tcPr>
          <w:p w14:paraId="352B8D72" w14:textId="77777777" w:rsidR="00610312" w:rsidRPr="00511918" w:rsidRDefault="00610312" w:rsidP="0088638B">
            <w:pPr>
              <w:rPr>
                <w:rFonts w:eastAsia="Calibri"/>
                <w:sz w:val="16"/>
                <w:szCs w:val="16"/>
              </w:rPr>
            </w:pPr>
          </w:p>
        </w:tc>
        <w:tc>
          <w:tcPr>
            <w:tcW w:w="1260" w:type="dxa"/>
            <w:vMerge/>
            <w:tcBorders>
              <w:top w:val="single" w:sz="6" w:space="0" w:color="auto"/>
              <w:left w:val="single" w:sz="6" w:space="0" w:color="auto"/>
              <w:bottom w:val="single" w:sz="6" w:space="0" w:color="auto"/>
              <w:right w:val="single" w:sz="6" w:space="0" w:color="auto"/>
            </w:tcBorders>
          </w:tcPr>
          <w:p w14:paraId="62DE2B40" w14:textId="77777777" w:rsidR="00610312" w:rsidRPr="00511918" w:rsidRDefault="00610312" w:rsidP="0088638B">
            <w:pPr>
              <w:rPr>
                <w:rFonts w:eastAsia="Calibri"/>
                <w:sz w:val="16"/>
                <w:szCs w:val="16"/>
              </w:rPr>
            </w:pPr>
          </w:p>
        </w:tc>
        <w:tc>
          <w:tcPr>
            <w:tcW w:w="780" w:type="dxa"/>
            <w:tcBorders>
              <w:top w:val="single" w:sz="6" w:space="0" w:color="auto"/>
              <w:left w:val="single" w:sz="6" w:space="0" w:color="auto"/>
              <w:bottom w:val="single" w:sz="6" w:space="0" w:color="auto"/>
              <w:right w:val="single" w:sz="6" w:space="0" w:color="auto"/>
            </w:tcBorders>
          </w:tcPr>
          <w:p w14:paraId="002E121E" w14:textId="77777777" w:rsidR="00610312" w:rsidRPr="00511918" w:rsidRDefault="00610312" w:rsidP="0088638B">
            <w:pPr>
              <w:jc w:val="center"/>
              <w:rPr>
                <w:rFonts w:eastAsia="Calibri"/>
                <w:sz w:val="16"/>
                <w:szCs w:val="16"/>
              </w:rPr>
            </w:pPr>
            <w:r w:rsidRPr="00511918">
              <w:rPr>
                <w:rFonts w:eastAsia="Calibri"/>
                <w:sz w:val="16"/>
                <w:szCs w:val="16"/>
              </w:rPr>
              <w:t>CL</w:t>
            </w:r>
          </w:p>
        </w:tc>
        <w:tc>
          <w:tcPr>
            <w:tcW w:w="675" w:type="dxa"/>
            <w:tcBorders>
              <w:top w:val="single" w:sz="6" w:space="0" w:color="auto"/>
              <w:left w:val="single" w:sz="6" w:space="0" w:color="auto"/>
              <w:bottom w:val="single" w:sz="6" w:space="0" w:color="auto"/>
              <w:right w:val="single" w:sz="6" w:space="0" w:color="auto"/>
            </w:tcBorders>
          </w:tcPr>
          <w:p w14:paraId="0279B08A" w14:textId="77777777" w:rsidR="00610312" w:rsidRPr="00511918" w:rsidRDefault="00610312" w:rsidP="0088638B">
            <w:pPr>
              <w:jc w:val="center"/>
              <w:rPr>
                <w:rFonts w:eastAsia="Calibri"/>
                <w:sz w:val="16"/>
                <w:szCs w:val="16"/>
              </w:rPr>
            </w:pPr>
            <w:r w:rsidRPr="00511918">
              <w:rPr>
                <w:rFonts w:eastAsia="Calibri"/>
                <w:sz w:val="16"/>
                <w:szCs w:val="16"/>
              </w:rPr>
              <w:t>SO</w:t>
            </w:r>
            <w:r w:rsidRPr="00511918">
              <w:rPr>
                <w:rFonts w:eastAsia="Calibri"/>
                <w:sz w:val="16"/>
                <w:szCs w:val="16"/>
                <w:vertAlign w:val="subscript"/>
              </w:rPr>
              <w:t>4</w:t>
            </w:r>
          </w:p>
        </w:tc>
        <w:tc>
          <w:tcPr>
            <w:tcW w:w="630" w:type="dxa"/>
            <w:tcBorders>
              <w:top w:val="single" w:sz="6" w:space="0" w:color="auto"/>
              <w:left w:val="single" w:sz="6" w:space="0" w:color="auto"/>
              <w:bottom w:val="single" w:sz="6" w:space="0" w:color="auto"/>
              <w:right w:val="single" w:sz="6" w:space="0" w:color="auto"/>
            </w:tcBorders>
          </w:tcPr>
          <w:p w14:paraId="117654FC" w14:textId="77777777" w:rsidR="00610312" w:rsidRPr="00511918" w:rsidRDefault="00610312" w:rsidP="0088638B">
            <w:pPr>
              <w:jc w:val="center"/>
              <w:rPr>
                <w:rFonts w:eastAsia="Calibri"/>
                <w:sz w:val="16"/>
                <w:szCs w:val="16"/>
              </w:rPr>
            </w:pPr>
            <w:r w:rsidRPr="00511918">
              <w:rPr>
                <w:rFonts w:eastAsia="Calibri"/>
                <w:sz w:val="16"/>
                <w:szCs w:val="16"/>
              </w:rPr>
              <w:t>DO</w:t>
            </w:r>
          </w:p>
        </w:tc>
        <w:tc>
          <w:tcPr>
            <w:tcW w:w="897" w:type="dxa"/>
            <w:tcBorders>
              <w:top w:val="single" w:sz="6" w:space="0" w:color="auto"/>
              <w:left w:val="single" w:sz="6" w:space="0" w:color="auto"/>
              <w:bottom w:val="single" w:sz="6" w:space="0" w:color="auto"/>
              <w:right w:val="single" w:sz="6" w:space="0" w:color="auto"/>
            </w:tcBorders>
          </w:tcPr>
          <w:p w14:paraId="03A707E7" w14:textId="77777777" w:rsidR="00610312" w:rsidRPr="00511918" w:rsidRDefault="00610312" w:rsidP="0088638B">
            <w:pPr>
              <w:jc w:val="center"/>
              <w:rPr>
                <w:rFonts w:eastAsia="Calibri"/>
                <w:sz w:val="16"/>
                <w:szCs w:val="16"/>
              </w:rPr>
            </w:pPr>
            <w:r w:rsidRPr="00511918">
              <w:rPr>
                <w:rFonts w:eastAsia="Calibri"/>
                <w:sz w:val="16"/>
                <w:szCs w:val="16"/>
              </w:rPr>
              <w:t>pH</w:t>
            </w:r>
          </w:p>
        </w:tc>
        <w:tc>
          <w:tcPr>
            <w:tcW w:w="708" w:type="dxa"/>
            <w:tcBorders>
              <w:top w:val="single" w:sz="6" w:space="0" w:color="auto"/>
              <w:left w:val="single" w:sz="6" w:space="0" w:color="auto"/>
              <w:bottom w:val="single" w:sz="6" w:space="0" w:color="auto"/>
              <w:right w:val="single" w:sz="6" w:space="0" w:color="auto"/>
            </w:tcBorders>
          </w:tcPr>
          <w:p w14:paraId="39E6DDA1" w14:textId="77777777" w:rsidR="00610312" w:rsidRPr="00511918" w:rsidRDefault="00610312" w:rsidP="0088638B">
            <w:pPr>
              <w:jc w:val="center"/>
              <w:rPr>
                <w:rFonts w:eastAsia="Calibri"/>
                <w:sz w:val="16"/>
                <w:szCs w:val="16"/>
              </w:rPr>
            </w:pPr>
            <w:r w:rsidRPr="00511918">
              <w:rPr>
                <w:rFonts w:eastAsia="Calibri"/>
                <w:sz w:val="16"/>
                <w:szCs w:val="16"/>
              </w:rPr>
              <w:t>BAC</w:t>
            </w:r>
          </w:p>
        </w:tc>
        <w:tc>
          <w:tcPr>
            <w:tcW w:w="540" w:type="dxa"/>
            <w:tcBorders>
              <w:top w:val="single" w:sz="6" w:space="0" w:color="auto"/>
              <w:left w:val="single" w:sz="6" w:space="0" w:color="auto"/>
              <w:bottom w:val="single" w:sz="6" w:space="0" w:color="auto"/>
              <w:right w:val="single" w:sz="6" w:space="0" w:color="auto"/>
            </w:tcBorders>
          </w:tcPr>
          <w:p w14:paraId="68D14E3A" w14:textId="77777777" w:rsidR="00610312" w:rsidRPr="00511918" w:rsidRDefault="00610312" w:rsidP="0088638B">
            <w:pPr>
              <w:jc w:val="center"/>
              <w:rPr>
                <w:rFonts w:eastAsia="Calibri"/>
                <w:sz w:val="16"/>
                <w:szCs w:val="16"/>
              </w:rPr>
            </w:pPr>
            <w:r w:rsidRPr="00511918">
              <w:rPr>
                <w:rFonts w:eastAsia="Calibri"/>
                <w:sz w:val="16"/>
                <w:szCs w:val="16"/>
              </w:rPr>
              <w:t>°C</w:t>
            </w:r>
          </w:p>
        </w:tc>
        <w:tc>
          <w:tcPr>
            <w:tcW w:w="630" w:type="dxa"/>
            <w:tcBorders>
              <w:top w:val="single" w:sz="6" w:space="0" w:color="auto"/>
              <w:left w:val="single" w:sz="6" w:space="0" w:color="auto"/>
              <w:bottom w:val="single" w:sz="6" w:space="0" w:color="auto"/>
              <w:right w:val="single" w:sz="6" w:space="0" w:color="auto"/>
            </w:tcBorders>
          </w:tcPr>
          <w:p w14:paraId="40B2FC69" w14:textId="77777777" w:rsidR="00610312" w:rsidRPr="00511918" w:rsidRDefault="00610312" w:rsidP="0088638B">
            <w:pPr>
              <w:jc w:val="center"/>
              <w:rPr>
                <w:rFonts w:eastAsia="Calibri"/>
                <w:sz w:val="16"/>
                <w:szCs w:val="16"/>
              </w:rPr>
            </w:pPr>
            <w:r w:rsidRPr="00511918">
              <w:rPr>
                <w:rFonts w:eastAsia="Calibri"/>
                <w:sz w:val="16"/>
                <w:szCs w:val="16"/>
              </w:rPr>
              <w:t>TDS</w:t>
            </w:r>
          </w:p>
        </w:tc>
        <w:tc>
          <w:tcPr>
            <w:tcW w:w="1440" w:type="dxa"/>
            <w:tcBorders>
              <w:top w:val="single" w:sz="6" w:space="0" w:color="auto"/>
              <w:left w:val="single" w:sz="6" w:space="0" w:color="auto"/>
              <w:bottom w:val="single" w:sz="6" w:space="0" w:color="auto"/>
              <w:right w:val="double" w:sz="6" w:space="0" w:color="auto"/>
            </w:tcBorders>
          </w:tcPr>
          <w:p w14:paraId="2D8A0CDB" w14:textId="77777777" w:rsidR="00610312" w:rsidRPr="00511918" w:rsidRDefault="00610312" w:rsidP="0088638B">
            <w:pPr>
              <w:jc w:val="center"/>
              <w:rPr>
                <w:rFonts w:eastAsia="Calibri"/>
                <w:sz w:val="16"/>
                <w:szCs w:val="16"/>
              </w:rPr>
            </w:pPr>
            <w:r w:rsidRPr="00511918">
              <w:rPr>
                <w:rFonts w:eastAsia="Calibri"/>
                <w:sz w:val="16"/>
                <w:szCs w:val="16"/>
              </w:rPr>
              <w:t>Turbidity</w:t>
            </w:r>
          </w:p>
        </w:tc>
      </w:tr>
      <w:tr w:rsidR="00610312" w:rsidRPr="00FA1838" w14:paraId="55106C57"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cPr>
          <w:p w14:paraId="5FD3A291" w14:textId="77777777" w:rsidR="00610312" w:rsidRPr="00511918" w:rsidRDefault="00610312" w:rsidP="0088638B">
            <w:pPr>
              <w:jc w:val="center"/>
              <w:rPr>
                <w:rFonts w:eastAsia="Calibri"/>
                <w:b/>
                <w:sz w:val="16"/>
                <w:szCs w:val="16"/>
              </w:rPr>
            </w:pPr>
            <w:r w:rsidRPr="00511918">
              <w:rPr>
                <w:rFonts w:eastAsia="Calibri"/>
                <w:b/>
                <w:sz w:val="16"/>
                <w:szCs w:val="16"/>
              </w:rPr>
              <w:t>Atchafalaya River Basin (01)</w:t>
            </w:r>
          </w:p>
        </w:tc>
      </w:tr>
      <w:tr w:rsidR="00610312" w:rsidRPr="00FA1838" w14:paraId="4BD4C7AF"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7219335F"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17D3EC3"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3CFD6E4C" w14:textId="77777777" w:rsidR="00610312" w:rsidRPr="00511918" w:rsidRDefault="00610312" w:rsidP="0088638B">
            <w:pPr>
              <w:jc w:val="center"/>
              <w:rPr>
                <w:rFonts w:eastAsia="Calibri"/>
                <w:b/>
                <w:sz w:val="16"/>
                <w:szCs w:val="16"/>
              </w:rPr>
            </w:pPr>
            <w:r w:rsidRPr="00511918">
              <w:rPr>
                <w:rFonts w:eastAsia="Calibri"/>
                <w:b/>
                <w:sz w:val="16"/>
                <w:szCs w:val="16"/>
              </w:rPr>
              <w:t>Barataria Basin (02)</w:t>
            </w:r>
          </w:p>
        </w:tc>
      </w:tr>
      <w:tr w:rsidR="00610312" w:rsidRPr="00FA1838" w14:paraId="7D734EA7"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1CDDA0EC"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0B4B29E" w14:textId="77777777" w:rsidTr="0088638B">
        <w:trPr>
          <w:cantSplit/>
          <w:jc w:val="center"/>
        </w:trPr>
        <w:tc>
          <w:tcPr>
            <w:tcW w:w="877" w:type="dxa"/>
            <w:tcBorders>
              <w:top w:val="single" w:sz="6" w:space="0" w:color="auto"/>
              <w:left w:val="double" w:sz="6" w:space="0" w:color="auto"/>
              <w:bottom w:val="single" w:sz="6" w:space="0" w:color="auto"/>
              <w:right w:val="single" w:sz="6" w:space="0" w:color="auto"/>
            </w:tcBorders>
          </w:tcPr>
          <w:p w14:paraId="4B9D6377" w14:textId="77777777" w:rsidR="00610312" w:rsidRPr="00511918" w:rsidRDefault="00610312" w:rsidP="0088638B">
            <w:pPr>
              <w:jc w:val="center"/>
              <w:rPr>
                <w:rFonts w:eastAsia="Calibri"/>
                <w:sz w:val="16"/>
                <w:szCs w:val="16"/>
              </w:rPr>
            </w:pPr>
            <w:r w:rsidRPr="00511918">
              <w:rPr>
                <w:rFonts w:eastAsia="Calibri"/>
                <w:sz w:val="16"/>
                <w:szCs w:val="16"/>
              </w:rPr>
              <w:t>021101</w:t>
            </w:r>
          </w:p>
        </w:tc>
        <w:tc>
          <w:tcPr>
            <w:tcW w:w="1440" w:type="dxa"/>
            <w:tcBorders>
              <w:top w:val="single" w:sz="6" w:space="0" w:color="auto"/>
              <w:left w:val="single" w:sz="6" w:space="0" w:color="auto"/>
              <w:bottom w:val="single" w:sz="6" w:space="0" w:color="auto"/>
              <w:right w:val="single" w:sz="6" w:space="0" w:color="auto"/>
            </w:tcBorders>
          </w:tcPr>
          <w:p w14:paraId="6FFD9D60" w14:textId="77777777" w:rsidR="00610312" w:rsidRPr="00511918" w:rsidRDefault="00610312" w:rsidP="0088638B">
            <w:pPr>
              <w:jc w:val="center"/>
              <w:rPr>
                <w:rFonts w:eastAsia="Calibri"/>
                <w:sz w:val="16"/>
                <w:szCs w:val="16"/>
              </w:rPr>
            </w:pPr>
            <w:r w:rsidRPr="00511918">
              <w:rPr>
                <w:rFonts w:eastAsia="Calibri"/>
                <w:sz w:val="16"/>
                <w:szCs w:val="16"/>
              </w:rPr>
              <w:t>Barataria Bay; includes Caminada Bay, Hackberry Bay, Bay Batiste, and Bay Long (Estuarine)</w:t>
            </w:r>
          </w:p>
        </w:tc>
        <w:tc>
          <w:tcPr>
            <w:tcW w:w="1260" w:type="dxa"/>
            <w:tcBorders>
              <w:top w:val="single" w:sz="6" w:space="0" w:color="auto"/>
              <w:left w:val="single" w:sz="6" w:space="0" w:color="auto"/>
              <w:bottom w:val="single" w:sz="6" w:space="0" w:color="auto"/>
              <w:right w:val="single" w:sz="6" w:space="0" w:color="auto"/>
            </w:tcBorders>
          </w:tcPr>
          <w:p w14:paraId="6F8B6136" w14:textId="77777777" w:rsidR="00610312" w:rsidRPr="00511918" w:rsidRDefault="00610312" w:rsidP="0088638B">
            <w:pPr>
              <w:jc w:val="center"/>
              <w:rPr>
                <w:rFonts w:eastAsia="Calibri"/>
                <w:sz w:val="16"/>
                <w:szCs w:val="16"/>
              </w:rPr>
            </w:pPr>
            <w:r w:rsidRPr="00511918">
              <w:rPr>
                <w:rFonts w:eastAsia="Calibri"/>
                <w:sz w:val="16"/>
                <w:szCs w:val="16"/>
              </w:rPr>
              <w:t>A B C E</w:t>
            </w:r>
          </w:p>
        </w:tc>
        <w:tc>
          <w:tcPr>
            <w:tcW w:w="780" w:type="dxa"/>
            <w:tcBorders>
              <w:top w:val="single" w:sz="6" w:space="0" w:color="auto"/>
              <w:left w:val="single" w:sz="6" w:space="0" w:color="auto"/>
              <w:bottom w:val="single" w:sz="6" w:space="0" w:color="auto"/>
              <w:right w:val="single" w:sz="6" w:space="0" w:color="auto"/>
            </w:tcBorders>
          </w:tcPr>
          <w:p w14:paraId="511D3FD7" w14:textId="77777777" w:rsidR="00610312" w:rsidRPr="00511918" w:rsidRDefault="00610312" w:rsidP="0088638B">
            <w:pPr>
              <w:jc w:val="center"/>
              <w:rPr>
                <w:rFonts w:eastAsia="Calibri"/>
                <w:sz w:val="16"/>
                <w:szCs w:val="16"/>
              </w:rPr>
            </w:pPr>
            <w:r w:rsidRPr="00511918">
              <w:rPr>
                <w:rFonts w:eastAsia="Calibri"/>
                <w:sz w:val="16"/>
                <w:szCs w:val="16"/>
              </w:rPr>
              <w:t>N/A</w:t>
            </w:r>
          </w:p>
        </w:tc>
        <w:tc>
          <w:tcPr>
            <w:tcW w:w="675" w:type="dxa"/>
            <w:tcBorders>
              <w:top w:val="single" w:sz="6" w:space="0" w:color="auto"/>
              <w:left w:val="single" w:sz="6" w:space="0" w:color="auto"/>
              <w:bottom w:val="single" w:sz="6" w:space="0" w:color="auto"/>
              <w:right w:val="single" w:sz="6" w:space="0" w:color="auto"/>
            </w:tcBorders>
          </w:tcPr>
          <w:p w14:paraId="6A26F23F" w14:textId="77777777" w:rsidR="00610312" w:rsidRPr="00511918" w:rsidRDefault="00610312" w:rsidP="0088638B">
            <w:pPr>
              <w:jc w:val="center"/>
              <w:rPr>
                <w:rFonts w:eastAsia="Calibri"/>
                <w:sz w:val="16"/>
                <w:szCs w:val="16"/>
              </w:rPr>
            </w:pPr>
            <w:r w:rsidRPr="00511918">
              <w:rPr>
                <w:rFonts w:eastAsia="Calibri"/>
                <w:sz w:val="16"/>
                <w:szCs w:val="16"/>
              </w:rPr>
              <w:t>N/A</w:t>
            </w:r>
          </w:p>
        </w:tc>
        <w:tc>
          <w:tcPr>
            <w:tcW w:w="630" w:type="dxa"/>
            <w:tcBorders>
              <w:top w:val="single" w:sz="6" w:space="0" w:color="auto"/>
              <w:left w:val="single" w:sz="6" w:space="0" w:color="auto"/>
              <w:bottom w:val="single" w:sz="6" w:space="0" w:color="auto"/>
              <w:right w:val="single" w:sz="6" w:space="0" w:color="auto"/>
            </w:tcBorders>
          </w:tcPr>
          <w:p w14:paraId="73283E3D" w14:textId="77777777" w:rsidR="00610312" w:rsidRPr="00511918" w:rsidRDefault="00610312" w:rsidP="0088638B">
            <w:pPr>
              <w:jc w:val="center"/>
              <w:rPr>
                <w:rFonts w:eastAsia="Calibri"/>
                <w:sz w:val="16"/>
                <w:szCs w:val="16"/>
              </w:rPr>
            </w:pPr>
            <w:r w:rsidRPr="00511918">
              <w:rPr>
                <w:rFonts w:eastAsia="Calibri"/>
                <w:sz w:val="16"/>
                <w:szCs w:val="16"/>
              </w:rPr>
              <w:t>4.0</w:t>
            </w:r>
          </w:p>
        </w:tc>
        <w:tc>
          <w:tcPr>
            <w:tcW w:w="897" w:type="dxa"/>
            <w:tcBorders>
              <w:top w:val="single" w:sz="6" w:space="0" w:color="auto"/>
              <w:left w:val="single" w:sz="6" w:space="0" w:color="auto"/>
              <w:bottom w:val="single" w:sz="6" w:space="0" w:color="auto"/>
              <w:right w:val="single" w:sz="6" w:space="0" w:color="auto"/>
            </w:tcBorders>
          </w:tcPr>
          <w:p w14:paraId="69E8A4D1" w14:textId="77777777" w:rsidR="00610312" w:rsidRPr="00511918" w:rsidRDefault="00610312" w:rsidP="0088638B">
            <w:pPr>
              <w:jc w:val="center"/>
              <w:rPr>
                <w:rFonts w:eastAsia="Calibri"/>
                <w:sz w:val="16"/>
                <w:szCs w:val="16"/>
              </w:rPr>
            </w:pPr>
            <w:r w:rsidRPr="00511918">
              <w:rPr>
                <w:rFonts w:eastAsia="Calibri"/>
                <w:sz w:val="16"/>
                <w:szCs w:val="16"/>
              </w:rPr>
              <w:t>6.5-9.0</w:t>
            </w:r>
          </w:p>
        </w:tc>
        <w:tc>
          <w:tcPr>
            <w:tcW w:w="708" w:type="dxa"/>
            <w:tcBorders>
              <w:top w:val="single" w:sz="6" w:space="0" w:color="auto"/>
              <w:left w:val="single" w:sz="6" w:space="0" w:color="auto"/>
              <w:bottom w:val="single" w:sz="6" w:space="0" w:color="auto"/>
              <w:right w:val="single" w:sz="6" w:space="0" w:color="auto"/>
            </w:tcBorders>
          </w:tcPr>
          <w:p w14:paraId="1D07CD1B" w14:textId="77777777" w:rsidR="00610312" w:rsidRPr="00511918" w:rsidRDefault="00610312" w:rsidP="0088638B">
            <w:pPr>
              <w:jc w:val="center"/>
              <w:rPr>
                <w:rFonts w:eastAsia="Calibri"/>
                <w:sz w:val="16"/>
                <w:szCs w:val="16"/>
              </w:rPr>
            </w:pPr>
            <w:r w:rsidRPr="00511918">
              <w:rPr>
                <w:rFonts w:eastAsia="Calibri"/>
                <w:sz w:val="16"/>
                <w:szCs w:val="16"/>
              </w:rPr>
              <w:t>4</w:t>
            </w:r>
          </w:p>
          <w:p w14:paraId="4F543CDB" w14:textId="77777777" w:rsidR="00610312" w:rsidRPr="00511918" w:rsidRDefault="00610312" w:rsidP="0088638B">
            <w:pPr>
              <w:jc w:val="center"/>
              <w:rPr>
                <w:rFonts w:eastAsia="Calibri"/>
                <w:sz w:val="16"/>
                <w:szCs w:val="16"/>
              </w:rPr>
            </w:pPr>
            <w:r w:rsidRPr="00511918">
              <w:rPr>
                <w:rFonts w:eastAsia="Calibri"/>
                <w:sz w:val="16"/>
                <w:szCs w:val="16"/>
              </w:rPr>
              <w:t>[25]</w:t>
            </w:r>
          </w:p>
        </w:tc>
        <w:tc>
          <w:tcPr>
            <w:tcW w:w="540" w:type="dxa"/>
            <w:tcBorders>
              <w:top w:val="single" w:sz="6" w:space="0" w:color="auto"/>
              <w:left w:val="single" w:sz="6" w:space="0" w:color="auto"/>
              <w:bottom w:val="single" w:sz="6" w:space="0" w:color="auto"/>
              <w:right w:val="single" w:sz="6" w:space="0" w:color="auto"/>
            </w:tcBorders>
          </w:tcPr>
          <w:p w14:paraId="6DAF724D" w14:textId="77777777" w:rsidR="00610312" w:rsidRPr="00511918" w:rsidRDefault="00610312" w:rsidP="0088638B">
            <w:pPr>
              <w:jc w:val="center"/>
              <w:rPr>
                <w:rFonts w:eastAsia="Calibri"/>
                <w:sz w:val="16"/>
                <w:szCs w:val="16"/>
              </w:rPr>
            </w:pPr>
            <w:r w:rsidRPr="00511918">
              <w:rPr>
                <w:rFonts w:eastAsia="Calibri"/>
                <w:sz w:val="16"/>
                <w:szCs w:val="16"/>
              </w:rPr>
              <w:t>35</w:t>
            </w:r>
          </w:p>
        </w:tc>
        <w:tc>
          <w:tcPr>
            <w:tcW w:w="630" w:type="dxa"/>
            <w:tcBorders>
              <w:top w:val="single" w:sz="6" w:space="0" w:color="auto"/>
              <w:left w:val="single" w:sz="6" w:space="0" w:color="auto"/>
              <w:bottom w:val="single" w:sz="6" w:space="0" w:color="auto"/>
              <w:right w:val="single" w:sz="6" w:space="0" w:color="auto"/>
            </w:tcBorders>
          </w:tcPr>
          <w:p w14:paraId="7EC0DE84" w14:textId="77777777" w:rsidR="00610312" w:rsidRPr="00511918" w:rsidRDefault="00610312" w:rsidP="0088638B">
            <w:pPr>
              <w:jc w:val="center"/>
              <w:rPr>
                <w:rFonts w:eastAsia="Calibri"/>
                <w:sz w:val="16"/>
                <w:szCs w:val="16"/>
              </w:rPr>
            </w:pPr>
            <w:r w:rsidRPr="00511918">
              <w:rPr>
                <w:rFonts w:eastAsia="Calibri"/>
                <w:sz w:val="16"/>
                <w:szCs w:val="16"/>
              </w:rPr>
              <w:t>N/A</w:t>
            </w:r>
          </w:p>
        </w:tc>
        <w:tc>
          <w:tcPr>
            <w:tcW w:w="1440" w:type="dxa"/>
            <w:tcBorders>
              <w:top w:val="single" w:sz="6" w:space="0" w:color="auto"/>
              <w:left w:val="single" w:sz="6" w:space="0" w:color="auto"/>
              <w:bottom w:val="single" w:sz="6" w:space="0" w:color="auto"/>
              <w:right w:val="double" w:sz="6" w:space="0" w:color="auto"/>
            </w:tcBorders>
          </w:tcPr>
          <w:p w14:paraId="4825798B" w14:textId="77777777" w:rsidR="00610312" w:rsidRPr="00511918" w:rsidRDefault="00610312" w:rsidP="0088638B">
            <w:pPr>
              <w:jc w:val="center"/>
              <w:rPr>
                <w:rFonts w:eastAsia="Calibri"/>
                <w:sz w:val="16"/>
                <w:szCs w:val="16"/>
              </w:rPr>
            </w:pPr>
            <w:r w:rsidRPr="00511918">
              <w:rPr>
                <w:rFonts w:eastAsia="Calibri"/>
                <w:sz w:val="16"/>
                <w:szCs w:val="16"/>
              </w:rPr>
              <w:t>[26]</w:t>
            </w:r>
          </w:p>
        </w:tc>
      </w:tr>
      <w:tr w:rsidR="00610312" w:rsidRPr="00FA1838" w14:paraId="0B85AB19"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F355189" w14:textId="77777777" w:rsidR="00610312" w:rsidRPr="00511918" w:rsidRDefault="00610312" w:rsidP="0088638B">
            <w:pPr>
              <w:jc w:val="center"/>
              <w:rPr>
                <w:rFonts w:eastAsia="Calibri"/>
                <w:sz w:val="16"/>
                <w:szCs w:val="16"/>
              </w:rPr>
            </w:pPr>
            <w:r>
              <w:rPr>
                <w:rFonts w:eastAsia="Calibri"/>
                <w:sz w:val="16"/>
                <w:szCs w:val="16"/>
              </w:rPr>
              <w:t>* * *</w:t>
            </w:r>
          </w:p>
        </w:tc>
      </w:tr>
      <w:tr w:rsidR="00610312" w:rsidRPr="00FA1838" w14:paraId="2F70E12F"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220185A5" w14:textId="77777777" w:rsidR="00610312" w:rsidRPr="00511918" w:rsidRDefault="00610312" w:rsidP="0088638B">
            <w:pPr>
              <w:jc w:val="center"/>
              <w:rPr>
                <w:rFonts w:eastAsia="Calibri"/>
                <w:b/>
                <w:sz w:val="16"/>
                <w:szCs w:val="16"/>
              </w:rPr>
            </w:pPr>
            <w:r w:rsidRPr="00511918">
              <w:rPr>
                <w:rFonts w:eastAsia="Calibri"/>
                <w:b/>
                <w:sz w:val="16"/>
                <w:szCs w:val="16"/>
              </w:rPr>
              <w:t>Calcasieu River Basin (03)</w:t>
            </w:r>
          </w:p>
        </w:tc>
      </w:tr>
      <w:tr w:rsidR="00610312" w:rsidRPr="00FA1838" w14:paraId="5A63FB27" w14:textId="77777777" w:rsidTr="0088638B">
        <w:trPr>
          <w:cantSplit/>
          <w:trHeight w:hRule="exact" w:val="429"/>
          <w:jc w:val="center"/>
        </w:trPr>
        <w:tc>
          <w:tcPr>
            <w:tcW w:w="9877" w:type="dxa"/>
            <w:gridSpan w:val="11"/>
            <w:tcBorders>
              <w:top w:val="single" w:sz="6" w:space="0" w:color="auto"/>
              <w:left w:val="double" w:sz="6" w:space="0" w:color="auto"/>
              <w:bottom w:val="single" w:sz="6" w:space="0" w:color="auto"/>
              <w:right w:val="double" w:sz="6" w:space="0" w:color="auto"/>
            </w:tcBorders>
          </w:tcPr>
          <w:p w14:paraId="187BA48A"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46632C44"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48A6E9C6" w14:textId="77777777" w:rsidR="00610312" w:rsidRPr="00511918" w:rsidRDefault="00610312" w:rsidP="0088638B">
            <w:pPr>
              <w:jc w:val="center"/>
              <w:rPr>
                <w:rFonts w:eastAsia="Calibri"/>
                <w:b/>
                <w:sz w:val="16"/>
                <w:szCs w:val="16"/>
              </w:rPr>
            </w:pPr>
            <w:r w:rsidRPr="00511918">
              <w:rPr>
                <w:rFonts w:eastAsia="Calibri"/>
                <w:b/>
                <w:sz w:val="16"/>
                <w:szCs w:val="16"/>
              </w:rPr>
              <w:t>Lake Pontchartrain Basin (04)</w:t>
            </w:r>
          </w:p>
        </w:tc>
      </w:tr>
      <w:tr w:rsidR="00610312" w:rsidRPr="00FA1838" w14:paraId="2FBFD85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65A616A6"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35304FE9"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6DDC3D80" w14:textId="77777777" w:rsidR="00610312" w:rsidRPr="00511918" w:rsidRDefault="00610312" w:rsidP="0088638B">
            <w:pPr>
              <w:jc w:val="center"/>
              <w:rPr>
                <w:rFonts w:eastAsia="Calibri"/>
                <w:b/>
                <w:sz w:val="16"/>
                <w:szCs w:val="16"/>
              </w:rPr>
            </w:pPr>
            <w:r w:rsidRPr="00511918">
              <w:rPr>
                <w:rFonts w:eastAsia="Calibri"/>
                <w:b/>
                <w:sz w:val="16"/>
                <w:szCs w:val="16"/>
              </w:rPr>
              <w:t>Mermentau River Basin (05)</w:t>
            </w:r>
          </w:p>
        </w:tc>
      </w:tr>
      <w:tr w:rsidR="00610312" w:rsidRPr="00FA1838" w14:paraId="703D2871"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19767397"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028A268F"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754566EA" w14:textId="77777777" w:rsidR="00610312" w:rsidRPr="00511918" w:rsidRDefault="00610312" w:rsidP="0088638B">
            <w:pPr>
              <w:jc w:val="center"/>
              <w:rPr>
                <w:rFonts w:eastAsia="Calibri"/>
                <w:b/>
                <w:sz w:val="16"/>
                <w:szCs w:val="16"/>
              </w:rPr>
            </w:pPr>
            <w:r w:rsidRPr="00511918">
              <w:rPr>
                <w:rFonts w:eastAsia="Calibri"/>
                <w:b/>
                <w:sz w:val="16"/>
                <w:szCs w:val="16"/>
              </w:rPr>
              <w:t>Vermilion-Teche River Basin (06)</w:t>
            </w:r>
          </w:p>
        </w:tc>
      </w:tr>
      <w:tr w:rsidR="00610312" w:rsidRPr="00FA1838" w14:paraId="5B93556E"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8F5DFB2"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7B7626E"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3E413C69" w14:textId="77777777" w:rsidR="00610312" w:rsidRPr="00511918" w:rsidRDefault="00610312" w:rsidP="0088638B">
            <w:pPr>
              <w:jc w:val="center"/>
              <w:rPr>
                <w:rFonts w:eastAsia="Calibri"/>
                <w:bCs/>
                <w:sz w:val="16"/>
                <w:szCs w:val="16"/>
              </w:rPr>
            </w:pPr>
            <w:r w:rsidRPr="00511918">
              <w:rPr>
                <w:rFonts w:eastAsia="Calibri"/>
                <w:b/>
                <w:sz w:val="16"/>
                <w:szCs w:val="16"/>
              </w:rPr>
              <w:t>Mississippi River Basin (07)</w:t>
            </w:r>
          </w:p>
        </w:tc>
      </w:tr>
      <w:tr w:rsidR="00610312" w:rsidRPr="00FA1838" w14:paraId="44D20314"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1481172"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1ABCC91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47CCE6BD" w14:textId="77777777" w:rsidR="00610312" w:rsidRPr="00511918" w:rsidRDefault="00610312" w:rsidP="0088638B">
            <w:pPr>
              <w:jc w:val="center"/>
              <w:rPr>
                <w:rFonts w:eastAsia="Calibri"/>
                <w:b/>
                <w:sz w:val="16"/>
                <w:szCs w:val="16"/>
              </w:rPr>
            </w:pPr>
            <w:r w:rsidRPr="00511918">
              <w:rPr>
                <w:rFonts w:eastAsia="Calibri"/>
                <w:b/>
                <w:sz w:val="16"/>
                <w:szCs w:val="16"/>
              </w:rPr>
              <w:t>Ouachita River Basin (08)</w:t>
            </w:r>
          </w:p>
        </w:tc>
      </w:tr>
      <w:tr w:rsidR="00610312" w:rsidRPr="00FA1838" w14:paraId="4ED6240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577C18F4"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7FF61E26"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0831F7A5" w14:textId="77777777" w:rsidR="00610312" w:rsidRPr="00511918" w:rsidRDefault="00610312" w:rsidP="0088638B">
            <w:pPr>
              <w:jc w:val="center"/>
              <w:rPr>
                <w:rFonts w:eastAsia="Calibri"/>
                <w:b/>
                <w:sz w:val="16"/>
                <w:szCs w:val="16"/>
              </w:rPr>
            </w:pPr>
            <w:r w:rsidRPr="00511918">
              <w:rPr>
                <w:rFonts w:eastAsia="Calibri"/>
                <w:b/>
                <w:sz w:val="16"/>
                <w:szCs w:val="16"/>
              </w:rPr>
              <w:t>Pearl River Basin (09)</w:t>
            </w:r>
          </w:p>
        </w:tc>
      </w:tr>
      <w:tr w:rsidR="00610312" w:rsidRPr="00FA1838" w14:paraId="45179CF1"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1FEF9443"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4FA18364"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35EC91C8" w14:textId="77777777" w:rsidR="00610312" w:rsidRPr="00511918" w:rsidRDefault="00610312" w:rsidP="0088638B">
            <w:pPr>
              <w:jc w:val="center"/>
              <w:rPr>
                <w:rFonts w:eastAsia="Calibri"/>
                <w:b/>
                <w:sz w:val="16"/>
                <w:szCs w:val="16"/>
              </w:rPr>
            </w:pPr>
            <w:r w:rsidRPr="00511918">
              <w:rPr>
                <w:rFonts w:eastAsia="Calibri"/>
                <w:b/>
                <w:sz w:val="16"/>
                <w:szCs w:val="16"/>
              </w:rPr>
              <w:t>Red River Basin (10)</w:t>
            </w:r>
          </w:p>
        </w:tc>
      </w:tr>
      <w:tr w:rsidR="00610312" w:rsidRPr="00FA1838" w14:paraId="17D0ECE8"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23A7616"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0D855493"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451D3BA0" w14:textId="77777777" w:rsidR="00610312" w:rsidRPr="00511918" w:rsidRDefault="00610312" w:rsidP="0088638B">
            <w:pPr>
              <w:jc w:val="center"/>
              <w:rPr>
                <w:rFonts w:eastAsia="Calibri"/>
                <w:b/>
                <w:sz w:val="16"/>
                <w:szCs w:val="16"/>
              </w:rPr>
            </w:pPr>
            <w:r w:rsidRPr="00511918">
              <w:rPr>
                <w:rFonts w:eastAsia="Calibri"/>
                <w:b/>
                <w:sz w:val="16"/>
                <w:szCs w:val="16"/>
              </w:rPr>
              <w:t>Sabine River Basin (11)</w:t>
            </w:r>
          </w:p>
        </w:tc>
      </w:tr>
      <w:tr w:rsidR="00610312" w:rsidRPr="00FA1838" w14:paraId="59D2B01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4F0A5103"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0170F10"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02BB2214" w14:textId="77777777" w:rsidR="00610312" w:rsidRPr="00511918" w:rsidRDefault="00610312" w:rsidP="0088638B">
            <w:pPr>
              <w:jc w:val="center"/>
              <w:rPr>
                <w:rFonts w:eastAsia="Calibri"/>
                <w:b/>
                <w:sz w:val="16"/>
                <w:szCs w:val="16"/>
              </w:rPr>
            </w:pPr>
            <w:r w:rsidRPr="00511918">
              <w:rPr>
                <w:rFonts w:eastAsia="Calibri"/>
                <w:b/>
                <w:sz w:val="16"/>
                <w:szCs w:val="16"/>
              </w:rPr>
              <w:t>Terrebonne Basin (12)</w:t>
            </w:r>
          </w:p>
        </w:tc>
      </w:tr>
      <w:tr w:rsidR="00610312" w:rsidRPr="00FA1838" w14:paraId="5E9EBDAA" w14:textId="77777777" w:rsidTr="0088638B">
        <w:trPr>
          <w:cantSplit/>
          <w:jc w:val="center"/>
        </w:trPr>
        <w:tc>
          <w:tcPr>
            <w:tcW w:w="9877" w:type="dxa"/>
            <w:gridSpan w:val="11"/>
            <w:tcBorders>
              <w:top w:val="single" w:sz="6" w:space="0" w:color="auto"/>
              <w:left w:val="double" w:sz="6" w:space="0" w:color="auto"/>
              <w:bottom w:val="double" w:sz="6" w:space="0" w:color="auto"/>
              <w:right w:val="double" w:sz="6" w:space="0" w:color="auto"/>
            </w:tcBorders>
          </w:tcPr>
          <w:p w14:paraId="6FA9C2B0" w14:textId="77777777" w:rsidR="00610312" w:rsidRPr="00511918" w:rsidRDefault="00610312" w:rsidP="0088638B">
            <w:pPr>
              <w:jc w:val="center"/>
              <w:rPr>
                <w:rFonts w:eastAsia="Calibri"/>
                <w:sz w:val="16"/>
                <w:szCs w:val="16"/>
              </w:rPr>
            </w:pPr>
            <w:r w:rsidRPr="00511918">
              <w:rPr>
                <w:rFonts w:eastAsia="Calibri"/>
                <w:sz w:val="16"/>
                <w:szCs w:val="16"/>
              </w:rPr>
              <w:t>* * *</w:t>
            </w:r>
          </w:p>
        </w:tc>
      </w:tr>
    </w:tbl>
    <w:p w14:paraId="0ADF19F9" w14:textId="77777777" w:rsidR="00610312" w:rsidRDefault="00610312" w:rsidP="00610312">
      <w:pPr>
        <w:spacing w:line="480" w:lineRule="auto"/>
        <w:rPr>
          <w:rFonts w:eastAsia="Calibri"/>
        </w:rPr>
        <w:sectPr w:rsidR="00610312" w:rsidSect="00610312">
          <w:type w:val="continuous"/>
          <w:pgSz w:w="12240" w:h="15840" w:code="1"/>
          <w:pgMar w:top="720" w:right="864" w:bottom="317" w:left="864" w:header="576" w:footer="432" w:gutter="0"/>
          <w:cols w:space="720"/>
          <w:docGrid w:linePitch="360"/>
        </w:sectPr>
      </w:pPr>
    </w:p>
    <w:p w14:paraId="2BF4188F" w14:textId="77777777" w:rsidR="00610312" w:rsidRPr="004F3099" w:rsidRDefault="00610312" w:rsidP="00610312">
      <w:pPr>
        <w:pStyle w:val="Text"/>
        <w:rPr>
          <w:rFonts w:eastAsia="Calibri"/>
        </w:rPr>
      </w:pPr>
      <w:r w:rsidRPr="004F3099">
        <w:rPr>
          <w:rFonts w:eastAsia="Calibri"/>
        </w:rPr>
        <w:t>ENDNOTES:</w:t>
      </w:r>
    </w:p>
    <w:p w14:paraId="4E5EFB24" w14:textId="77777777" w:rsidR="00610312" w:rsidRPr="004F3099" w:rsidRDefault="00610312" w:rsidP="00610312">
      <w:pPr>
        <w:pStyle w:val="Text"/>
        <w:rPr>
          <w:rFonts w:eastAsia="Calibri"/>
        </w:rPr>
      </w:pPr>
      <w:r w:rsidRPr="004F3099">
        <w:rPr>
          <w:rFonts w:eastAsia="Calibri"/>
        </w:rPr>
        <w:t xml:space="preserve">[1]. </w:t>
      </w:r>
      <w:r>
        <w:rPr>
          <w:rFonts w:eastAsia="Calibri"/>
        </w:rPr>
        <w:t>-</w:t>
      </w:r>
      <w:r w:rsidRPr="004F3099">
        <w:rPr>
          <w:rFonts w:eastAsia="Calibri"/>
        </w:rPr>
        <w:t xml:space="preserve"> [26].</w:t>
      </w:r>
      <w:r w:rsidRPr="004F3099">
        <w:rPr>
          <w:rFonts w:eastAsia="Calibri"/>
        </w:rPr>
        <w:tab/>
        <w:t>…</w:t>
      </w:r>
    </w:p>
    <w:p w14:paraId="2CD58213" w14:textId="77777777" w:rsidR="00610312" w:rsidRPr="004F3099" w:rsidRDefault="00610312" w:rsidP="00610312">
      <w:pPr>
        <w:pStyle w:val="AuthorityNote"/>
        <w:rPr>
          <w:rFonts w:eastAsia="Calibri"/>
        </w:rPr>
      </w:pPr>
      <w:r w:rsidRPr="004F3099">
        <w:rPr>
          <w:rFonts w:eastAsia="Calibri"/>
        </w:rPr>
        <w:t>AUTHORITY NOTE:</w:t>
      </w:r>
      <w:r w:rsidRPr="004F3099">
        <w:rPr>
          <w:rFonts w:eastAsia="Calibri"/>
        </w:rPr>
        <w:tab/>
        <w:t>Promulgated in accordance with R.S. 30:2074(B)(1).</w:t>
      </w:r>
    </w:p>
    <w:p w14:paraId="15EBDF42" w14:textId="77777777" w:rsidR="00610312" w:rsidRDefault="00610312" w:rsidP="00610312">
      <w:pPr>
        <w:pStyle w:val="HistoricalNote"/>
        <w:rPr>
          <w:rFonts w:eastAsia="Calibri"/>
        </w:rPr>
      </w:pPr>
      <w:r w:rsidRPr="004F3099">
        <w:rPr>
          <w:rFonts w:eastAsia="Calibri"/>
        </w:rPr>
        <w:t>HISTORICAL NOTE:</w:t>
      </w:r>
      <w:r w:rsidRPr="004F3099">
        <w:rPr>
          <w:rFonts w:eastAsia="Calibri"/>
        </w:rPr>
        <w:tab/>
        <w:t xml:space="preserve">Promulgated by the Department of Environmental Quality, Office of Water Resources, LR 15:738 (September 1989), amended LR 17:264 (March 1991), LR 20:431 (April 1994), LR 20:883 (August 1994), LR 21:683 (July 1995), LR 22:1130 (November 1996), LR 24:1926 (October 1998), amended by the Office of Environmental Assessment, Environmental Planning Division, LR 25:2405 (December 1999), LR 27:289 (March 2001), LR 28:462 (March 2002), LR 28:1762 (August 2002), LR 29:1814, 1817 (September 2003), LR 30:1474 (July 2004), amended by the Office of Environmental Assessment, LR 30:2468 (November 2004), LR 31:918, 921 (April 2005), amended by the Office of the Secretary, Legal Affairs Division, LR 32:815, 816, 817 (May 2006), LR 33:832 (May 2007), LR 34:1901 (September 2008), LR 35:446 (March 2009), repromulgated LR 35:655 (April 2009), amended LR 36:2276 (October 2010), amended by the Office of the Secretary, Legal Division, LR 41:2603 (December 2015), LR 42:737 (May 2016), amended by the Office of the Secretary, Legal Affairs and Criminal Investigations Division, LR 45:1178 (September </w:t>
      </w:r>
      <w:r w:rsidRPr="004F3099">
        <w:rPr>
          <w:rFonts w:eastAsia="Calibri"/>
        </w:rPr>
        <w:t>2019), LR 46:1087 (August 2020), LR 46:1555 (November 2020), LR 47:876 (July 2021), amended by the Office of the Secretary, Legal Affairs Division, LR 49:1554 (September 2023), LR 52:</w:t>
      </w:r>
    </w:p>
    <w:p w14:paraId="14E09DFA" w14:textId="77777777" w:rsidR="00610312" w:rsidRPr="004F3099" w:rsidRDefault="00610312" w:rsidP="00610312">
      <w:pPr>
        <w:pStyle w:val="RegCodeTitle"/>
      </w:pPr>
      <w:r w:rsidRPr="004F3099">
        <w:t>Public Comments</w:t>
      </w:r>
    </w:p>
    <w:p w14:paraId="08193FBD" w14:textId="77777777" w:rsidR="00610312" w:rsidRDefault="00610312" w:rsidP="00610312">
      <w:pPr>
        <w:pStyle w:val="A0"/>
      </w:pPr>
      <w:r w:rsidRPr="004F3099">
        <w:t xml:space="preserve">All interested persons are invited to submit written comments on the substantive changes to WQ118. Persons commenting should reference potpourri notice 2609Pot1. Such comments must be received no later than </w:t>
      </w:r>
      <w:r w:rsidRPr="004F3099">
        <w:rPr>
          <w:noProof/>
        </w:rPr>
        <w:t>October 28, 2026</w:t>
      </w:r>
      <w:r w:rsidRPr="004F3099">
        <w:t xml:space="preserve">, at 4:30 p.m., and should be sent to William Little, Attorney Supervisor, Office of the Secretary, Legal Affairs Division, P.O. Box 4302, Baton Rouge, LA 70821-4302, by fax (225) 219-4068, or by E-mail to DEQ.Reg.Dev.Comments@la.gov. Copies of the proposed Rule can be purchased by contacting the LDEQ Public Records Center at (225) 219-3168. Check or money order is required in advance for each copy of </w:t>
      </w:r>
      <w:r w:rsidRPr="004F3099">
        <w:rPr>
          <w:noProof/>
        </w:rPr>
        <w:t>WQ118</w:t>
      </w:r>
      <w:r w:rsidRPr="004F3099">
        <w:t xml:space="preserve">. The proposed regulation is available on the Internet at https://deq.louisiana.gov/page/monthly-regulation-changes-2026%20. </w:t>
      </w:r>
    </w:p>
    <w:p w14:paraId="4BAEE6D0" w14:textId="77777777" w:rsidR="00610312" w:rsidRPr="004F3099" w:rsidRDefault="00610312" w:rsidP="00610312">
      <w:pPr>
        <w:pStyle w:val="RegCodeTitle"/>
      </w:pPr>
      <w:r w:rsidRPr="004F3099">
        <w:lastRenderedPageBreak/>
        <w:t>Public Hearing</w:t>
      </w:r>
    </w:p>
    <w:p w14:paraId="0FD99966" w14:textId="77777777" w:rsidR="00610312" w:rsidRDefault="00610312" w:rsidP="00610312">
      <w:pPr>
        <w:pStyle w:val="A0"/>
      </w:pPr>
      <w:r w:rsidRPr="004F3099">
        <w:t xml:space="preserve">A public hearing will be held on </w:t>
      </w:r>
      <w:r w:rsidRPr="004F3099">
        <w:rPr>
          <w:noProof/>
        </w:rPr>
        <w:t>October 28, 2026</w:t>
      </w:r>
      <w:r w:rsidRPr="004F3099">
        <w:t>, at 1:30 p.m. in the Galvez Building, Oliver Pollock Conference Room, 602 N. Fifth Street, Baton Rouge, LA 70802. Interested persons are invited to attend in person or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w:t>
      </w:r>
    </w:p>
    <w:p w14:paraId="29DE9DBF" w14:textId="77777777" w:rsidR="00610312" w:rsidRDefault="00610312" w:rsidP="00610312">
      <w:pPr>
        <w:pStyle w:val="A0"/>
      </w:pPr>
      <w:r w:rsidRPr="004F3099">
        <w:t>The notice is available for inspection at the following LDEQ office locations from 8 a.m. until 4:30 p.m.:</w:t>
      </w:r>
      <w:r>
        <w:t xml:space="preserve"> </w:t>
      </w:r>
      <w:r w:rsidRPr="004F3099">
        <w:t>602 N. Fifth Street, Baton Rouge, LA 70802; 508 Downing Pines Road, West Monroe, LA 71292; State Office Building, 1525 Fairfield Avenue, Shreveport, LA 71101; 1301 Gadwall Street, Lake Charles, LA 70615;</w:t>
      </w:r>
      <w:r w:rsidRPr="004F3099">
        <w:rPr>
          <w:rFonts w:ascii="CG Times (W1)" w:hAnsi="CG Times (W1)"/>
        </w:rPr>
        <w:t xml:space="preserve"> </w:t>
      </w:r>
      <w:r w:rsidRPr="004F3099">
        <w:t>111 New Center Drive, Lafayette, LA 70508; 110 Barataria Street, Lockport, LA 70374; 201 Evans Road, Bldg. 4, Suite 420, New Orleans, LA</w:t>
      </w:r>
      <w:r>
        <w:t xml:space="preserve"> </w:t>
      </w:r>
      <w:r w:rsidRPr="004F3099">
        <w:t>70123.</w:t>
      </w:r>
    </w:p>
    <w:p w14:paraId="5C566AFF" w14:textId="77777777" w:rsidR="00610312" w:rsidRDefault="00610312" w:rsidP="00610312">
      <w:pPr>
        <w:pStyle w:val="A0"/>
      </w:pPr>
    </w:p>
    <w:p w14:paraId="7A53A4D4" w14:textId="77777777" w:rsidR="00610312" w:rsidRPr="004F3099" w:rsidRDefault="00610312" w:rsidP="00610312">
      <w:pPr>
        <w:pStyle w:val="RegSignature"/>
      </w:pPr>
      <w:r w:rsidRPr="004F3099">
        <w:t>Jill C. Clark</w:t>
      </w:r>
    </w:p>
    <w:p w14:paraId="75E7644E" w14:textId="77777777" w:rsidR="00610312" w:rsidRDefault="00610312" w:rsidP="00610312">
      <w:pPr>
        <w:pStyle w:val="RegSignature"/>
      </w:pPr>
      <w:r w:rsidRPr="004F3099">
        <w:t>General Counsel</w:t>
      </w:r>
    </w:p>
    <w:p w14:paraId="48FFF7F3" w14:textId="77777777" w:rsidR="00610312" w:rsidRPr="004F3099" w:rsidRDefault="00610312" w:rsidP="00610312">
      <w:pPr>
        <w:pStyle w:val="RegLogNumber"/>
      </w:pPr>
      <w:r>
        <w:t>2609#042</w:t>
      </w:r>
    </w:p>
    <w:p w14:paraId="1ED8099C" w14:textId="77777777" w:rsidR="00610312" w:rsidRPr="009F66F9" w:rsidRDefault="00610312" w:rsidP="00610312"/>
    <w:p w14:paraId="60F56177" w14:textId="77777777" w:rsidR="00610312" w:rsidRDefault="00610312" w:rsidP="00610312">
      <w:pPr>
        <w:pStyle w:val="RegItemFirstLine"/>
      </w:pPr>
      <w:r>
        <w:t>POTPOURRI</w:t>
      </w:r>
    </w:p>
    <w:p w14:paraId="40A8EA1F" w14:textId="77777777" w:rsidR="00610312" w:rsidRDefault="00610312" w:rsidP="00610312">
      <w:pPr>
        <w:pStyle w:val="RegDepartment"/>
      </w:pPr>
      <w:r>
        <w:t>Department of Environmental Quality</w:t>
      </w:r>
    </w:p>
    <w:p w14:paraId="2B2A8393" w14:textId="77777777" w:rsidR="00610312" w:rsidRDefault="00610312" w:rsidP="00610312">
      <w:pPr>
        <w:pStyle w:val="RegDepartment"/>
      </w:pPr>
      <w:r>
        <w:t>Office of the Secretary</w:t>
      </w:r>
    </w:p>
    <w:p w14:paraId="19066FDA" w14:textId="77777777" w:rsidR="00610312" w:rsidRPr="00967C17" w:rsidRDefault="00610312" w:rsidP="00610312">
      <w:pPr>
        <w:pStyle w:val="RegSubDepartment"/>
        <w:rPr>
          <w:sz w:val="20"/>
        </w:rPr>
      </w:pPr>
      <w:r w:rsidRPr="00967C17">
        <w:rPr>
          <w:sz w:val="20"/>
        </w:rPr>
        <w:t>Legal Affairs Division</w:t>
      </w:r>
    </w:p>
    <w:p w14:paraId="26FDC2AE" w14:textId="77777777" w:rsidR="00610312" w:rsidRDefault="00610312" w:rsidP="00610312">
      <w:pPr>
        <w:pStyle w:val="RegItemTitle"/>
      </w:pPr>
      <w:r w:rsidRPr="00852102">
        <w:t>Regional Haze First Planning Period</w:t>
      </w:r>
      <w:r>
        <w:br/>
      </w:r>
      <w:r w:rsidRPr="00852102">
        <w:t>State Implementation Plan (SIP) Revision</w:t>
      </w:r>
    </w:p>
    <w:p w14:paraId="702267CC" w14:textId="77777777" w:rsidR="00610312" w:rsidRDefault="00610312" w:rsidP="00610312">
      <w:pPr>
        <w:pStyle w:val="A0"/>
      </w:pPr>
      <w:r w:rsidRPr="00852102">
        <w:t>Under the authority of the Louisiana Environmental Quality Act, R.S. 30:2051 et seq., and in accordance with the provisions of the Administrative Procedure Act, R.S. 49:950 et seq., the Secretary gives notice that the Office of Environmental Assessment, Air Planning and Assessment Division, is seeking to revise the Louisiana State Implementation Plan (SIP) for Regional Haze, namely the Regional Haze First Planning Period, as required by 40 CFR 51.308 (a) and (b). (2609Pot2)</w:t>
      </w:r>
    </w:p>
    <w:p w14:paraId="72F4EE19" w14:textId="77777777" w:rsidR="00610312" w:rsidRDefault="00610312" w:rsidP="00610312">
      <w:pPr>
        <w:pStyle w:val="A0"/>
      </w:pPr>
      <w:r w:rsidRPr="00852102">
        <w:t xml:space="preserve">The Air Planning and Assessment Division is submitting a revision to the regional haze provisions of the Louisiana SIP, specifically for the Best Available Retrofit Technology (BART) requirements for one source, Phillips 66 – Alliance Refinery. This revision is necessary due to a change in ownership of Phillips 66 – Alliance Refinery. </w:t>
      </w:r>
    </w:p>
    <w:p w14:paraId="395F31FD" w14:textId="77777777" w:rsidR="00610312" w:rsidRDefault="00610312" w:rsidP="00610312">
      <w:pPr>
        <w:pStyle w:val="A0"/>
      </w:pPr>
      <w:r w:rsidRPr="00852102">
        <w:t>LDEQ has revised the Administrative Order on Consent (AOC) to reflect the change in ownership. None of the required emission limitations or the associated recordkeeping, monitoring, testing, and reporting requirements have changed. Because the emission limitations or the associated recordkeeping, monitoring, testing and reporting requirements remain unchanged for the facility, this SIP revision meets the Clean Air Act (CAA) section 110(l) requirements.</w:t>
      </w:r>
    </w:p>
    <w:p w14:paraId="140D88F6" w14:textId="2B49CA88" w:rsidR="00610312" w:rsidRDefault="004E0E1F" w:rsidP="00610312">
      <w:pPr>
        <w:pStyle w:val="RegCodeTitle"/>
      </w:pPr>
      <w:r>
        <w:br w:type="column"/>
      </w:r>
      <w:r w:rsidR="00610312">
        <w:t>Public Comments</w:t>
      </w:r>
    </w:p>
    <w:p w14:paraId="664BF4DF" w14:textId="77777777" w:rsidR="00610312" w:rsidRPr="00852102" w:rsidRDefault="00610312" w:rsidP="00610312">
      <w:pPr>
        <w:pStyle w:val="A0"/>
      </w:pPr>
      <w:r w:rsidRPr="00852102">
        <w:t xml:space="preserve">All interested persons may submit written comments no later than 4:30 p.m., October 30, 2026, to Arlys Dalton, Office of Environmental Assessment, P.O. Box 4314, Baton Rouge, LA. 70821-4314, or by E-mail at arlys.dalton@la.gov. </w:t>
      </w:r>
    </w:p>
    <w:p w14:paraId="0AFDEF00" w14:textId="77777777" w:rsidR="00610312" w:rsidRDefault="00610312" w:rsidP="00610312">
      <w:pPr>
        <w:pStyle w:val="RegCodeTitle"/>
      </w:pPr>
      <w:r>
        <w:t>Public Hearing</w:t>
      </w:r>
    </w:p>
    <w:p w14:paraId="4AC67A43" w14:textId="77777777" w:rsidR="00610312" w:rsidRPr="00852102" w:rsidRDefault="00610312" w:rsidP="00610312">
      <w:pPr>
        <w:pStyle w:val="A0"/>
      </w:pPr>
      <w:r w:rsidRPr="00852102">
        <w:t xml:space="preserve">A public hearing will be held on October 28, 2026, at 1:30 p.m. in the Galvez Building, Oliver Pollock Conference Room, 602 N. Fifth Street, Baton Rouge, LA 70802. Interested persons are invited to attend in person,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 </w:t>
      </w:r>
    </w:p>
    <w:p w14:paraId="3B4D3D13" w14:textId="77777777" w:rsidR="00610312" w:rsidRDefault="00610312" w:rsidP="00610312">
      <w:pPr>
        <w:pStyle w:val="A0"/>
      </w:pPr>
      <w:r w:rsidRPr="00852102">
        <w:t>The revision is available for review via LDEQ’s electronic document management system (EDMS), AI# 174156, or at LDEQ Headquarters, 602 North 5th Street, Baton Rouge, Louisiana, 70802.</w:t>
      </w:r>
    </w:p>
    <w:p w14:paraId="1D2CC87D" w14:textId="77777777" w:rsidR="00610312" w:rsidRPr="004E0E1F" w:rsidRDefault="00610312" w:rsidP="00610312">
      <w:pPr>
        <w:pStyle w:val="A0"/>
        <w:rPr>
          <w:sz w:val="18"/>
          <w:szCs w:val="18"/>
        </w:rPr>
      </w:pPr>
    </w:p>
    <w:p w14:paraId="5A141AEE" w14:textId="77777777" w:rsidR="00610312" w:rsidRPr="008346EA" w:rsidRDefault="00610312" w:rsidP="00610312">
      <w:pPr>
        <w:pStyle w:val="RegSignature"/>
      </w:pPr>
      <w:r>
        <w:t>Jill C. Clark</w:t>
      </w:r>
    </w:p>
    <w:p w14:paraId="505A0D27" w14:textId="77777777" w:rsidR="00610312" w:rsidRDefault="00610312" w:rsidP="00610312">
      <w:pPr>
        <w:pStyle w:val="RegSignature"/>
      </w:pPr>
      <w:r>
        <w:t>General Counsel</w:t>
      </w:r>
    </w:p>
    <w:p w14:paraId="29B77234" w14:textId="77777777" w:rsidR="00610312" w:rsidRPr="00852102" w:rsidRDefault="00610312" w:rsidP="00610312">
      <w:pPr>
        <w:pStyle w:val="RegLogNumber"/>
      </w:pPr>
      <w:r>
        <w:t>2609#043</w:t>
      </w:r>
    </w:p>
    <w:p w14:paraId="7DA4F0FB" w14:textId="77777777" w:rsidR="00610312" w:rsidRPr="004E0E1F" w:rsidRDefault="00610312" w:rsidP="00610312">
      <w:pPr>
        <w:rPr>
          <w:sz w:val="18"/>
          <w:szCs w:val="18"/>
        </w:rPr>
      </w:pPr>
    </w:p>
    <w:p w14:paraId="1795756D" w14:textId="77777777" w:rsidR="00610312" w:rsidRDefault="00610312" w:rsidP="00610312">
      <w:pPr>
        <w:pStyle w:val="RegItemFirstLine"/>
      </w:pPr>
      <w:r>
        <w:t>POTPOURRI</w:t>
      </w:r>
    </w:p>
    <w:p w14:paraId="5BC6A26C" w14:textId="77777777" w:rsidR="00610312" w:rsidRDefault="00610312" w:rsidP="00610312">
      <w:pPr>
        <w:pStyle w:val="RegDepartment"/>
      </w:pPr>
      <w:r>
        <w:t>Department of Health</w:t>
      </w:r>
    </w:p>
    <w:p w14:paraId="6E52028A" w14:textId="77777777" w:rsidR="00610312" w:rsidRPr="00B76752" w:rsidRDefault="00610312" w:rsidP="00610312">
      <w:pPr>
        <w:pStyle w:val="RegDepartment"/>
      </w:pPr>
      <w:r>
        <w:t>Board of Medical Examiners</w:t>
      </w:r>
    </w:p>
    <w:p w14:paraId="5B386B42" w14:textId="77777777" w:rsidR="00610312" w:rsidRDefault="00610312" w:rsidP="00610312">
      <w:pPr>
        <w:pStyle w:val="RegItemTitle"/>
        <w:spacing w:before="240"/>
      </w:pPr>
      <w:r>
        <w:t xml:space="preserve">Notice of </w:t>
      </w:r>
      <w:r w:rsidRPr="00EC73C2">
        <w:t>Public Hearing</w:t>
      </w:r>
      <w:r>
        <w:br/>
      </w:r>
      <w:r w:rsidRPr="00EC73C2">
        <w:t xml:space="preserve">Substantive Changes to Proposed Rule; </w:t>
      </w:r>
      <w:r>
        <w:br/>
      </w:r>
      <w:r w:rsidRPr="00EC73C2">
        <w:t>Respiratory Therapists</w:t>
      </w:r>
      <w:r>
        <w:t xml:space="preserve"> </w:t>
      </w:r>
      <w:r w:rsidRPr="00EC73C2">
        <w:t>(LAC 46:XLV.Chapters 25 and 55)</w:t>
      </w:r>
    </w:p>
    <w:p w14:paraId="1E779806" w14:textId="77777777" w:rsidR="00610312" w:rsidRPr="00EC73C2" w:rsidRDefault="00610312" w:rsidP="00610312">
      <w:pPr>
        <w:pStyle w:val="A0"/>
      </w:pPr>
      <w:r w:rsidRPr="00EC73C2">
        <w:t xml:space="preserve">The board published a Notice of Intent to promulgate LAC 46:XLV.Chapters 25 and 55, Respiratory Therapists in the January 2026 edition of the </w:t>
      </w:r>
      <w:r w:rsidRPr="00EC73C2">
        <w:rPr>
          <w:i/>
        </w:rPr>
        <w:t xml:space="preserve">Louisiana Register </w:t>
      </w:r>
      <w:r w:rsidRPr="00EC73C2">
        <w:t xml:space="preserve">(LR 52:117-122). The notice was reviewed by the Department of Justice’s Occupational Licensing Review Program. As a result of OLRP review, the board proposes to amend certain portions of the proposed Rule. In §2549, the board proposes to withdraw the proposed amendment of raising the reimbursement to </w:t>
      </w:r>
      <w:r>
        <w:t>$75</w:t>
      </w:r>
      <w:r w:rsidRPr="00EC73C2">
        <w:t xml:space="preserve"> and keep the reimbursement rate at </w:t>
      </w:r>
      <w:r>
        <w:t>$50</w:t>
      </w:r>
      <w:r w:rsidRPr="00EC73C2">
        <w:t>. In §5507, the board proposes to withdraw the deletion of §5507(A)(4) and maintain the existing language.</w:t>
      </w:r>
    </w:p>
    <w:p w14:paraId="6D0FD7DF" w14:textId="77777777" w:rsidR="00610312" w:rsidRDefault="00610312" w:rsidP="00610312">
      <w:pPr>
        <w:pStyle w:val="A0"/>
      </w:pPr>
      <w:r w:rsidRPr="00EC73C2">
        <w:t>The proposed amendments will align the proposed Rule with existing law. No fiscal or economic impact will result from the amendments proposed in this notice.</w:t>
      </w:r>
      <w:bookmarkStart w:id="810" w:name="_Hlk218775868"/>
      <w:r w:rsidRPr="00EC73C2">
        <w:t xml:space="preserve"> </w:t>
      </w:r>
      <w:bookmarkEnd w:id="810"/>
    </w:p>
    <w:p w14:paraId="13D980F9" w14:textId="77777777" w:rsidR="00610312" w:rsidRPr="00EC73C2" w:rsidRDefault="00610312" w:rsidP="00610312">
      <w:pPr>
        <w:pStyle w:val="RegCodeTitle"/>
      </w:pPr>
      <w:bookmarkStart w:id="811" w:name="TOC_Chap46"/>
      <w:bookmarkStart w:id="812" w:name="_Toc240280912"/>
      <w:bookmarkStart w:id="813" w:name="_Toc375117965"/>
      <w:r w:rsidRPr="00EC73C2">
        <w:t>Title 46</w:t>
      </w:r>
    </w:p>
    <w:p w14:paraId="1A3586C8" w14:textId="77777777" w:rsidR="00610312" w:rsidRPr="00EC73C2" w:rsidRDefault="00610312" w:rsidP="00610312">
      <w:pPr>
        <w:pStyle w:val="RegCodeTitle"/>
      </w:pPr>
      <w:r w:rsidRPr="00EC73C2">
        <w:t>PROFESSIONAL AND OCCUPATIONAL STANDARDS</w:t>
      </w:r>
    </w:p>
    <w:p w14:paraId="12807496" w14:textId="77777777" w:rsidR="00610312" w:rsidRPr="00EC73C2" w:rsidRDefault="00610312" w:rsidP="00610312">
      <w:pPr>
        <w:pStyle w:val="RegCodePart"/>
      </w:pPr>
      <w:r w:rsidRPr="00EC73C2">
        <w:t>Part XLV.</w:t>
      </w:r>
      <w:r>
        <w:t xml:space="preserve">  </w:t>
      </w:r>
      <w:r w:rsidRPr="00EC73C2">
        <w:t>Medical Professions</w:t>
      </w:r>
    </w:p>
    <w:p w14:paraId="65054E5F" w14:textId="77777777" w:rsidR="00610312" w:rsidRPr="00EC73C2" w:rsidRDefault="00610312" w:rsidP="00610312">
      <w:pPr>
        <w:pStyle w:val="RegCodePart"/>
      </w:pPr>
      <w:r w:rsidRPr="00EC73C2">
        <w:t>Subpart 2.</w:t>
      </w:r>
      <w:r>
        <w:t xml:space="preserve">  </w:t>
      </w:r>
      <w:r w:rsidRPr="00EC73C2">
        <w:t>Licensure and Certification</w:t>
      </w:r>
    </w:p>
    <w:p w14:paraId="179C6EFA" w14:textId="77777777" w:rsidR="00610312" w:rsidRPr="00EC73C2" w:rsidRDefault="00610312" w:rsidP="00610312">
      <w:pPr>
        <w:pStyle w:val="Chapter"/>
      </w:pPr>
      <w:bookmarkStart w:id="814" w:name="TOC_Chap340"/>
      <w:bookmarkStart w:id="815" w:name="_Toc375118243"/>
      <w:bookmarkStart w:id="816" w:name="_Toc240281187"/>
      <w:bookmarkEnd w:id="811"/>
      <w:bookmarkEnd w:id="812"/>
      <w:bookmarkEnd w:id="813"/>
      <w:r w:rsidRPr="00EC73C2">
        <w:t>Chapter 25.</w:t>
      </w:r>
      <w:bookmarkStart w:id="817" w:name="TOCT_Chap62"/>
      <w:bookmarkStart w:id="818" w:name="TOCT_Chap271"/>
      <w:bookmarkStart w:id="819" w:name="TOCT_Chap319"/>
      <w:bookmarkStart w:id="820" w:name="TOCT_Chap314"/>
      <w:bookmarkStart w:id="821" w:name="TOCT_Chap291"/>
      <w:bookmarkStart w:id="822" w:name="TOCT_Chap276"/>
      <w:bookmarkStart w:id="823" w:name="TOCT_Chap270"/>
      <w:bookmarkStart w:id="824" w:name="TOCT_Chap295"/>
      <w:bookmarkStart w:id="825" w:name="TOCT_Chap294"/>
      <w:bookmarkStart w:id="826" w:name="TOCT_Chap293"/>
      <w:bookmarkStart w:id="827" w:name="TOCT_Chap300"/>
      <w:bookmarkStart w:id="828" w:name="TOCT_Chap301"/>
      <w:bookmarkStart w:id="829" w:name="TOCT_Chap305"/>
      <w:bookmarkStart w:id="830" w:name="TOCT_Chap308"/>
      <w:bookmarkStart w:id="831" w:name="TOCT_Chap311"/>
      <w:bookmarkStart w:id="832" w:name="TOCT_Chap323"/>
      <w:bookmarkStart w:id="833" w:name="TOCT_Chap340"/>
      <w:bookmarkEnd w:id="814"/>
      <w:r w:rsidRPr="00EC73C2">
        <w:tab/>
        <w:t>Respiratory Therapists</w:t>
      </w:r>
      <w:bookmarkEnd w:id="815"/>
      <w:r w:rsidRPr="00EC73C2">
        <w:t xml:space="preserve"> </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675A25D7" w14:textId="77777777" w:rsidR="00610312" w:rsidRPr="00EC73C2" w:rsidRDefault="00610312" w:rsidP="00610312">
      <w:pPr>
        <w:pStyle w:val="Chapter"/>
      </w:pPr>
      <w:bookmarkStart w:id="834" w:name="TOC_SubC376"/>
      <w:bookmarkStart w:id="835" w:name="_Toc240281220"/>
      <w:bookmarkStart w:id="836" w:name="_Toc264960279"/>
      <w:bookmarkStart w:id="837" w:name="_Toc375118268"/>
      <w:r w:rsidRPr="00EC73C2">
        <w:t>Subchapter F.</w:t>
      </w:r>
      <w:bookmarkStart w:id="838" w:name="TOCT_SubC328"/>
      <w:bookmarkStart w:id="839" w:name="TOCT_SubC337"/>
      <w:bookmarkStart w:id="840" w:name="TOCT_SubC344"/>
      <w:bookmarkStart w:id="841" w:name="TOCT_SubC359"/>
      <w:bookmarkStart w:id="842" w:name="TOCT_SubC376"/>
      <w:bookmarkEnd w:id="834"/>
      <w:r w:rsidRPr="00EC73C2">
        <w:tab/>
        <w:t>Advisory Committee on Respiratory Care</w:t>
      </w:r>
      <w:bookmarkEnd w:id="835"/>
      <w:bookmarkEnd w:id="836"/>
      <w:bookmarkEnd w:id="837"/>
      <w:bookmarkEnd w:id="838"/>
      <w:bookmarkEnd w:id="839"/>
      <w:bookmarkEnd w:id="840"/>
      <w:bookmarkEnd w:id="841"/>
      <w:bookmarkEnd w:id="842"/>
    </w:p>
    <w:p w14:paraId="086A8BB7" w14:textId="77777777" w:rsidR="00610312" w:rsidRPr="00EC73C2" w:rsidRDefault="00610312" w:rsidP="00610312">
      <w:pPr>
        <w:pStyle w:val="Section"/>
      </w:pPr>
      <w:bookmarkStart w:id="843" w:name="_Toc240281221"/>
      <w:bookmarkStart w:id="844" w:name="_Toc264960280"/>
      <w:bookmarkStart w:id="845" w:name="_Toc375118269"/>
      <w:r w:rsidRPr="00EC73C2">
        <w:t>§2549.</w:t>
      </w:r>
      <w:r w:rsidRPr="00EC73C2">
        <w:tab/>
        <w:t>Organization; Authority</w:t>
      </w:r>
      <w:bookmarkEnd w:id="843"/>
      <w:bookmarkEnd w:id="844"/>
      <w:bookmarkEnd w:id="845"/>
    </w:p>
    <w:p w14:paraId="7A7EA074" w14:textId="77777777" w:rsidR="00610312" w:rsidRPr="00EC73C2" w:rsidRDefault="00610312" w:rsidP="00610312">
      <w:pPr>
        <w:pStyle w:val="A0"/>
      </w:pPr>
      <w:r w:rsidRPr="00EC73C2">
        <w:t>A. - B.9.</w:t>
      </w:r>
      <w:r w:rsidRPr="00EC73C2">
        <w:tab/>
        <w:t>…</w:t>
      </w:r>
    </w:p>
    <w:p w14:paraId="66DE6C16" w14:textId="77777777" w:rsidR="00610312" w:rsidRPr="00EC73C2" w:rsidRDefault="00610312" w:rsidP="00610312">
      <w:pPr>
        <w:pStyle w:val="1"/>
      </w:pPr>
      <w:r w:rsidRPr="00EC73C2">
        <w:t>10.</w:t>
      </w:r>
      <w:r w:rsidRPr="00EC73C2">
        <w:tab/>
        <w:t xml:space="preserve">receive reimbursement in the amount of </w:t>
      </w:r>
      <w:r>
        <w:t>$50</w:t>
      </w:r>
      <w:r w:rsidRPr="00EC73C2">
        <w:t xml:space="preserve"> per day for in-person attendance at meetings of the advisory committee and other activities and expenses specifically authorized by the board in accordance with state policy.</w:t>
      </w:r>
    </w:p>
    <w:p w14:paraId="7DE58232" w14:textId="77777777" w:rsidR="00610312" w:rsidRPr="00EC73C2" w:rsidRDefault="00610312" w:rsidP="00610312">
      <w:pPr>
        <w:pStyle w:val="AuthorityNote"/>
      </w:pPr>
      <w:r w:rsidRPr="00EC73C2">
        <w:lastRenderedPageBreak/>
        <w:t>AUTHORITY NOTE:</w:t>
      </w:r>
      <w:r w:rsidRPr="00EC73C2">
        <w:tab/>
        <w:t>Promulgated in accordance with R.S. 37:1270(B)(6) and 37:3351-3361.</w:t>
      </w:r>
    </w:p>
    <w:p w14:paraId="68C0C22E" w14:textId="77777777" w:rsidR="00610312" w:rsidRPr="00EC73C2" w:rsidRDefault="00610312" w:rsidP="00610312">
      <w:pPr>
        <w:pStyle w:val="HistoricalNote"/>
      </w:pPr>
      <w:r w:rsidRPr="00EC73C2">
        <w:t>HISTORICAL NOTE:</w:t>
      </w:r>
      <w:r w:rsidRPr="00EC73C2">
        <w:tab/>
        <w:t>Promulgated by the Department of Health and Hospitals, Board of Medical Examiners, LR 19:747 (June 1993), amended LR 25:2219 (November 1999), LR 38:58 (January 2012), amended by the Department of Health, Board of Medical Examiners LR 52:</w:t>
      </w:r>
    </w:p>
    <w:p w14:paraId="45E64F07" w14:textId="77777777" w:rsidR="00610312" w:rsidRPr="00EC73C2" w:rsidRDefault="00610312" w:rsidP="00610312">
      <w:pPr>
        <w:pStyle w:val="Section"/>
      </w:pPr>
      <w:bookmarkStart w:id="846" w:name="_Toc240281460"/>
      <w:bookmarkStart w:id="847" w:name="_Toc264960511"/>
      <w:bookmarkStart w:id="848" w:name="_Toc375118580"/>
      <w:bookmarkStart w:id="849" w:name="TOC_Chap658"/>
      <w:bookmarkStart w:id="850" w:name="_Toc240281528"/>
      <w:bookmarkStart w:id="851" w:name="_Toc375118674"/>
      <w:r w:rsidRPr="00EC73C2">
        <w:t>§5507.</w:t>
      </w:r>
      <w:r w:rsidRPr="00EC73C2">
        <w:tab/>
        <w:t>Exemptions</w:t>
      </w:r>
      <w:bookmarkEnd w:id="846"/>
      <w:bookmarkEnd w:id="847"/>
      <w:bookmarkEnd w:id="848"/>
    </w:p>
    <w:p w14:paraId="2F72A419" w14:textId="77777777" w:rsidR="00610312" w:rsidRPr="00EC73C2" w:rsidRDefault="00610312" w:rsidP="00610312">
      <w:pPr>
        <w:pStyle w:val="A0"/>
      </w:pPr>
      <w:r w:rsidRPr="00EC73C2">
        <w:t>A. -A.2.</w:t>
      </w:r>
      <w:r w:rsidRPr="00EC73C2">
        <w:tab/>
        <w:t>…</w:t>
      </w:r>
    </w:p>
    <w:p w14:paraId="5C0E23C7" w14:textId="77777777" w:rsidR="00610312" w:rsidRPr="00EC73C2" w:rsidRDefault="00610312" w:rsidP="00610312">
      <w:pPr>
        <w:pStyle w:val="1"/>
      </w:pPr>
      <w:r w:rsidRPr="00EC73C2">
        <w:t>3.</w:t>
      </w:r>
      <w:r w:rsidRPr="00EC73C2">
        <w:tab/>
        <w:t>enrolled in a respiratory care education program and who is designated by a title which clearly indicates his status as a student.</w:t>
      </w:r>
    </w:p>
    <w:p w14:paraId="257F7B30" w14:textId="77777777" w:rsidR="00610312" w:rsidRPr="00EC73C2" w:rsidRDefault="00610312" w:rsidP="00610312">
      <w:pPr>
        <w:pStyle w:val="1"/>
      </w:pPr>
      <w:r w:rsidRPr="00EC73C2">
        <w:t>4.</w:t>
      </w:r>
      <w:r>
        <w:tab/>
      </w:r>
      <w:r w:rsidRPr="00EC73C2">
        <w:t>not licensed as a respiratory therapist in accordance with the provisions of these rules but who is employed in a pulmonary laboratory or physician's office to administer treatment confined to that laboratory or office under the direction and immediate supervision of a licensed physician.</w:t>
      </w:r>
    </w:p>
    <w:p w14:paraId="26A59783" w14:textId="77777777" w:rsidR="00610312" w:rsidRPr="00EC73C2" w:rsidRDefault="00610312" w:rsidP="00610312">
      <w:pPr>
        <w:pStyle w:val="AuthorityNote"/>
      </w:pPr>
      <w:r w:rsidRPr="00EC73C2">
        <w:t>AUTHORITY NOTE:</w:t>
      </w:r>
      <w:r w:rsidRPr="00EC73C2">
        <w:tab/>
        <w:t>Promulgated in accordance with R.S. 37:1270(B)(6) and 37:3351-3361.</w:t>
      </w:r>
    </w:p>
    <w:p w14:paraId="39B24379" w14:textId="77777777" w:rsidR="00610312" w:rsidRDefault="00610312" w:rsidP="00610312">
      <w:pPr>
        <w:pStyle w:val="HistoricalNote"/>
      </w:pPr>
      <w:r w:rsidRPr="00EC73C2">
        <w:t>HISTORICAL NOTE:</w:t>
      </w:r>
      <w:r w:rsidRPr="00EC73C2">
        <w:tab/>
        <w:t>Promulgated by the Department of Health and Human Resources, Board of Medical Examiners, LR 12:767 (November 1986), amended, by the Department of Health and Hospitals, Board of Medical Examiners, LR 25:2224 (November 1999), LR 38:62 (January 2012), amended by the Department of Health, Board of Medical Examiners LR 52:</w:t>
      </w:r>
    </w:p>
    <w:p w14:paraId="06D34C5B" w14:textId="77777777" w:rsidR="00610312" w:rsidRDefault="00610312" w:rsidP="00610312">
      <w:pPr>
        <w:pStyle w:val="RegCodeTitle"/>
      </w:pPr>
      <w:r w:rsidRPr="00EC73C2">
        <w:t>Public Hearing</w:t>
      </w:r>
    </w:p>
    <w:bookmarkEnd w:id="849"/>
    <w:bookmarkEnd w:id="850"/>
    <w:bookmarkEnd w:id="851"/>
    <w:p w14:paraId="7324F8E7" w14:textId="77777777" w:rsidR="00610312" w:rsidRDefault="00610312" w:rsidP="00610312">
      <w:pPr>
        <w:pStyle w:val="A0"/>
      </w:pPr>
      <w:r w:rsidRPr="00EC73C2">
        <w:t>In accordance with the provisions of the Administrative Procedure Act, specifically at R.S. 49:966(H)(2), the board gives notice of a public hearing to receive additional comments and testimony on these substantive amendments to the proposed Rule. The hearing will be held at 10 a.m. on Wednesday, October 21, 2026 at the office of the Louisiana State Board of Medical Examiners, which is located at 630 Camp Street in New Orleans, LA. At that time, all interested persons will be afforded an opportunity to submit data, views, or arguments, either orally or in writing. Interested persons may submit written comments to Jacintha Duthu, Executive Director. She is responsible for responding to inquiries regarding these substantive amendments to the proposed Rule. The deadline for receipt of all written comments is 10 a.m. on Wednesday, October 21, 2026.</w:t>
      </w:r>
    </w:p>
    <w:p w14:paraId="6C6D9872" w14:textId="77777777" w:rsidR="00610312" w:rsidRDefault="00610312" w:rsidP="00610312">
      <w:pPr>
        <w:pStyle w:val="A0"/>
      </w:pPr>
    </w:p>
    <w:p w14:paraId="437E4839" w14:textId="77777777" w:rsidR="00610312" w:rsidRPr="00EC73C2" w:rsidRDefault="00610312" w:rsidP="00610312">
      <w:pPr>
        <w:pStyle w:val="RegSignature"/>
      </w:pPr>
      <w:r w:rsidRPr="00EC73C2">
        <w:t>Vincent A. Culotta, Jr., M.D.</w:t>
      </w:r>
    </w:p>
    <w:p w14:paraId="5EA58175" w14:textId="77777777" w:rsidR="00610312" w:rsidRPr="00EC73C2" w:rsidRDefault="00610312" w:rsidP="00610312">
      <w:pPr>
        <w:pStyle w:val="RegSignature"/>
      </w:pPr>
      <w:r w:rsidRPr="00EC73C2">
        <w:t>Executive Director</w:t>
      </w:r>
    </w:p>
    <w:p w14:paraId="0E643BAD" w14:textId="77777777" w:rsidR="00610312" w:rsidRDefault="00610312" w:rsidP="00610312">
      <w:pPr>
        <w:pStyle w:val="RegLogNumber"/>
      </w:pPr>
      <w:r>
        <w:t>2609#014</w:t>
      </w:r>
    </w:p>
    <w:p w14:paraId="7A96A391" w14:textId="77777777" w:rsidR="004E0E1F" w:rsidRDefault="004E0E1F" w:rsidP="004E0E1F">
      <w:pPr>
        <w:pStyle w:val="RegItemFirstLine"/>
      </w:pPr>
      <w:r>
        <w:t>POTPOURRI</w:t>
      </w:r>
    </w:p>
    <w:p w14:paraId="000DE5AB" w14:textId="77777777" w:rsidR="004E0E1F" w:rsidRDefault="004E0E1F" w:rsidP="004E0E1F">
      <w:pPr>
        <w:pStyle w:val="RegDepartment"/>
      </w:pPr>
      <w:r>
        <w:t>Department of Health</w:t>
      </w:r>
    </w:p>
    <w:p w14:paraId="30308B7E" w14:textId="77777777" w:rsidR="004E0E1F" w:rsidRPr="00F4240D" w:rsidRDefault="004E0E1F" w:rsidP="004E0E1F">
      <w:pPr>
        <w:pStyle w:val="RegDepartment"/>
      </w:pPr>
      <w:r>
        <w:t>Board of Nursing</w:t>
      </w:r>
    </w:p>
    <w:p w14:paraId="5164275B" w14:textId="77777777" w:rsidR="004E0E1F" w:rsidRPr="00795FD9" w:rsidRDefault="004E0E1F" w:rsidP="004E0E1F">
      <w:pPr>
        <w:pStyle w:val="RegItemTitle"/>
        <w:spacing w:before="240"/>
      </w:pPr>
      <w:r w:rsidRPr="00795FD9">
        <w:t xml:space="preserve">Notice of Public Hearing </w:t>
      </w:r>
      <w:r>
        <w:br/>
      </w:r>
      <w:r w:rsidRPr="00795FD9">
        <w:t>Request for Comments on Rulemaking</w:t>
      </w:r>
    </w:p>
    <w:p w14:paraId="0A46B996" w14:textId="77777777" w:rsidR="004E0E1F" w:rsidRPr="00795FD9" w:rsidRDefault="004E0E1F" w:rsidP="004E0E1F">
      <w:pPr>
        <w:pStyle w:val="A0"/>
      </w:pPr>
      <w:r w:rsidRPr="00795FD9">
        <w:t>In compliance with R.S. 49:964(B), the Board of Nursing will hold a public hearing for the purpose of receiving comments on any rule of the board on Thursday, October 22, 2026, immediately following the board’s regularly scheduled meeting at 9 a.m., at 17373 Perkins Road, Baton Rouge, LA 70810.</w:t>
      </w:r>
    </w:p>
    <w:p w14:paraId="564A55B4" w14:textId="77777777" w:rsidR="004E0E1F" w:rsidRPr="00795FD9" w:rsidRDefault="004E0E1F" w:rsidP="004E0E1F">
      <w:pPr>
        <w:pStyle w:val="A0"/>
      </w:pPr>
      <w:r w:rsidRPr="00795FD9">
        <w:t>All interested persons may submit comments either orally or in writing, regarding those rules the person believes are contrary to law, outdated, unnecessary, overly complex, or burdensome.</w:t>
      </w:r>
      <w:r>
        <w:t xml:space="preserve"> </w:t>
      </w:r>
    </w:p>
    <w:p w14:paraId="7CC6CCA7" w14:textId="77777777" w:rsidR="004E0E1F" w:rsidRPr="00795FD9" w:rsidRDefault="004E0E1F" w:rsidP="004E0E1F">
      <w:pPr>
        <w:pStyle w:val="A0"/>
      </w:pPr>
      <w:r w:rsidRPr="00795FD9">
        <w:t>Written comments must be hand-delivered or mailed to Alicia Edmond Wheeler, Executive Counsel, Louisiana State Board of Nursing, 17373 Perkins Road, Baton Rouge, LA 70810.</w:t>
      </w:r>
      <w:r>
        <w:t xml:space="preserve"> </w:t>
      </w:r>
      <w:r w:rsidRPr="00795FD9">
        <w:t>All written comments must include the name, contact information, and signature of the person submitting the comments and must be received no later than 4 p.m. Friday, October 16, 2026.</w:t>
      </w:r>
      <w:r>
        <w:t xml:space="preserve"> </w:t>
      </w:r>
    </w:p>
    <w:p w14:paraId="71A622F1" w14:textId="77777777" w:rsidR="004E0E1F" w:rsidRPr="00795FD9" w:rsidRDefault="004E0E1F" w:rsidP="004E0E1F">
      <w:pPr>
        <w:pStyle w:val="A0"/>
      </w:pPr>
      <w:r w:rsidRPr="00795FD9">
        <w:t>The Board of Nursing will consider fully all written and oral comments. However, only written comments received by the board will be included in the board’s report to the legislative oversight committees.</w:t>
      </w:r>
    </w:p>
    <w:p w14:paraId="0D97768F" w14:textId="77777777" w:rsidR="004E0E1F" w:rsidRDefault="004E0E1F" w:rsidP="004E0E1F">
      <w:pPr>
        <w:pStyle w:val="A0"/>
      </w:pPr>
      <w:r w:rsidRPr="00795FD9">
        <w:t>The hearing site is accessible to persons using wheelchairs or other mobility aids. If other reasonable accommodations are required to participate in the hearings, please contact Tonya Bowman at (225) 755-7500, at least five business days prior to the scheduled hearing.</w:t>
      </w:r>
    </w:p>
    <w:p w14:paraId="06ABFAEF" w14:textId="77777777" w:rsidR="004E0E1F" w:rsidRDefault="004E0E1F" w:rsidP="004E0E1F">
      <w:pPr>
        <w:pStyle w:val="A0"/>
      </w:pPr>
    </w:p>
    <w:p w14:paraId="0EC65208" w14:textId="77777777" w:rsidR="004E0E1F" w:rsidRPr="00795FD9" w:rsidRDefault="004E0E1F" w:rsidP="004E0E1F">
      <w:pPr>
        <w:pStyle w:val="RegSignature"/>
      </w:pPr>
      <w:r w:rsidRPr="00795FD9">
        <w:t>Shawn M. Wolkart, MSN, RN</w:t>
      </w:r>
    </w:p>
    <w:p w14:paraId="6945C104" w14:textId="77777777" w:rsidR="004E0E1F" w:rsidRDefault="004E0E1F" w:rsidP="004E0E1F">
      <w:pPr>
        <w:pStyle w:val="RegSignature"/>
      </w:pPr>
      <w:r w:rsidRPr="00795FD9">
        <w:t>Executive Director, CEO</w:t>
      </w:r>
    </w:p>
    <w:p w14:paraId="340A9490" w14:textId="77777777" w:rsidR="004E0E1F" w:rsidRPr="00795FD9" w:rsidRDefault="004E0E1F" w:rsidP="004E0E1F">
      <w:pPr>
        <w:pStyle w:val="RegLogNumber"/>
      </w:pPr>
      <w:r>
        <w:t>2609#032</w:t>
      </w:r>
    </w:p>
    <w:p w14:paraId="14F2378D" w14:textId="77777777" w:rsidR="004E0E1F" w:rsidRPr="009F66F9" w:rsidRDefault="004E0E1F" w:rsidP="004E0E1F"/>
    <w:p w14:paraId="6586AC8E" w14:textId="77777777" w:rsidR="004E0E1F" w:rsidRPr="00EC73C2" w:rsidRDefault="004E0E1F" w:rsidP="00610312">
      <w:pPr>
        <w:pStyle w:val="RegLogNumber"/>
      </w:pPr>
    </w:p>
    <w:p w14:paraId="36520AFA" w14:textId="77777777" w:rsidR="00610312" w:rsidRPr="009F66F9" w:rsidRDefault="00610312" w:rsidP="00610312"/>
    <w:p w14:paraId="047BFC54" w14:textId="77777777" w:rsidR="00610312" w:rsidRDefault="00610312" w:rsidP="00610312">
      <w:pPr>
        <w:sectPr w:rsidR="00610312" w:rsidSect="00610312">
          <w:type w:val="continuous"/>
          <w:pgSz w:w="12240" w:h="15840" w:code="1"/>
          <w:pgMar w:top="720" w:right="864" w:bottom="317" w:left="864" w:header="576" w:footer="432" w:gutter="0"/>
          <w:cols w:num="2" w:space="720"/>
        </w:sectPr>
      </w:pPr>
    </w:p>
    <w:p w14:paraId="238BDE63" w14:textId="77777777" w:rsidR="00610312" w:rsidRDefault="00610312" w:rsidP="00610312"/>
    <w:p w14:paraId="1686DC20" w14:textId="77777777" w:rsidR="00610312" w:rsidRDefault="00610312">
      <w:pPr>
        <w:sectPr w:rsidR="00610312" w:rsidSect="00610312">
          <w:type w:val="continuous"/>
          <w:pgSz w:w="12240" w:h="15840" w:code="1"/>
          <w:pgMar w:top="720" w:right="864" w:bottom="317" w:left="864" w:header="576" w:footer="432" w:gutter="0"/>
          <w:cols w:num="2" w:space="720"/>
        </w:sectPr>
      </w:pPr>
    </w:p>
    <w:p w14:paraId="12C1DBA1" w14:textId="77777777" w:rsidR="00610312" w:rsidRPr="00610312" w:rsidRDefault="00610312" w:rsidP="00610312">
      <w:pPr>
        <w:tabs>
          <w:tab w:val="left" w:pos="6120"/>
        </w:tabs>
        <w:spacing w:line="204" w:lineRule="atLeast"/>
        <w:jc w:val="center"/>
        <w:rPr>
          <w:b/>
          <w:color w:val="000000"/>
        </w:rPr>
      </w:pPr>
      <w:r w:rsidRPr="00610312">
        <w:rPr>
          <w:b/>
          <w:color w:val="000000"/>
        </w:rPr>
        <w:lastRenderedPageBreak/>
        <w:t>CUMULATIVE INDEX</w:t>
      </w:r>
    </w:p>
    <w:p w14:paraId="321372ED" w14:textId="77777777" w:rsidR="00610312" w:rsidRPr="00610312" w:rsidRDefault="00610312" w:rsidP="00610312">
      <w:pPr>
        <w:spacing w:line="163" w:lineRule="atLeast"/>
        <w:jc w:val="center"/>
        <w:rPr>
          <w:b/>
          <w:color w:val="000000"/>
        </w:rPr>
      </w:pPr>
      <w:r w:rsidRPr="00610312">
        <w:rPr>
          <w:b/>
          <w:color w:val="000000"/>
        </w:rPr>
        <w:t>(Volume 52, Number 9)</w:t>
      </w:r>
    </w:p>
    <w:p w14:paraId="2F2CB3DB" w14:textId="77777777" w:rsidR="00610312" w:rsidRPr="00610312" w:rsidRDefault="00610312" w:rsidP="00610312">
      <w:pPr>
        <w:spacing w:line="163" w:lineRule="atLeast"/>
        <w:jc w:val="center"/>
        <w:rPr>
          <w:b/>
          <w:color w:val="000000"/>
        </w:rPr>
      </w:pPr>
    </w:p>
    <w:p w14:paraId="60FCB684" w14:textId="77777777" w:rsidR="00610312" w:rsidRPr="00610312" w:rsidRDefault="00610312" w:rsidP="00610312">
      <w:pPr>
        <w:spacing w:line="163" w:lineRule="atLeast"/>
        <w:jc w:val="center"/>
        <w:rPr>
          <w:b/>
          <w:bCs/>
          <w:color w:val="000000"/>
        </w:rPr>
        <w:sectPr w:rsidR="00610312" w:rsidRPr="00610312" w:rsidSect="00610312">
          <w:footerReference w:type="even" r:id="rId29"/>
          <w:footerReference w:type="default" r:id="rId30"/>
          <w:pgSz w:w="12240" w:h="15840" w:code="1"/>
          <w:pgMar w:top="720" w:right="864" w:bottom="317" w:left="864" w:header="576" w:footer="432" w:gutter="0"/>
          <w:pgNumType w:start="1754"/>
          <w:cols w:space="0" w:equalWidth="0">
            <w:col w:w="10296" w:space="432"/>
          </w:cols>
          <w:noEndnote/>
          <w:docGrid w:linePitch="272"/>
        </w:sectPr>
      </w:pPr>
    </w:p>
    <w:p w14:paraId="59F2DD9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noProof/>
          <w:kern w:val="2"/>
          <w:lang w:val="x-none" w:eastAsia="x-none"/>
        </w:rPr>
        <mc:AlternateContent>
          <mc:Choice Requires="wps">
            <w:drawing>
              <wp:anchor distT="0" distB="0" distL="114300" distR="114300" simplePos="0" relativeHeight="251667456" behindDoc="0" locked="0" layoutInCell="1" allowOverlap="1" wp14:anchorId="2A2EB80B" wp14:editId="5D57518A">
                <wp:simplePos x="0" y="0"/>
                <wp:positionH relativeFrom="column">
                  <wp:posOffset>330364</wp:posOffset>
                </wp:positionH>
                <wp:positionV relativeFrom="paragraph">
                  <wp:posOffset>58830</wp:posOffset>
                </wp:positionV>
                <wp:extent cx="2519024" cy="2896583"/>
                <wp:effectExtent l="0" t="0" r="15240" b="18415"/>
                <wp:wrapNone/>
                <wp:docPr id="1460188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024" cy="2896583"/>
                        </a:xfrm>
                        <a:prstGeom prst="rect">
                          <a:avLst/>
                        </a:prstGeom>
                        <a:solidFill>
                          <a:srgbClr val="DDDDDD"/>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C7719F9" w14:textId="77777777" w:rsidR="00610312" w:rsidRDefault="00610312" w:rsidP="00610312">
                            <w:pPr>
                              <w:jc w:val="center"/>
                              <w:rPr>
                                <w:b/>
                                <w:sz w:val="18"/>
                              </w:rPr>
                            </w:pPr>
                            <w:r>
                              <w:rPr>
                                <w:b/>
                                <w:sz w:val="18"/>
                              </w:rPr>
                              <w:t>2026</w:t>
                            </w:r>
                          </w:p>
                          <w:p w14:paraId="002C6510" w14:textId="77777777" w:rsidR="00610312" w:rsidRDefault="00610312" w:rsidP="00610312">
                            <w:pPr>
                              <w:rPr>
                                <w:b/>
                                <w:sz w:val="18"/>
                              </w:rPr>
                            </w:pPr>
                            <w:r>
                              <w:rPr>
                                <w:b/>
                                <w:sz w:val="18"/>
                              </w:rPr>
                              <w:t>Pages</w:t>
                            </w:r>
                            <w:r>
                              <w:rPr>
                                <w:b/>
                                <w:sz w:val="18"/>
                              </w:rPr>
                              <w:tab/>
                            </w:r>
                            <w:r>
                              <w:rPr>
                                <w:sz w:val="18"/>
                              </w:rPr>
                              <w:tab/>
                            </w:r>
                            <w:r>
                              <w:rPr>
                                <w:sz w:val="18"/>
                              </w:rPr>
                              <w:tab/>
                            </w:r>
                            <w:r>
                              <w:rPr>
                                <w:sz w:val="18"/>
                              </w:rPr>
                              <w:tab/>
                            </w:r>
                            <w:r>
                              <w:rPr>
                                <w:b/>
                                <w:sz w:val="18"/>
                              </w:rPr>
                              <w:t>Issue</w:t>
                            </w:r>
                          </w:p>
                          <w:p w14:paraId="422DD72D" w14:textId="77777777" w:rsidR="00610312" w:rsidRDefault="00610312" w:rsidP="00610312">
                            <w:pPr>
                              <w:tabs>
                                <w:tab w:val="left" w:leader="dot" w:pos="2880"/>
                              </w:tabs>
                              <w:rPr>
                                <w:sz w:val="17"/>
                                <w:szCs w:val="17"/>
                              </w:rPr>
                            </w:pPr>
                            <w:r w:rsidRPr="005B25E4">
                              <w:rPr>
                                <w:sz w:val="17"/>
                                <w:szCs w:val="17"/>
                              </w:rPr>
                              <w:t>1-</w:t>
                            </w:r>
                            <w:r>
                              <w:rPr>
                                <w:sz w:val="17"/>
                                <w:szCs w:val="17"/>
                              </w:rPr>
                              <w:t>194</w:t>
                            </w:r>
                            <w:r w:rsidRPr="005B25E4">
                              <w:rPr>
                                <w:sz w:val="17"/>
                                <w:szCs w:val="17"/>
                              </w:rPr>
                              <w:tab/>
                              <w:t>January</w:t>
                            </w:r>
                          </w:p>
                          <w:p w14:paraId="73A4B44F" w14:textId="77777777" w:rsidR="00610312" w:rsidRDefault="00610312" w:rsidP="00610312">
                            <w:pPr>
                              <w:tabs>
                                <w:tab w:val="left" w:leader="dot" w:pos="2880"/>
                              </w:tabs>
                              <w:rPr>
                                <w:sz w:val="17"/>
                                <w:szCs w:val="17"/>
                              </w:rPr>
                            </w:pPr>
                            <w:r>
                              <w:rPr>
                                <w:sz w:val="17"/>
                                <w:szCs w:val="17"/>
                              </w:rPr>
                              <w:t>195-329</w:t>
                            </w:r>
                            <w:r>
                              <w:rPr>
                                <w:sz w:val="17"/>
                                <w:szCs w:val="17"/>
                              </w:rPr>
                              <w:tab/>
                              <w:t>February</w:t>
                            </w:r>
                          </w:p>
                          <w:p w14:paraId="10A6368F" w14:textId="77777777" w:rsidR="00610312" w:rsidRDefault="00610312" w:rsidP="00610312">
                            <w:pPr>
                              <w:tabs>
                                <w:tab w:val="left" w:leader="dot" w:pos="2880"/>
                              </w:tabs>
                              <w:rPr>
                                <w:sz w:val="17"/>
                                <w:szCs w:val="17"/>
                              </w:rPr>
                            </w:pPr>
                            <w:r>
                              <w:rPr>
                                <w:sz w:val="17"/>
                                <w:szCs w:val="17"/>
                              </w:rPr>
                              <w:t>330-466</w:t>
                            </w:r>
                            <w:r>
                              <w:rPr>
                                <w:sz w:val="17"/>
                                <w:szCs w:val="17"/>
                              </w:rPr>
                              <w:tab/>
                              <w:t>March</w:t>
                            </w:r>
                          </w:p>
                          <w:p w14:paraId="5387C92A" w14:textId="77777777" w:rsidR="00610312" w:rsidRPr="005B25E4" w:rsidRDefault="00610312" w:rsidP="00610312">
                            <w:pPr>
                              <w:tabs>
                                <w:tab w:val="left" w:leader="dot" w:pos="2880"/>
                              </w:tabs>
                              <w:rPr>
                                <w:sz w:val="17"/>
                                <w:szCs w:val="17"/>
                              </w:rPr>
                            </w:pPr>
                            <w:r>
                              <w:rPr>
                                <w:sz w:val="17"/>
                                <w:szCs w:val="17"/>
                              </w:rPr>
                              <w:t>467-643</w:t>
                            </w:r>
                            <w:r>
                              <w:rPr>
                                <w:sz w:val="17"/>
                                <w:szCs w:val="17"/>
                              </w:rPr>
                              <w:tab/>
                              <w:t>April</w:t>
                            </w:r>
                          </w:p>
                          <w:p w14:paraId="1B3D3976" w14:textId="77777777" w:rsidR="00610312" w:rsidRPr="00C84072" w:rsidRDefault="00610312" w:rsidP="00610312">
                            <w:pPr>
                              <w:tabs>
                                <w:tab w:val="left" w:leader="dot" w:pos="2880"/>
                              </w:tabs>
                              <w:rPr>
                                <w:sz w:val="16"/>
                                <w:szCs w:val="16"/>
                              </w:rPr>
                            </w:pPr>
                            <w:r>
                              <w:rPr>
                                <w:sz w:val="16"/>
                                <w:szCs w:val="16"/>
                              </w:rPr>
                              <w:t>644-886</w:t>
                            </w:r>
                            <w:r>
                              <w:rPr>
                                <w:sz w:val="16"/>
                                <w:szCs w:val="16"/>
                              </w:rPr>
                              <w:tab/>
                              <w:t>May</w:t>
                            </w:r>
                          </w:p>
                          <w:p w14:paraId="16D2183F" w14:textId="77777777" w:rsidR="00610312" w:rsidRPr="00341F3B" w:rsidRDefault="00610312" w:rsidP="00610312">
                            <w:pPr>
                              <w:tabs>
                                <w:tab w:val="left" w:leader="dot" w:pos="2880"/>
                              </w:tabs>
                              <w:rPr>
                                <w:sz w:val="17"/>
                                <w:szCs w:val="17"/>
                              </w:rPr>
                            </w:pPr>
                            <w:r w:rsidRPr="00341F3B">
                              <w:rPr>
                                <w:sz w:val="17"/>
                                <w:szCs w:val="17"/>
                              </w:rPr>
                              <w:t>887-1092</w:t>
                            </w:r>
                            <w:r w:rsidRPr="00341F3B">
                              <w:rPr>
                                <w:sz w:val="17"/>
                                <w:szCs w:val="17"/>
                              </w:rPr>
                              <w:tab/>
                              <w:t>June</w:t>
                            </w:r>
                          </w:p>
                          <w:p w14:paraId="14F8DB17" w14:textId="77777777" w:rsidR="00610312" w:rsidRDefault="00610312" w:rsidP="00610312">
                            <w:pPr>
                              <w:tabs>
                                <w:tab w:val="left" w:leader="dot" w:pos="2880"/>
                              </w:tabs>
                              <w:rPr>
                                <w:sz w:val="17"/>
                                <w:szCs w:val="17"/>
                              </w:rPr>
                            </w:pPr>
                            <w:r w:rsidRPr="00341F3B">
                              <w:rPr>
                                <w:sz w:val="17"/>
                                <w:szCs w:val="17"/>
                              </w:rPr>
                              <w:t>1093-1305</w:t>
                            </w:r>
                            <w:r w:rsidRPr="00341F3B">
                              <w:rPr>
                                <w:sz w:val="17"/>
                                <w:szCs w:val="17"/>
                              </w:rPr>
                              <w:tab/>
                              <w:t>July</w:t>
                            </w:r>
                          </w:p>
                          <w:p w14:paraId="29F9CFA8" w14:textId="77777777" w:rsidR="00610312" w:rsidRPr="00341F3B" w:rsidRDefault="00610312" w:rsidP="00610312">
                            <w:pPr>
                              <w:tabs>
                                <w:tab w:val="left" w:leader="dot" w:pos="2880"/>
                              </w:tabs>
                              <w:rPr>
                                <w:sz w:val="17"/>
                                <w:szCs w:val="17"/>
                              </w:rPr>
                            </w:pPr>
                            <w:r>
                              <w:rPr>
                                <w:sz w:val="17"/>
                                <w:szCs w:val="17"/>
                              </w:rPr>
                              <w:t>1306-1465</w:t>
                            </w:r>
                            <w:r>
                              <w:rPr>
                                <w:sz w:val="17"/>
                                <w:szCs w:val="17"/>
                              </w:rPr>
                              <w:tab/>
                              <w:t>August</w:t>
                            </w:r>
                          </w:p>
                          <w:p w14:paraId="6FA032C0" w14:textId="77777777" w:rsidR="00610312" w:rsidRPr="000E6F10" w:rsidRDefault="00610312" w:rsidP="00610312">
                            <w:pPr>
                              <w:tabs>
                                <w:tab w:val="left" w:leader="dot" w:pos="2880"/>
                              </w:tabs>
                              <w:rPr>
                                <w:sz w:val="17"/>
                                <w:szCs w:val="17"/>
                              </w:rPr>
                            </w:pPr>
                            <w:r w:rsidRPr="000E6F10">
                              <w:rPr>
                                <w:sz w:val="17"/>
                                <w:szCs w:val="17"/>
                              </w:rPr>
                              <w:t>1466</w:t>
                            </w:r>
                            <w:r>
                              <w:rPr>
                                <w:sz w:val="17"/>
                                <w:szCs w:val="17"/>
                              </w:rPr>
                              <w:t>-1762</w:t>
                            </w:r>
                            <w:r>
                              <w:rPr>
                                <w:sz w:val="17"/>
                                <w:szCs w:val="17"/>
                              </w:rPr>
                              <w:tab/>
                              <w:t>September</w:t>
                            </w:r>
                          </w:p>
                          <w:p w14:paraId="6FC7DDF8" w14:textId="77777777" w:rsidR="00610312" w:rsidRPr="007954BD" w:rsidRDefault="00610312" w:rsidP="00610312">
                            <w:pPr>
                              <w:tabs>
                                <w:tab w:val="left" w:leader="dot" w:pos="2880"/>
                              </w:tabs>
                              <w:rPr>
                                <w:sz w:val="10"/>
                                <w:szCs w:val="10"/>
                              </w:rPr>
                            </w:pPr>
                          </w:p>
                          <w:p w14:paraId="619B546D" w14:textId="77777777" w:rsidR="00610312" w:rsidRDefault="00610312" w:rsidP="00610312">
                            <w:pPr>
                              <w:tabs>
                                <w:tab w:val="left" w:leader="dot" w:pos="2880"/>
                              </w:tabs>
                              <w:rPr>
                                <w:sz w:val="18"/>
                              </w:rPr>
                            </w:pPr>
                            <w:r>
                              <w:rPr>
                                <w:sz w:val="18"/>
                              </w:rPr>
                              <w:t>EO―Executive Order</w:t>
                            </w:r>
                          </w:p>
                          <w:p w14:paraId="1F02B1A4" w14:textId="77777777" w:rsidR="00610312" w:rsidRDefault="00610312" w:rsidP="00610312">
                            <w:pPr>
                              <w:tabs>
                                <w:tab w:val="left" w:leader="dot" w:pos="2880"/>
                              </w:tabs>
                              <w:rPr>
                                <w:sz w:val="18"/>
                              </w:rPr>
                            </w:pPr>
                            <w:r>
                              <w:rPr>
                                <w:sz w:val="18"/>
                              </w:rPr>
                              <w:t>PPM―Policy and Procedure Memoranda</w:t>
                            </w:r>
                          </w:p>
                          <w:p w14:paraId="4565A477" w14:textId="77777777" w:rsidR="00610312" w:rsidRDefault="00610312" w:rsidP="00610312">
                            <w:pPr>
                              <w:tabs>
                                <w:tab w:val="left" w:leader="dot" w:pos="2880"/>
                              </w:tabs>
                              <w:rPr>
                                <w:sz w:val="18"/>
                              </w:rPr>
                            </w:pPr>
                            <w:r>
                              <w:rPr>
                                <w:sz w:val="18"/>
                              </w:rPr>
                              <w:t>ER―Emergency Rule</w:t>
                            </w:r>
                          </w:p>
                          <w:p w14:paraId="6763326F" w14:textId="77777777" w:rsidR="00610312" w:rsidRDefault="00610312" w:rsidP="00610312">
                            <w:pPr>
                              <w:tabs>
                                <w:tab w:val="left" w:leader="dot" w:pos="2880"/>
                              </w:tabs>
                              <w:rPr>
                                <w:sz w:val="18"/>
                              </w:rPr>
                            </w:pPr>
                            <w:r>
                              <w:rPr>
                                <w:sz w:val="18"/>
                              </w:rPr>
                              <w:t>R―Rule</w:t>
                            </w:r>
                          </w:p>
                          <w:p w14:paraId="6392B7EB" w14:textId="77777777" w:rsidR="00610312" w:rsidRDefault="00610312" w:rsidP="00610312">
                            <w:pPr>
                              <w:tabs>
                                <w:tab w:val="left" w:leader="dot" w:pos="2880"/>
                              </w:tabs>
                              <w:rPr>
                                <w:sz w:val="18"/>
                              </w:rPr>
                            </w:pPr>
                            <w:r>
                              <w:rPr>
                                <w:sz w:val="18"/>
                              </w:rPr>
                              <w:t>N―Notice of Intent</w:t>
                            </w:r>
                          </w:p>
                          <w:p w14:paraId="0EA6AC48" w14:textId="77777777" w:rsidR="00610312" w:rsidRDefault="00610312" w:rsidP="00610312">
                            <w:pPr>
                              <w:tabs>
                                <w:tab w:val="left" w:leader="dot" w:pos="2880"/>
                              </w:tabs>
                              <w:rPr>
                                <w:sz w:val="18"/>
                              </w:rPr>
                            </w:pPr>
                            <w:r>
                              <w:rPr>
                                <w:sz w:val="18"/>
                              </w:rPr>
                              <w:t>CR―Committee Report</w:t>
                            </w:r>
                          </w:p>
                          <w:p w14:paraId="2B2C0DF0" w14:textId="77777777" w:rsidR="00610312" w:rsidRDefault="00610312" w:rsidP="00610312">
                            <w:pPr>
                              <w:tabs>
                                <w:tab w:val="left" w:leader="dot" w:pos="2880"/>
                              </w:tabs>
                              <w:rPr>
                                <w:sz w:val="18"/>
                              </w:rPr>
                            </w:pPr>
                            <w:r>
                              <w:rPr>
                                <w:sz w:val="18"/>
                              </w:rPr>
                              <w:t>GR―Governor's Report</w:t>
                            </w:r>
                          </w:p>
                          <w:p w14:paraId="541F8A7A" w14:textId="77777777" w:rsidR="00610312" w:rsidRDefault="00610312" w:rsidP="00610312">
                            <w:pPr>
                              <w:tabs>
                                <w:tab w:val="left" w:leader="dot" w:pos="2880"/>
                              </w:tabs>
                              <w:rPr>
                                <w:sz w:val="18"/>
                              </w:rPr>
                            </w:pPr>
                            <w:r>
                              <w:rPr>
                                <w:sz w:val="18"/>
                              </w:rPr>
                              <w:t>L―Legislation</w:t>
                            </w:r>
                          </w:p>
                          <w:p w14:paraId="59103F70" w14:textId="77777777" w:rsidR="00610312" w:rsidRDefault="00610312" w:rsidP="00610312">
                            <w:pPr>
                              <w:tabs>
                                <w:tab w:val="left" w:leader="dot" w:pos="2880"/>
                              </w:tabs>
                              <w:rPr>
                                <w:sz w:val="18"/>
                              </w:rPr>
                            </w:pPr>
                            <w:r>
                              <w:rPr>
                                <w:sz w:val="18"/>
                              </w:rPr>
                              <w:t>P―Potpourri</w:t>
                            </w:r>
                          </w:p>
                          <w:p w14:paraId="5F5E92B6" w14:textId="77777777" w:rsidR="00610312" w:rsidRDefault="00610312" w:rsidP="00610312">
                            <w:pPr>
                              <w:tabs>
                                <w:tab w:val="left" w:leader="dot" w:pos="2880"/>
                              </w:tabs>
                              <w:rPr>
                                <w:sz w:val="18"/>
                              </w:rPr>
                            </w:pPr>
                            <w:r>
                              <w:rPr>
                                <w:sz w:val="18"/>
                              </w:rPr>
                              <w:t>QU―Administrative Code Quarterly Update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EB80B" id="Text Box 2" o:spid="_x0000_s1028" type="#_x0000_t202" style="position:absolute;left:0;text-align:left;margin-left:26pt;margin-top:4.65pt;width:198.35pt;height:22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" fillcolor="#ddd">
                <v:textbox>
                  <w:txbxContent>
                    <w:p w14:paraId="7C7719F9" w14:textId="77777777" w:rsidR="00610312" w:rsidRDefault="00610312" w:rsidP="00610312">
                      <w:pPr>
                        <w:jc w:val="center"/>
                        <w:rPr>
                          <w:b/>
                          <w:sz w:val="18"/>
                        </w:rPr>
                      </w:pPr>
                      <w:r>
                        <w:rPr>
                          <w:b/>
                          <w:sz w:val="18"/>
                        </w:rPr>
                        <w:t>2026</w:t>
                      </w:r>
                    </w:p>
                    <w:p w14:paraId="002C6510" w14:textId="77777777" w:rsidR="00610312" w:rsidRDefault="00610312" w:rsidP="00610312">
                      <w:pPr>
                        <w:rPr>
                          <w:b/>
                          <w:sz w:val="18"/>
                        </w:rPr>
                      </w:pPr>
                      <w:r>
                        <w:rPr>
                          <w:b/>
                          <w:sz w:val="18"/>
                        </w:rPr>
                        <w:t>Pages</w:t>
                      </w:r>
                      <w:r>
                        <w:rPr>
                          <w:b/>
                          <w:sz w:val="18"/>
                        </w:rPr>
                        <w:tab/>
                      </w:r>
                      <w:r>
                        <w:rPr>
                          <w:sz w:val="18"/>
                        </w:rPr>
                        <w:tab/>
                      </w:r>
                      <w:r>
                        <w:rPr>
                          <w:sz w:val="18"/>
                        </w:rPr>
                        <w:tab/>
                      </w:r>
                      <w:r>
                        <w:rPr>
                          <w:sz w:val="18"/>
                        </w:rPr>
                        <w:tab/>
                      </w:r>
                      <w:r>
                        <w:rPr>
                          <w:b/>
                          <w:sz w:val="18"/>
                        </w:rPr>
                        <w:t>Issue</w:t>
                      </w:r>
                    </w:p>
                    <w:p w14:paraId="422DD72D" w14:textId="77777777" w:rsidR="00610312" w:rsidRDefault="00610312" w:rsidP="00610312">
                      <w:pPr>
                        <w:tabs>
                          <w:tab w:val="left" w:leader="dot" w:pos="2880"/>
                        </w:tabs>
                        <w:rPr>
                          <w:sz w:val="17"/>
                          <w:szCs w:val="17"/>
                        </w:rPr>
                      </w:pPr>
                      <w:r w:rsidRPr="005B25E4">
                        <w:rPr>
                          <w:sz w:val="17"/>
                          <w:szCs w:val="17"/>
                        </w:rPr>
                        <w:t>1-</w:t>
                      </w:r>
                      <w:r>
                        <w:rPr>
                          <w:sz w:val="17"/>
                          <w:szCs w:val="17"/>
                        </w:rPr>
                        <w:t>194</w:t>
                      </w:r>
                      <w:r w:rsidRPr="005B25E4">
                        <w:rPr>
                          <w:sz w:val="17"/>
                          <w:szCs w:val="17"/>
                        </w:rPr>
                        <w:tab/>
                        <w:t>January</w:t>
                      </w:r>
                    </w:p>
                    <w:p w14:paraId="73A4B44F" w14:textId="77777777" w:rsidR="00610312" w:rsidRDefault="00610312" w:rsidP="00610312">
                      <w:pPr>
                        <w:tabs>
                          <w:tab w:val="left" w:leader="dot" w:pos="2880"/>
                        </w:tabs>
                        <w:rPr>
                          <w:sz w:val="17"/>
                          <w:szCs w:val="17"/>
                        </w:rPr>
                      </w:pPr>
                      <w:r>
                        <w:rPr>
                          <w:sz w:val="17"/>
                          <w:szCs w:val="17"/>
                        </w:rPr>
                        <w:t>195-329</w:t>
                      </w:r>
                      <w:r>
                        <w:rPr>
                          <w:sz w:val="17"/>
                          <w:szCs w:val="17"/>
                        </w:rPr>
                        <w:tab/>
                        <w:t>February</w:t>
                      </w:r>
                    </w:p>
                    <w:p w14:paraId="10A6368F" w14:textId="77777777" w:rsidR="00610312" w:rsidRDefault="00610312" w:rsidP="00610312">
                      <w:pPr>
                        <w:tabs>
                          <w:tab w:val="left" w:leader="dot" w:pos="2880"/>
                        </w:tabs>
                        <w:rPr>
                          <w:sz w:val="17"/>
                          <w:szCs w:val="17"/>
                        </w:rPr>
                      </w:pPr>
                      <w:r>
                        <w:rPr>
                          <w:sz w:val="17"/>
                          <w:szCs w:val="17"/>
                        </w:rPr>
                        <w:t>330-466</w:t>
                      </w:r>
                      <w:r>
                        <w:rPr>
                          <w:sz w:val="17"/>
                          <w:szCs w:val="17"/>
                        </w:rPr>
                        <w:tab/>
                        <w:t>March</w:t>
                      </w:r>
                    </w:p>
                    <w:p w14:paraId="5387C92A" w14:textId="77777777" w:rsidR="00610312" w:rsidRPr="005B25E4" w:rsidRDefault="00610312" w:rsidP="00610312">
                      <w:pPr>
                        <w:tabs>
                          <w:tab w:val="left" w:leader="dot" w:pos="2880"/>
                        </w:tabs>
                        <w:rPr>
                          <w:sz w:val="17"/>
                          <w:szCs w:val="17"/>
                        </w:rPr>
                      </w:pPr>
                      <w:r>
                        <w:rPr>
                          <w:sz w:val="17"/>
                          <w:szCs w:val="17"/>
                        </w:rPr>
                        <w:t>467-643</w:t>
                      </w:r>
                      <w:r>
                        <w:rPr>
                          <w:sz w:val="17"/>
                          <w:szCs w:val="17"/>
                        </w:rPr>
                        <w:tab/>
                        <w:t>April</w:t>
                      </w:r>
                    </w:p>
                    <w:p w14:paraId="1B3D3976" w14:textId="77777777" w:rsidR="00610312" w:rsidRPr="00C84072" w:rsidRDefault="00610312" w:rsidP="00610312">
                      <w:pPr>
                        <w:tabs>
                          <w:tab w:val="left" w:leader="dot" w:pos="2880"/>
                        </w:tabs>
                        <w:rPr>
                          <w:sz w:val="16"/>
                          <w:szCs w:val="16"/>
                        </w:rPr>
                      </w:pPr>
                      <w:r>
                        <w:rPr>
                          <w:sz w:val="16"/>
                          <w:szCs w:val="16"/>
                        </w:rPr>
                        <w:t>644-886</w:t>
                      </w:r>
                      <w:r>
                        <w:rPr>
                          <w:sz w:val="16"/>
                          <w:szCs w:val="16"/>
                        </w:rPr>
                        <w:tab/>
                        <w:t>May</w:t>
                      </w:r>
                    </w:p>
                    <w:p w14:paraId="16D2183F" w14:textId="77777777" w:rsidR="00610312" w:rsidRPr="00341F3B" w:rsidRDefault="00610312" w:rsidP="00610312">
                      <w:pPr>
                        <w:tabs>
                          <w:tab w:val="left" w:leader="dot" w:pos="2880"/>
                        </w:tabs>
                        <w:rPr>
                          <w:sz w:val="17"/>
                          <w:szCs w:val="17"/>
                        </w:rPr>
                      </w:pPr>
                      <w:r w:rsidRPr="00341F3B">
                        <w:rPr>
                          <w:sz w:val="17"/>
                          <w:szCs w:val="17"/>
                        </w:rPr>
                        <w:t>887-1092</w:t>
                      </w:r>
                      <w:r w:rsidRPr="00341F3B">
                        <w:rPr>
                          <w:sz w:val="17"/>
                          <w:szCs w:val="17"/>
                        </w:rPr>
                        <w:tab/>
                        <w:t>June</w:t>
                      </w:r>
                    </w:p>
                    <w:p w14:paraId="14F8DB17" w14:textId="77777777" w:rsidR="00610312" w:rsidRDefault="00610312" w:rsidP="00610312">
                      <w:pPr>
                        <w:tabs>
                          <w:tab w:val="left" w:leader="dot" w:pos="2880"/>
                        </w:tabs>
                        <w:rPr>
                          <w:sz w:val="17"/>
                          <w:szCs w:val="17"/>
                        </w:rPr>
                      </w:pPr>
                      <w:r w:rsidRPr="00341F3B">
                        <w:rPr>
                          <w:sz w:val="17"/>
                          <w:szCs w:val="17"/>
                        </w:rPr>
                        <w:t>1093-1305</w:t>
                      </w:r>
                      <w:r w:rsidRPr="00341F3B">
                        <w:rPr>
                          <w:sz w:val="17"/>
                          <w:szCs w:val="17"/>
                        </w:rPr>
                        <w:tab/>
                        <w:t>July</w:t>
                      </w:r>
                    </w:p>
                    <w:p w14:paraId="29F9CFA8" w14:textId="77777777" w:rsidR="00610312" w:rsidRPr="00341F3B" w:rsidRDefault="00610312" w:rsidP="00610312">
                      <w:pPr>
                        <w:tabs>
                          <w:tab w:val="left" w:leader="dot" w:pos="2880"/>
                        </w:tabs>
                        <w:rPr>
                          <w:sz w:val="17"/>
                          <w:szCs w:val="17"/>
                        </w:rPr>
                      </w:pPr>
                      <w:r>
                        <w:rPr>
                          <w:sz w:val="17"/>
                          <w:szCs w:val="17"/>
                        </w:rPr>
                        <w:t>1306-1465</w:t>
                      </w:r>
                      <w:r>
                        <w:rPr>
                          <w:sz w:val="17"/>
                          <w:szCs w:val="17"/>
                        </w:rPr>
                        <w:tab/>
                        <w:t>August</w:t>
                      </w:r>
                    </w:p>
                    <w:p w14:paraId="6FA032C0" w14:textId="77777777" w:rsidR="00610312" w:rsidRPr="000E6F10" w:rsidRDefault="00610312" w:rsidP="00610312">
                      <w:pPr>
                        <w:tabs>
                          <w:tab w:val="left" w:leader="dot" w:pos="2880"/>
                        </w:tabs>
                        <w:rPr>
                          <w:sz w:val="17"/>
                          <w:szCs w:val="17"/>
                        </w:rPr>
                      </w:pPr>
                      <w:r w:rsidRPr="000E6F10">
                        <w:rPr>
                          <w:sz w:val="17"/>
                          <w:szCs w:val="17"/>
                        </w:rPr>
                        <w:t>1466</w:t>
                      </w:r>
                      <w:r>
                        <w:rPr>
                          <w:sz w:val="17"/>
                          <w:szCs w:val="17"/>
                        </w:rPr>
                        <w:t>-1762</w:t>
                      </w:r>
                      <w:r>
                        <w:rPr>
                          <w:sz w:val="17"/>
                          <w:szCs w:val="17"/>
                        </w:rPr>
                        <w:tab/>
                        <w:t>September</w:t>
                      </w:r>
                    </w:p>
                    <w:p w14:paraId="6FC7DDF8" w14:textId="77777777" w:rsidR="00610312" w:rsidRPr="007954BD" w:rsidRDefault="00610312" w:rsidP="00610312">
                      <w:pPr>
                        <w:tabs>
                          <w:tab w:val="left" w:leader="dot" w:pos="2880"/>
                        </w:tabs>
                        <w:rPr>
                          <w:sz w:val="10"/>
                          <w:szCs w:val="10"/>
                        </w:rPr>
                      </w:pPr>
                    </w:p>
                    <w:p w14:paraId="619B546D" w14:textId="77777777" w:rsidR="00610312" w:rsidRDefault="00610312" w:rsidP="00610312">
                      <w:pPr>
                        <w:tabs>
                          <w:tab w:val="left" w:leader="dot" w:pos="2880"/>
                        </w:tabs>
                        <w:rPr>
                          <w:sz w:val="18"/>
                        </w:rPr>
                      </w:pPr>
                      <w:r>
                        <w:rPr>
                          <w:sz w:val="18"/>
                        </w:rPr>
                        <w:t>EO―Executive Order</w:t>
                      </w:r>
                    </w:p>
                    <w:p w14:paraId="1F02B1A4" w14:textId="77777777" w:rsidR="00610312" w:rsidRDefault="00610312" w:rsidP="00610312">
                      <w:pPr>
                        <w:tabs>
                          <w:tab w:val="left" w:leader="dot" w:pos="2880"/>
                        </w:tabs>
                        <w:rPr>
                          <w:sz w:val="18"/>
                        </w:rPr>
                      </w:pPr>
                      <w:r>
                        <w:rPr>
                          <w:sz w:val="18"/>
                        </w:rPr>
                        <w:t>PPM―Policy and Procedure Memoranda</w:t>
                      </w:r>
                    </w:p>
                    <w:p w14:paraId="4565A477" w14:textId="77777777" w:rsidR="00610312" w:rsidRDefault="00610312" w:rsidP="00610312">
                      <w:pPr>
                        <w:tabs>
                          <w:tab w:val="left" w:leader="dot" w:pos="2880"/>
                        </w:tabs>
                        <w:rPr>
                          <w:sz w:val="18"/>
                        </w:rPr>
                      </w:pPr>
                      <w:r>
                        <w:rPr>
                          <w:sz w:val="18"/>
                        </w:rPr>
                        <w:t>ER―Emergency Rule</w:t>
                      </w:r>
                    </w:p>
                    <w:p w14:paraId="6763326F" w14:textId="77777777" w:rsidR="00610312" w:rsidRDefault="00610312" w:rsidP="00610312">
                      <w:pPr>
                        <w:tabs>
                          <w:tab w:val="left" w:leader="dot" w:pos="2880"/>
                        </w:tabs>
                        <w:rPr>
                          <w:sz w:val="18"/>
                        </w:rPr>
                      </w:pPr>
                      <w:r>
                        <w:rPr>
                          <w:sz w:val="18"/>
                        </w:rPr>
                        <w:t>R―Rule</w:t>
                      </w:r>
                    </w:p>
                    <w:p w14:paraId="6392B7EB" w14:textId="77777777" w:rsidR="00610312" w:rsidRDefault="00610312" w:rsidP="00610312">
                      <w:pPr>
                        <w:tabs>
                          <w:tab w:val="left" w:leader="dot" w:pos="2880"/>
                        </w:tabs>
                        <w:rPr>
                          <w:sz w:val="18"/>
                        </w:rPr>
                      </w:pPr>
                      <w:r>
                        <w:rPr>
                          <w:sz w:val="18"/>
                        </w:rPr>
                        <w:t>N―Notice of Intent</w:t>
                      </w:r>
                    </w:p>
                    <w:p w14:paraId="0EA6AC48" w14:textId="77777777" w:rsidR="00610312" w:rsidRDefault="00610312" w:rsidP="00610312">
                      <w:pPr>
                        <w:tabs>
                          <w:tab w:val="left" w:leader="dot" w:pos="2880"/>
                        </w:tabs>
                        <w:rPr>
                          <w:sz w:val="18"/>
                        </w:rPr>
                      </w:pPr>
                      <w:r>
                        <w:rPr>
                          <w:sz w:val="18"/>
                        </w:rPr>
                        <w:t>CR―Committee Report</w:t>
                      </w:r>
                    </w:p>
                    <w:p w14:paraId="2B2C0DF0" w14:textId="77777777" w:rsidR="00610312" w:rsidRDefault="00610312" w:rsidP="00610312">
                      <w:pPr>
                        <w:tabs>
                          <w:tab w:val="left" w:leader="dot" w:pos="2880"/>
                        </w:tabs>
                        <w:rPr>
                          <w:sz w:val="18"/>
                        </w:rPr>
                      </w:pPr>
                      <w:r>
                        <w:rPr>
                          <w:sz w:val="18"/>
                        </w:rPr>
                        <w:t>GR―Governor's Report</w:t>
                      </w:r>
                    </w:p>
                    <w:p w14:paraId="541F8A7A" w14:textId="77777777" w:rsidR="00610312" w:rsidRDefault="00610312" w:rsidP="00610312">
                      <w:pPr>
                        <w:tabs>
                          <w:tab w:val="left" w:leader="dot" w:pos="2880"/>
                        </w:tabs>
                        <w:rPr>
                          <w:sz w:val="18"/>
                        </w:rPr>
                      </w:pPr>
                      <w:r>
                        <w:rPr>
                          <w:sz w:val="18"/>
                        </w:rPr>
                        <w:t>L―Legislation</w:t>
                      </w:r>
                    </w:p>
                    <w:p w14:paraId="59103F70" w14:textId="77777777" w:rsidR="00610312" w:rsidRDefault="00610312" w:rsidP="00610312">
                      <w:pPr>
                        <w:tabs>
                          <w:tab w:val="left" w:leader="dot" w:pos="2880"/>
                        </w:tabs>
                        <w:rPr>
                          <w:sz w:val="18"/>
                        </w:rPr>
                      </w:pPr>
                      <w:r>
                        <w:rPr>
                          <w:sz w:val="18"/>
                        </w:rPr>
                        <w:t>P―Potpourri</w:t>
                      </w:r>
                    </w:p>
                    <w:p w14:paraId="5F5E92B6" w14:textId="77777777" w:rsidR="00610312" w:rsidRDefault="00610312" w:rsidP="00610312">
                      <w:pPr>
                        <w:tabs>
                          <w:tab w:val="left" w:leader="dot" w:pos="2880"/>
                        </w:tabs>
                        <w:rPr>
                          <w:sz w:val="18"/>
                        </w:rPr>
                      </w:pPr>
                      <w:r>
                        <w:rPr>
                          <w:sz w:val="18"/>
                        </w:rPr>
                        <w:t>QU―Administrative Code Quarterly Update</w:t>
                      </w:r>
                    </w:p>
                  </w:txbxContent>
                </v:textbox>
              </v:shape>
            </w:pict>
          </mc:Fallback>
        </mc:AlternateContent>
      </w:r>
    </w:p>
    <w:p w14:paraId="552CACF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DF3A2B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6B7434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F9C654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DE69CC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319507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D31AF3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61BA8B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E248F9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BA520D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noProof/>
          <w:kern w:val="2"/>
          <w:lang w:val="x-none" w:eastAsia="x-none"/>
        </w:rPr>
        <mc:AlternateContent>
          <mc:Choice Requires="wps">
            <w:drawing>
              <wp:anchor distT="0" distB="0" distL="114300" distR="114300" simplePos="0" relativeHeight="251668480" behindDoc="0" locked="0" layoutInCell="1" allowOverlap="1" wp14:anchorId="79E00946" wp14:editId="22D0C315">
                <wp:simplePos x="0" y="0"/>
                <wp:positionH relativeFrom="column">
                  <wp:posOffset>330364</wp:posOffset>
                </wp:positionH>
                <wp:positionV relativeFrom="paragraph">
                  <wp:posOffset>61370</wp:posOffset>
                </wp:positionV>
                <wp:extent cx="2518410" cy="0"/>
                <wp:effectExtent l="0" t="0" r="0" b="0"/>
                <wp:wrapNone/>
                <wp:docPr id="244263131" name="Line 3" descr="Image contains box with key to page numbers with corresponding cumulative Louisiana Registers of the current yea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8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5D030" id="Line 3" o:spid="_x0000_s1026" alt="Image contains box with key to page numbers with corresponding cumulative Louisiana Registers of the current year."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85pt" to="224.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4PzsAEAAEgDAAAOAAAAZHJzL2Uyb0RvYy54bWysU8Fu2zAMvQ/YPwi6L46DZe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"/>
            </w:pict>
          </mc:Fallback>
        </mc:AlternateContent>
      </w:r>
    </w:p>
    <w:p w14:paraId="38E8DC0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84DB3C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37F8000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026526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93514C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246B402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1890FE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233F4C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5E4314D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E82868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0705C9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19BC086" w14:textId="77777777" w:rsidR="00610312" w:rsidRPr="00610312" w:rsidRDefault="00610312" w:rsidP="00610312">
      <w:pPr>
        <w:keepNext/>
        <w:jc w:val="center"/>
        <w:rPr>
          <w:b/>
          <w:bCs/>
          <w:kern w:val="28"/>
        </w:rPr>
      </w:pPr>
      <w:r w:rsidRPr="00610312">
        <w:rPr>
          <w:b/>
          <w:kern w:val="28"/>
        </w:rPr>
        <w:t>ADMINISTRATIVE CODE UPDATE</w:t>
      </w:r>
    </w:p>
    <w:p w14:paraId="7F35C81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bCs/>
          <w:color w:val="000000"/>
          <w:kern w:val="2"/>
          <w:lang w:val="x-none" w:eastAsia="x-none"/>
        </w:rPr>
      </w:pPr>
      <w:r w:rsidRPr="00610312">
        <w:rPr>
          <w:b/>
          <w:kern w:val="2"/>
          <w:lang w:eastAsia="x-none"/>
        </w:rPr>
        <w:t>Cumulative</w:t>
      </w:r>
    </w:p>
    <w:p w14:paraId="4D49356D" w14:textId="77777777" w:rsidR="00610312" w:rsidRPr="00610312" w:rsidRDefault="00610312" w:rsidP="00610312">
      <w:pPr>
        <w:tabs>
          <w:tab w:val="left" w:pos="720"/>
          <w:tab w:val="left" w:pos="979"/>
          <w:tab w:val="left" w:pos="1152"/>
        </w:tabs>
        <w:ind w:firstLine="360"/>
        <w:jc w:val="both"/>
        <w:outlineLvl w:val="4"/>
        <w:rPr>
          <w:kern w:val="2"/>
        </w:rPr>
      </w:pPr>
      <w:r w:rsidRPr="00610312">
        <w:rPr>
          <w:kern w:val="2"/>
        </w:rPr>
        <w:t>January 2025-December 2025, 184QU</w:t>
      </w:r>
    </w:p>
    <w:p w14:paraId="0C937D2E" w14:textId="77777777" w:rsidR="00610312" w:rsidRPr="00610312" w:rsidRDefault="00610312" w:rsidP="00610312">
      <w:pPr>
        <w:tabs>
          <w:tab w:val="left" w:pos="720"/>
          <w:tab w:val="left" w:pos="979"/>
          <w:tab w:val="left" w:pos="1152"/>
        </w:tabs>
        <w:ind w:firstLine="360"/>
        <w:jc w:val="both"/>
        <w:outlineLvl w:val="4"/>
        <w:rPr>
          <w:kern w:val="2"/>
        </w:rPr>
      </w:pPr>
      <w:r w:rsidRPr="00610312">
        <w:rPr>
          <w:kern w:val="2"/>
        </w:rPr>
        <w:t>January 2026-March 2026, 634QU</w:t>
      </w:r>
    </w:p>
    <w:p w14:paraId="1135F461" w14:textId="77777777" w:rsidR="00610312" w:rsidRPr="00610312" w:rsidRDefault="00610312" w:rsidP="00610312">
      <w:pPr>
        <w:tabs>
          <w:tab w:val="left" w:pos="720"/>
          <w:tab w:val="left" w:pos="979"/>
          <w:tab w:val="left" w:pos="1152"/>
        </w:tabs>
        <w:ind w:firstLine="360"/>
        <w:jc w:val="both"/>
        <w:outlineLvl w:val="4"/>
        <w:rPr>
          <w:kern w:val="2"/>
        </w:rPr>
      </w:pPr>
      <w:r w:rsidRPr="00610312">
        <w:rPr>
          <w:kern w:val="2"/>
        </w:rPr>
        <w:t>January 2026-June 2026, 1294QU</w:t>
      </w:r>
    </w:p>
    <w:p w14:paraId="5DECD63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61E3304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63BF2ED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3875BACA" w14:textId="77777777" w:rsidR="00610312" w:rsidRPr="00610312" w:rsidRDefault="00610312" w:rsidP="00610312">
      <w:pPr>
        <w:keepNext/>
        <w:jc w:val="center"/>
        <w:rPr>
          <w:kern w:val="28"/>
        </w:rPr>
      </w:pPr>
      <w:r w:rsidRPr="00610312">
        <w:rPr>
          <w:b/>
          <w:kern w:val="28"/>
        </w:rPr>
        <w:t>AGRICULTURE AND FORESTRY</w:t>
      </w:r>
    </w:p>
    <w:p w14:paraId="178B9D7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Agricultural and Environmental Sciences, Office of</w:t>
      </w:r>
    </w:p>
    <w:p w14:paraId="6223CB85"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Agricultural Chemistry and Seed Commission</w:t>
      </w:r>
    </w:p>
    <w:p w14:paraId="1243947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2026 Annual Quarantine List, 1079P</w:t>
      </w:r>
    </w:p>
    <w:p w14:paraId="45A4842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Certification of specific crops/varieties, 347R</w:t>
      </w:r>
    </w:p>
    <w:p w14:paraId="536FD3D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Removal of sampling for the Yellow Leaf Virus in the field, 909ER, 1397N</w:t>
      </w:r>
    </w:p>
    <w:p w14:paraId="041DE37A"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Horticulture Commission</w:t>
      </w:r>
    </w:p>
    <w:p w14:paraId="09AC7E0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Nursery stock quarantines and horticulture, 348R</w:t>
      </w:r>
    </w:p>
    <w:p w14:paraId="396BFA62"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Structural Pest Control Commission</w:t>
      </w:r>
    </w:p>
    <w:p w14:paraId="7E7156A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Approved termiticides and manufacturers, 320P</w:t>
      </w:r>
    </w:p>
    <w:p w14:paraId="5D15D7F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Obligation of the licensee/permittee and enforcement, 349R</w:t>
      </w:r>
    </w:p>
    <w:p w14:paraId="2A0C4CB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Structural Pest Control Commission, 1200N, 1532N</w:t>
      </w:r>
    </w:p>
    <w:p w14:paraId="34E8FF93"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Agricultural Finance Authority</w:t>
      </w:r>
    </w:p>
    <w:p w14:paraId="69A1691D" w14:textId="77777777" w:rsidR="00610312" w:rsidRPr="00610312" w:rsidRDefault="00610312" w:rsidP="00610312">
      <w:pPr>
        <w:tabs>
          <w:tab w:val="left" w:pos="720"/>
          <w:tab w:val="left" w:pos="979"/>
          <w:tab w:val="left" w:pos="1152"/>
        </w:tabs>
        <w:ind w:left="450" w:hanging="90"/>
        <w:jc w:val="both"/>
        <w:outlineLvl w:val="4"/>
        <w:rPr>
          <w:b/>
          <w:kern w:val="2"/>
        </w:rPr>
      </w:pPr>
      <w:r w:rsidRPr="00610312">
        <w:rPr>
          <w:kern w:val="2"/>
        </w:rPr>
        <w:t>Louisiana Agricultural Workforce Development Program, 376N, 1117R</w:t>
      </w:r>
    </w:p>
    <w:p w14:paraId="704A7F0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Agro-Consumer Services, Office of</w:t>
      </w:r>
    </w:p>
    <w:p w14:paraId="74F76B21" w14:textId="77777777" w:rsidR="00610312" w:rsidRPr="00610312" w:rsidRDefault="00610312" w:rsidP="00610312">
      <w:pPr>
        <w:tabs>
          <w:tab w:val="left" w:pos="720"/>
          <w:tab w:val="left" w:pos="979"/>
          <w:tab w:val="left" w:pos="1152"/>
        </w:tabs>
        <w:ind w:firstLine="270"/>
        <w:jc w:val="both"/>
        <w:outlineLvl w:val="4"/>
        <w:rPr>
          <w:b/>
          <w:kern w:val="2"/>
        </w:rPr>
      </w:pPr>
      <w:r w:rsidRPr="00610312">
        <w:rPr>
          <w:b/>
          <w:kern w:val="2"/>
        </w:rPr>
        <w:t>Agricultural Commodities Commission</w:t>
      </w:r>
    </w:p>
    <w:p w14:paraId="52D5D77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Grain and Cotton Indemnity Fund, 1535N</w:t>
      </w:r>
    </w:p>
    <w:p w14:paraId="70B88BAE" w14:textId="77777777" w:rsidR="00610312" w:rsidRPr="00610312" w:rsidRDefault="00610312" w:rsidP="00610312">
      <w:pPr>
        <w:tabs>
          <w:tab w:val="left" w:pos="720"/>
          <w:tab w:val="left" w:pos="979"/>
          <w:tab w:val="left" w:pos="1152"/>
        </w:tabs>
        <w:ind w:firstLine="270"/>
        <w:jc w:val="both"/>
        <w:outlineLvl w:val="4"/>
        <w:rPr>
          <w:b/>
          <w:kern w:val="2"/>
        </w:rPr>
      </w:pPr>
      <w:r w:rsidRPr="00610312">
        <w:rPr>
          <w:b/>
          <w:kern w:val="2"/>
        </w:rPr>
        <w:t>Weights and Measures, Division of</w:t>
      </w:r>
    </w:p>
    <w:p w14:paraId="72D3980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Imported seafood safety, 1354N, 2032R</w:t>
      </w:r>
    </w:p>
    <w:p w14:paraId="3A7C54A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Registration requirements and fees for liquid measuring devices and multiple dimension measuring devices, 1038N, 1499R</w:t>
      </w:r>
    </w:p>
    <w:p w14:paraId="4EC789B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Seafood consumer protection, 29R</w:t>
      </w:r>
    </w:p>
    <w:p w14:paraId="57FB1A8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Suspension of standard fuel specifications for gasoline and gasoline-oxygenate blends, 652ER, 1477ER</w:t>
      </w:r>
    </w:p>
    <w:p w14:paraId="5735A035"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Animal Health and Food Safety, Office of</w:t>
      </w:r>
    </w:p>
    <w:p w14:paraId="3F4FF21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Hunting season variances for farm-raised white-tailed deer, 1748P</w:t>
      </w:r>
    </w:p>
    <w:p w14:paraId="79061D5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bCs/>
          <w:kern w:val="2"/>
          <w:lang w:val="x-none" w:eastAsia="x-none"/>
        </w:rPr>
      </w:pPr>
      <w:r w:rsidRPr="00610312">
        <w:rPr>
          <w:b/>
          <w:kern w:val="2"/>
          <w:lang w:eastAsia="x-none"/>
        </w:rPr>
        <w:t>Commissioner</w:t>
      </w:r>
      <w:r w:rsidRPr="00610312">
        <w:rPr>
          <w:b/>
          <w:bCs/>
          <w:kern w:val="2"/>
          <w:lang w:val="x-none" w:eastAsia="x-none"/>
        </w:rPr>
        <w:t>, Office of the</w:t>
      </w:r>
    </w:p>
    <w:p w14:paraId="7AA1528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Gypsum, 24R</w:t>
      </w:r>
    </w:p>
    <w:p w14:paraId="19E8B614"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Veterinary Medicine, Board of</w:t>
      </w:r>
    </w:p>
    <w:p w14:paraId="0F9DE26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Board meeting dates, 187P</w:t>
      </w:r>
    </w:p>
    <w:p w14:paraId="37043C2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Board nominations, 187P</w:t>
      </w:r>
    </w:p>
    <w:p w14:paraId="3885564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Disciplinary proceedings, 1196N, 1497R</w:t>
      </w:r>
    </w:p>
    <w:p w14:paraId="6E4AAF2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Examination dates, 187P</w:t>
      </w:r>
    </w:p>
    <w:p w14:paraId="422EB6E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Fees, 761N, 1325R</w:t>
      </w:r>
    </w:p>
    <w:p w14:paraId="152B6AE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Certified animal euthanasia technicians, 763N, 1326R</w:t>
      </w:r>
    </w:p>
    <w:p w14:paraId="3DB0CF2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Licensing and continuing education</w:t>
      </w:r>
    </w:p>
    <w:p w14:paraId="4306C2B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CAETs, 210R</w:t>
      </w:r>
    </w:p>
    <w:p w14:paraId="7569846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DVMs, 210R</w:t>
      </w:r>
    </w:p>
    <w:p w14:paraId="6C096903"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RVTs, 210R</w:t>
      </w:r>
    </w:p>
    <w:p w14:paraId="400E933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Licensing procedures, 515N, 1327R, 1530N</w:t>
      </w:r>
    </w:p>
    <w:p w14:paraId="0A31CFC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Maintenance and security of sodium pentobarbital, and responsibilities of a lead CAET, 1198N</w:t>
      </w:r>
    </w:p>
    <w:p w14:paraId="33FD3E1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Pre-euthanasia restraint, 1327R</w:t>
      </w:r>
    </w:p>
    <w:p w14:paraId="1542E92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Rules for professional conduct, 764N, 1327R</w:t>
      </w:r>
    </w:p>
    <w:p w14:paraId="42F7EC0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Zoo personnel, 378N, 1118R</w:t>
      </w:r>
    </w:p>
    <w:p w14:paraId="3C27182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2D70FF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F8CA1F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12D7643" w14:textId="77777777" w:rsidR="00610312" w:rsidRPr="00610312" w:rsidRDefault="00610312" w:rsidP="00610312">
      <w:pPr>
        <w:keepNext/>
        <w:jc w:val="center"/>
        <w:rPr>
          <w:b/>
          <w:kern w:val="28"/>
        </w:rPr>
      </w:pPr>
      <w:r w:rsidRPr="00610312">
        <w:rPr>
          <w:b/>
          <w:kern w:val="28"/>
        </w:rPr>
        <w:t>CHILDREN AND FAMILY SERVICES</w:t>
      </w:r>
    </w:p>
    <w:p w14:paraId="281ECEC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Temporary Assistance for Needy Families (TANF)</w:t>
      </w:r>
    </w:p>
    <w:p w14:paraId="40EF1AA8"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Caseload reduction credit for FFY 26, 321P</w:t>
      </w:r>
    </w:p>
    <w:p w14:paraId="2FDE76A0"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Child Welfare, Division of</w:t>
      </w:r>
    </w:p>
    <w:p w14:paraId="0479989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Child welfare</w:t>
      </w:r>
    </w:p>
    <w:p w14:paraId="47DEAE3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Licensing and certification, 1537N</w:t>
      </w:r>
    </w:p>
    <w:p w14:paraId="44CF69D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pregnancy and baby care initiative, 247N, 665R</w:t>
      </w:r>
    </w:p>
    <w:p w14:paraId="641D78AF"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val="x-none" w:eastAsia="x-none"/>
        </w:rPr>
      </w:pPr>
      <w:r w:rsidRPr="00610312">
        <w:rPr>
          <w:rFonts w:eastAsia="Calibri"/>
          <w:b/>
          <w:kern w:val="2"/>
          <w:lang w:val="x-none" w:eastAsia="x-none"/>
        </w:rPr>
        <w:t>Management and Finance, Office of</w:t>
      </w:r>
    </w:p>
    <w:p w14:paraId="59ABC84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Criminal background and state central registry checks, 1320ER</w:t>
      </w:r>
    </w:p>
    <w:p w14:paraId="2E2E816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Regulatory remediation, 1546N</w:t>
      </w:r>
    </w:p>
    <w:p w14:paraId="4926A50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Substance abuse testing, 1398N</w:t>
      </w:r>
    </w:p>
    <w:p w14:paraId="6A9502B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196CB4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1021D1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923E124" w14:textId="77777777" w:rsidR="00610312" w:rsidRPr="00610312" w:rsidRDefault="00610312" w:rsidP="00610312">
      <w:pPr>
        <w:keepNext/>
        <w:jc w:val="center"/>
        <w:rPr>
          <w:b/>
          <w:kern w:val="28"/>
        </w:rPr>
      </w:pPr>
      <w:r w:rsidRPr="00610312">
        <w:rPr>
          <w:b/>
          <w:kern w:val="28"/>
        </w:rPr>
        <w:t>CIVIL SERVICE</w:t>
      </w:r>
    </w:p>
    <w:p w14:paraId="4080E25E"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Administrative Law, Division of</w:t>
      </w:r>
    </w:p>
    <w:p w14:paraId="2B79042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CA0CAAB"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Request for comments on rulemaking, 436P</w:t>
      </w:r>
    </w:p>
    <w:p w14:paraId="1F8BEA0D"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Ethics, Board of</w:t>
      </w:r>
    </w:p>
    <w:p w14:paraId="559EA5B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Food and drink limit, 516N, 1118R</w:t>
      </w:r>
    </w:p>
    <w:p w14:paraId="4248A27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78D9D8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EE105E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69AC623B" w14:textId="77777777" w:rsidR="00610312" w:rsidRPr="00610312" w:rsidRDefault="00610312" w:rsidP="00610312">
      <w:pPr>
        <w:keepNext/>
        <w:jc w:val="center"/>
        <w:rPr>
          <w:b/>
          <w:kern w:val="28"/>
        </w:rPr>
      </w:pPr>
      <w:r w:rsidRPr="00610312">
        <w:rPr>
          <w:b/>
          <w:kern w:val="28"/>
        </w:rPr>
        <w:t>CONCURRENT RESOLUTIONS</w:t>
      </w:r>
    </w:p>
    <w:p w14:paraId="1541602E"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House of Representatives</w:t>
      </w:r>
    </w:p>
    <w:p w14:paraId="08138A06"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5</w:t>
      </w:r>
    </w:p>
    <w:p w14:paraId="70A2BC5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Red </w:t>
      </w:r>
      <w:r w:rsidRPr="00610312">
        <w:rPr>
          <w:rFonts w:eastAsia="Calibri"/>
          <w:bCs/>
          <w:kern w:val="2"/>
        </w:rPr>
        <w:t>Drum</w:t>
      </w:r>
      <w:r w:rsidRPr="00610312">
        <w:rPr>
          <w:kern w:val="2"/>
        </w:rPr>
        <w:t>—Harvest Regulations (LAC 76:VII.363), 1075CR</w:t>
      </w:r>
    </w:p>
    <w:p w14:paraId="2E1FCC8A"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41</w:t>
      </w:r>
    </w:p>
    <w:p w14:paraId="14F6A4E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Red </w:t>
      </w:r>
      <w:r w:rsidRPr="00610312">
        <w:rPr>
          <w:rFonts w:eastAsia="Calibri"/>
          <w:bCs/>
          <w:kern w:val="2"/>
        </w:rPr>
        <w:t>Drum</w:t>
      </w:r>
      <w:r w:rsidRPr="00610312">
        <w:rPr>
          <w:kern w:val="2"/>
        </w:rPr>
        <w:t>—Harvest Regulations (LAC 76:VII.363), 1457CR</w:t>
      </w:r>
    </w:p>
    <w:p w14:paraId="551FD793" w14:textId="77777777" w:rsidR="00610312" w:rsidRPr="00610312" w:rsidRDefault="00610312" w:rsidP="00610312">
      <w:pPr>
        <w:keepNext/>
        <w:jc w:val="center"/>
        <w:rPr>
          <w:b/>
          <w:kern w:val="28"/>
        </w:rPr>
      </w:pPr>
      <w:r w:rsidRPr="00610312">
        <w:rPr>
          <w:b/>
          <w:kern w:val="28"/>
        </w:rPr>
        <w:lastRenderedPageBreak/>
        <w:t>CONCURRENT RESOLUTIONS (continued)</w:t>
      </w:r>
    </w:p>
    <w:p w14:paraId="419E171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Senate</w:t>
      </w:r>
    </w:p>
    <w:p w14:paraId="68E7B9E5"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2</w:t>
      </w:r>
    </w:p>
    <w:p w14:paraId="1CD3746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Licensing Process (LAC 48:I.9305), 1075CR</w:t>
      </w:r>
    </w:p>
    <w:p w14:paraId="7725C166"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3</w:t>
      </w:r>
    </w:p>
    <w:p w14:paraId="7E795D6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Request for Criminal History Information </w:t>
      </w:r>
    </w:p>
    <w:p w14:paraId="110192F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(LAC 55:I.207), 1076CR</w:t>
      </w:r>
    </w:p>
    <w:p w14:paraId="0470A18C"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24</w:t>
      </w:r>
    </w:p>
    <w:p w14:paraId="6FF21CB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Rules and Regulations for Chronic Wasting Disease Control Areas (LAC 76:V.137), 1076CR</w:t>
      </w:r>
    </w:p>
    <w:p w14:paraId="3644CD2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87E68C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4870C9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BFBA6D8" w14:textId="77777777" w:rsidR="00610312" w:rsidRPr="00610312" w:rsidRDefault="00610312" w:rsidP="00610312">
      <w:pPr>
        <w:keepNext/>
        <w:jc w:val="center"/>
        <w:rPr>
          <w:b/>
          <w:kern w:val="28"/>
        </w:rPr>
      </w:pPr>
      <w:r w:rsidRPr="00610312">
        <w:rPr>
          <w:b/>
          <w:kern w:val="28"/>
        </w:rPr>
        <w:t>CONSERVATION AND ENERGY</w:t>
      </w:r>
    </w:p>
    <w:p w14:paraId="003C9526"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Damage prevention, 1548N</w:t>
      </w:r>
    </w:p>
    <w:p w14:paraId="2F327CD7"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Request for comments on Groundwater Management rulemaking, 1749P</w:t>
      </w:r>
    </w:p>
    <w:p w14:paraId="3EEC1A20"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Enforcement, Office of</w:t>
      </w:r>
    </w:p>
    <w:p w14:paraId="02B31392"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Orphaned oilfield sites, 187P, 436P, 874P, 1081P, 1119P, 1296P, 1748P</w:t>
      </w:r>
    </w:p>
    <w:p w14:paraId="2B0288A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Oil Spill Coordinator’s Office</w:t>
      </w:r>
    </w:p>
    <w:p w14:paraId="1B4051FF" w14:textId="77777777" w:rsidR="00610312" w:rsidRPr="00610312" w:rsidRDefault="00610312" w:rsidP="00610312">
      <w:pPr>
        <w:tabs>
          <w:tab w:val="left" w:pos="720"/>
          <w:tab w:val="left" w:pos="979"/>
          <w:tab w:val="left" w:pos="1152"/>
        </w:tabs>
        <w:ind w:left="450" w:hanging="90"/>
        <w:jc w:val="both"/>
        <w:outlineLvl w:val="4"/>
        <w:rPr>
          <w:rFonts w:eastAsia="Calibri"/>
          <w:b/>
          <w:kern w:val="2"/>
        </w:rPr>
      </w:pPr>
      <w:r w:rsidRPr="00610312">
        <w:rPr>
          <w:kern w:val="2"/>
        </w:rPr>
        <w:t>Notice of Damage Assessment and Restoration Plan for 2014 Bay St. Elaine Oil Spill,2016 Lake Grand Ecaille Oil Spill, 2016 Bay Long Oil Spill, and 2016 Terrebonne Bay/Timbalier Island Oil Spill, 1081P</w:t>
      </w:r>
    </w:p>
    <w:p w14:paraId="0D967563"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Permitting and Compliance, Office of</w:t>
      </w:r>
    </w:p>
    <w:p w14:paraId="602210F5"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Administration of the fisherman’s gear compensation fund, 80N, 478R</w:t>
      </w:r>
    </w:p>
    <w:p w14:paraId="15F1777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Secretary, Office of the</w:t>
      </w:r>
    </w:p>
    <w:p w14:paraId="6B81291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Financial security for oil and gas wells, 1549N</w:t>
      </w:r>
    </w:p>
    <w:p w14:paraId="5511F97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New financial security option for oil and gas wells with requirements, 1321ER</w:t>
      </w:r>
    </w:p>
    <w:p w14:paraId="2D9B7D2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rFonts w:eastAsia="Calibri"/>
          <w:bCs/>
          <w:kern w:val="2"/>
        </w:rPr>
        <w:t>Notice</w:t>
      </w:r>
      <w:r w:rsidRPr="00610312">
        <w:rPr>
          <w:kern w:val="2"/>
        </w:rPr>
        <w:t xml:space="preserve"> of public hearing</w:t>
      </w:r>
    </w:p>
    <w:p w14:paraId="411C3859" w14:textId="77777777" w:rsidR="00610312" w:rsidRPr="00610312" w:rsidRDefault="00610312" w:rsidP="00610312">
      <w:pPr>
        <w:tabs>
          <w:tab w:val="left" w:pos="720"/>
          <w:tab w:val="left" w:pos="979"/>
          <w:tab w:val="left" w:pos="1152"/>
        </w:tabs>
        <w:ind w:left="450"/>
        <w:jc w:val="both"/>
        <w:outlineLvl w:val="4"/>
        <w:rPr>
          <w:kern w:val="2"/>
        </w:rPr>
      </w:pPr>
      <w:r w:rsidRPr="00610312">
        <w:rPr>
          <w:rFonts w:eastAsia="Calibri"/>
          <w:bCs/>
          <w:kern w:val="2"/>
        </w:rPr>
        <w:t>Substantive</w:t>
      </w:r>
      <w:r w:rsidRPr="00610312">
        <w:rPr>
          <w:kern w:val="2"/>
        </w:rPr>
        <w:t xml:space="preserve"> changes to proposed Rule</w:t>
      </w:r>
    </w:p>
    <w:p w14:paraId="72AA949B"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rFonts w:eastAsia="Calibri"/>
          <w:bCs/>
          <w:kern w:val="2"/>
        </w:rPr>
        <w:t>Regulation</w:t>
      </w:r>
      <w:r w:rsidRPr="00610312">
        <w:rPr>
          <w:kern w:val="2"/>
        </w:rPr>
        <w:t xml:space="preserve"> of Solar Power Generation Facilities, 321P</w:t>
      </w:r>
    </w:p>
    <w:p w14:paraId="1513FC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Open meetings via electronic means, 212R</w:t>
      </w:r>
    </w:p>
    <w:p w14:paraId="3ABE9D4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of renewable energy storage facilities, 1551N</w:t>
      </w:r>
    </w:p>
    <w:p w14:paraId="3DA4461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of Solar Power Generation Facilities, 379N, 1119R</w:t>
      </w:r>
    </w:p>
    <w:p w14:paraId="6222D5D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6D73B83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0B6EAE3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301D0E54" w14:textId="77777777" w:rsidR="00610312" w:rsidRPr="00610312" w:rsidRDefault="00610312" w:rsidP="00610312">
      <w:pPr>
        <w:keepNext/>
        <w:jc w:val="center"/>
        <w:rPr>
          <w:b/>
          <w:kern w:val="28"/>
        </w:rPr>
      </w:pPr>
      <w:r w:rsidRPr="00610312">
        <w:rPr>
          <w:b/>
          <w:kern w:val="28"/>
        </w:rPr>
        <w:t>CULTURE, RECREATION, AND TOURISM</w:t>
      </w:r>
    </w:p>
    <w:p w14:paraId="65BB6A68"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Cultural Development, Office of</w:t>
      </w:r>
    </w:p>
    <w:p w14:paraId="61EDF2F8"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Louisiana Cultural Districts Program, 1555N</w:t>
      </w:r>
    </w:p>
    <w:p w14:paraId="008EF01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Secretary, Office of the</w:t>
      </w:r>
    </w:p>
    <w:p w14:paraId="069E17C0"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Atchafalaya Trace Heritage Development Zone, 481R</w:t>
      </w:r>
    </w:p>
    <w:p w14:paraId="7A01CF5A"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Guidelines for Act 455</w:t>
      </w:r>
    </w:p>
    <w:p w14:paraId="327CBAA5"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Matching Funds Program, 481R</w:t>
      </w:r>
    </w:p>
    <w:p w14:paraId="76112BC6" w14:textId="77777777" w:rsidR="00610312" w:rsidRPr="00610312" w:rsidRDefault="00610312" w:rsidP="00610312">
      <w:pPr>
        <w:tabs>
          <w:tab w:val="left" w:pos="720"/>
          <w:tab w:val="left" w:pos="979"/>
          <w:tab w:val="left" w:pos="1152"/>
        </w:tabs>
        <w:ind w:left="540"/>
        <w:jc w:val="both"/>
        <w:outlineLvl w:val="4"/>
        <w:rPr>
          <w:rFonts w:eastAsia="Calibri"/>
          <w:bCs/>
          <w:kern w:val="2"/>
        </w:rPr>
      </w:pPr>
      <w:r w:rsidRPr="00610312">
        <w:rPr>
          <w:rFonts w:eastAsia="Calibri"/>
          <w:bCs/>
          <w:kern w:val="2"/>
        </w:rPr>
        <w:t>Placement of litter receptacles, 481R</w:t>
      </w:r>
    </w:p>
    <w:p w14:paraId="0BC930FC" w14:textId="77777777" w:rsidR="00610312" w:rsidRPr="00610312" w:rsidRDefault="00610312" w:rsidP="00610312">
      <w:pPr>
        <w:tabs>
          <w:tab w:val="left" w:pos="720"/>
          <w:tab w:val="left" w:pos="979"/>
          <w:tab w:val="left" w:pos="1152"/>
        </w:tabs>
        <w:ind w:left="540"/>
        <w:jc w:val="both"/>
        <w:outlineLvl w:val="4"/>
        <w:rPr>
          <w:rFonts w:eastAsia="Calibri"/>
          <w:bCs/>
          <w:kern w:val="2"/>
        </w:rPr>
      </w:pPr>
      <w:r w:rsidRPr="00610312">
        <w:rPr>
          <w:rFonts w:eastAsia="Calibri"/>
          <w:bCs/>
          <w:kern w:val="2"/>
        </w:rPr>
        <w:t>Welcome centers, 481R</w:t>
      </w:r>
    </w:p>
    <w:p w14:paraId="4068F64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15BE087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3657C04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5F785815" w14:textId="77777777" w:rsidR="00610312" w:rsidRPr="00610312" w:rsidRDefault="00610312" w:rsidP="00610312">
      <w:pPr>
        <w:keepNext/>
        <w:jc w:val="center"/>
        <w:rPr>
          <w:b/>
          <w:kern w:val="28"/>
        </w:rPr>
      </w:pPr>
      <w:r w:rsidRPr="00610312">
        <w:rPr>
          <w:b/>
          <w:kern w:val="28"/>
        </w:rPr>
        <w:t>EDUCATION</w:t>
      </w:r>
    </w:p>
    <w:p w14:paraId="26D7F3E0"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Elementary</w:t>
      </w:r>
      <w:r w:rsidRPr="00610312">
        <w:rPr>
          <w:b/>
          <w:kern w:val="2"/>
          <w:lang w:val="x-none" w:eastAsia="x-none"/>
        </w:rPr>
        <w:t xml:space="preserve"> and Secondary Education</w:t>
      </w:r>
      <w:r w:rsidRPr="00610312">
        <w:rPr>
          <w:b/>
          <w:kern w:val="2"/>
          <w:lang w:eastAsia="x-none"/>
        </w:rPr>
        <w:t>, Board of</w:t>
      </w:r>
    </w:p>
    <w:p w14:paraId="45B38E7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Adolescent literacy, 1559N</w:t>
      </w:r>
    </w:p>
    <w:p w14:paraId="146D975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102—Louisiana Physical Education Student Standards</w:t>
      </w:r>
    </w:p>
    <w:p w14:paraId="4B53C736"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Physical education content standards, 1564N</w:t>
      </w:r>
    </w:p>
    <w:p w14:paraId="680E3DF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111—The Louisiana School, District, and State</w:t>
      </w:r>
    </w:p>
    <w:p w14:paraId="056BA398"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Accountability System</w:t>
      </w:r>
    </w:p>
    <w:p w14:paraId="0D6FAB8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Transfer of middle school Algebra I scores, 517N, 1124R</w:t>
      </w:r>
    </w:p>
    <w:p w14:paraId="101515F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118—Statewide Assessment Standards and Practices</w:t>
      </w:r>
    </w:p>
    <w:p w14:paraId="13F7909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LEAP 2026 science assessment, 1203N</w:t>
      </w:r>
    </w:p>
    <w:p w14:paraId="1B73137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119—Louisiana School Transportation Specifications and Procedures</w:t>
      </w:r>
    </w:p>
    <w:p w14:paraId="28BE02C3"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Speed limits, 518N, 1125R</w:t>
      </w:r>
    </w:p>
    <w:p w14:paraId="1C7CC07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126–Charter Schools</w:t>
      </w:r>
    </w:p>
    <w:p w14:paraId="78F075F6"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Charter governance and eligibility for renewal, 766N, 1328R</w:t>
      </w:r>
    </w:p>
    <w:p w14:paraId="3BEA4B5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Ten Commandments, 1330R</w:t>
      </w:r>
    </w:p>
    <w:p w14:paraId="26581A1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130—Regulations for the Evaluation and Assessment of School Personnel</w:t>
      </w:r>
    </w:p>
    <w:p w14:paraId="1CEE095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Educator evaluations, 83N, 483R</w:t>
      </w:r>
    </w:p>
    <w:p w14:paraId="72E9741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140—Louisiana Early Childhood Care and Education Network</w:t>
      </w:r>
    </w:p>
    <w:p w14:paraId="0118AC7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Early childhood, 767N, 1329R</w:t>
      </w:r>
    </w:p>
    <w:p w14:paraId="2A9D3DF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141—Louisiana English Language Arts Student Standards</w:t>
      </w:r>
    </w:p>
    <w:p w14:paraId="6D5E829F"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ELA content standards, 520N</w:t>
      </w:r>
    </w:p>
    <w:p w14:paraId="5DC5EFF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Ten Commandments, 769N</w:t>
      </w:r>
    </w:p>
    <w:p w14:paraId="0D93525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142—Louisiana Mathematics Student Standards</w:t>
      </w:r>
    </w:p>
    <w:p w14:paraId="67C9856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Math content standards, 536N, 1125R</w:t>
      </w:r>
    </w:p>
    <w:p w14:paraId="390F9F0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 xml:space="preserve">Bulletin 146—Competencies and Standards for Teachers and Educational Leaders </w:t>
      </w:r>
    </w:p>
    <w:p w14:paraId="27559F6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Content competencies, 578N, 1167R</w:t>
      </w:r>
    </w:p>
    <w:p w14:paraId="1ACFDDB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169—Louisiana English Language Arts Student Standards—ELA Content Standards (Formerly Bulletin 141), 1170R</w:t>
      </w:r>
    </w:p>
    <w:p w14:paraId="3378DBD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741—Louisiana Handbook for School Administrators</w:t>
      </w:r>
    </w:p>
    <w:p w14:paraId="3E97A432" w14:textId="77777777" w:rsidR="00610312" w:rsidRPr="00610312" w:rsidRDefault="00610312" w:rsidP="00610312">
      <w:pPr>
        <w:tabs>
          <w:tab w:val="left" w:pos="720"/>
          <w:tab w:val="left" w:pos="979"/>
          <w:tab w:val="left" w:pos="1152"/>
        </w:tabs>
        <w:ind w:left="450"/>
        <w:jc w:val="both"/>
        <w:outlineLvl w:val="4"/>
        <w:rPr>
          <w:kern w:val="2"/>
        </w:rPr>
      </w:pPr>
      <w:r w:rsidRPr="00610312">
        <w:rPr>
          <w:noProof/>
          <w:kern w:val="2"/>
        </w:rPr>
        <w:t>Annual</w:t>
      </w:r>
      <w:r w:rsidRPr="00610312">
        <w:rPr>
          <w:kern w:val="2"/>
        </w:rPr>
        <w:t xml:space="preserve"> reading of required literature, 1205N</w:t>
      </w:r>
    </w:p>
    <w:p w14:paraId="5A82F61E" w14:textId="77777777" w:rsidR="00610312" w:rsidRPr="00610312" w:rsidRDefault="00610312" w:rsidP="00610312">
      <w:pPr>
        <w:tabs>
          <w:tab w:val="left" w:pos="720"/>
          <w:tab w:val="left" w:pos="979"/>
          <w:tab w:val="left" w:pos="1152"/>
        </w:tabs>
        <w:ind w:left="450"/>
        <w:jc w:val="both"/>
        <w:outlineLvl w:val="4"/>
        <w:rPr>
          <w:noProof/>
          <w:kern w:val="2"/>
        </w:rPr>
      </w:pPr>
      <w:r w:rsidRPr="00610312">
        <w:rPr>
          <w:kern w:val="2"/>
        </w:rPr>
        <w:t>Ten Commandments, 1330R</w:t>
      </w:r>
    </w:p>
    <w:p w14:paraId="6D28C29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noProof/>
          <w:kern w:val="2"/>
        </w:rPr>
        <w:t>Bulletin 746–Louisiana Standards for State Certification of School Personnel</w:t>
      </w:r>
    </w:p>
    <w:p w14:paraId="4FBD6DE6" w14:textId="77777777" w:rsidR="00610312" w:rsidRPr="00610312" w:rsidRDefault="00610312" w:rsidP="00610312">
      <w:pPr>
        <w:tabs>
          <w:tab w:val="left" w:pos="720"/>
          <w:tab w:val="left" w:pos="979"/>
          <w:tab w:val="left" w:pos="1152"/>
        </w:tabs>
        <w:ind w:left="450"/>
        <w:jc w:val="both"/>
        <w:outlineLvl w:val="4"/>
        <w:rPr>
          <w:noProof/>
          <w:kern w:val="2"/>
        </w:rPr>
      </w:pPr>
      <w:r w:rsidRPr="00610312">
        <w:rPr>
          <w:noProof/>
          <w:kern w:val="2"/>
        </w:rPr>
        <w:t>Certification appeal process, 1572N</w:t>
      </w:r>
    </w:p>
    <w:p w14:paraId="312DEAFF" w14:textId="77777777" w:rsidR="00610312" w:rsidRPr="00610312" w:rsidRDefault="00610312" w:rsidP="00610312">
      <w:pPr>
        <w:tabs>
          <w:tab w:val="left" w:pos="720"/>
          <w:tab w:val="left" w:pos="979"/>
          <w:tab w:val="left" w:pos="1152"/>
        </w:tabs>
        <w:ind w:left="450"/>
        <w:jc w:val="both"/>
        <w:outlineLvl w:val="4"/>
        <w:rPr>
          <w:noProof/>
          <w:kern w:val="2"/>
        </w:rPr>
      </w:pPr>
      <w:r w:rsidRPr="00610312">
        <w:rPr>
          <w:noProof/>
          <w:kern w:val="2"/>
        </w:rPr>
        <w:t>Certification endorsement, 213R, 249N, 666R</w:t>
      </w:r>
    </w:p>
    <w:p w14:paraId="499CF554" w14:textId="77777777" w:rsidR="00610312" w:rsidRPr="00610312" w:rsidRDefault="00610312" w:rsidP="00610312">
      <w:pPr>
        <w:tabs>
          <w:tab w:val="left" w:pos="720"/>
          <w:tab w:val="left" w:pos="979"/>
          <w:tab w:val="left" w:pos="1152"/>
        </w:tabs>
        <w:ind w:left="450"/>
        <w:jc w:val="both"/>
        <w:outlineLvl w:val="4"/>
        <w:rPr>
          <w:kern w:val="2"/>
        </w:rPr>
      </w:pPr>
      <w:r w:rsidRPr="00610312">
        <w:rPr>
          <w:noProof/>
          <w:kern w:val="2"/>
        </w:rPr>
        <w:t>Praxis exams, 582N, 1186R</w:t>
      </w:r>
    </w:p>
    <w:p w14:paraId="257C764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1929—Louisiana Accounting and Uniform Governmental Handbook</w:t>
      </w:r>
    </w:p>
    <w:p w14:paraId="32D33932"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Definitions and minimum requirements, 85N, 484R</w:t>
      </w:r>
    </w:p>
    <w:p w14:paraId="6C46091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Camps and prekindergarten programs, 910ER, 1206N</w:t>
      </w:r>
    </w:p>
    <w:p w14:paraId="55D837C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Child and safety welfare, 24R</w:t>
      </w:r>
    </w:p>
    <w:p w14:paraId="62DFFD7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Comprehensive assessments, 213R</w:t>
      </w:r>
    </w:p>
    <w:p w14:paraId="460CB9D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Diverse learners, 1212N</w:t>
      </w:r>
    </w:p>
    <w:p w14:paraId="7141681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Early childhood, 1574N</w:t>
      </w:r>
    </w:p>
    <w:p w14:paraId="7543C43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Implementation of education acts of the 2025 Regular Legislative Session, 215R</w:t>
      </w:r>
    </w:p>
    <w:p w14:paraId="43CAC40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Math and ELA content standards, 1577N</w:t>
      </w:r>
    </w:p>
    <w:p w14:paraId="54CFF36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School administration, 1585N</w:t>
      </w:r>
    </w:p>
    <w:p w14:paraId="48B87CB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Special education, 771N, 1597N</w:t>
      </w:r>
    </w:p>
    <w:p w14:paraId="6896812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Teacher preparation and certification, 1214N</w:t>
      </w:r>
    </w:p>
    <w:p w14:paraId="70E69AB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Regents, Board of</w:t>
      </w:r>
    </w:p>
    <w:p w14:paraId="59CAA351" w14:textId="77777777" w:rsidR="00610312" w:rsidRPr="00610312" w:rsidRDefault="00610312" w:rsidP="00610312">
      <w:pPr>
        <w:tabs>
          <w:tab w:val="left" w:pos="720"/>
          <w:tab w:val="left" w:pos="979"/>
          <w:tab w:val="left" w:pos="1152"/>
        </w:tabs>
        <w:ind w:left="450" w:hanging="180"/>
        <w:jc w:val="both"/>
        <w:outlineLvl w:val="4"/>
        <w:rPr>
          <w:b/>
          <w:kern w:val="2"/>
        </w:rPr>
      </w:pPr>
      <w:r w:rsidRPr="00610312">
        <w:rPr>
          <w:b/>
          <w:kern w:val="2"/>
        </w:rPr>
        <w:t>Student Financial Assistance, Office of</w:t>
      </w:r>
    </w:p>
    <w:p w14:paraId="4DE83AD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Scholarship/grant programs</w:t>
      </w:r>
    </w:p>
    <w:p w14:paraId="6126DAF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2025 legislation</w:t>
      </w:r>
    </w:p>
    <w:p w14:paraId="2AAC30A5"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Geaux Teach Program, 927R</w:t>
      </w:r>
    </w:p>
    <w:p w14:paraId="2AD2F2C6"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M.J. Foster Promise Programs, 927R</w:t>
      </w:r>
    </w:p>
    <w:p w14:paraId="79B85EAF"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TOPS, 928R</w:t>
      </w:r>
    </w:p>
    <w:p w14:paraId="311547BA" w14:textId="77777777" w:rsidR="00610312" w:rsidRPr="00610312" w:rsidRDefault="00610312" w:rsidP="00610312">
      <w:pPr>
        <w:keepNext/>
        <w:jc w:val="center"/>
        <w:rPr>
          <w:b/>
          <w:kern w:val="28"/>
        </w:rPr>
      </w:pPr>
      <w:r w:rsidRPr="00610312">
        <w:rPr>
          <w:b/>
          <w:kern w:val="28"/>
        </w:rPr>
        <w:lastRenderedPageBreak/>
        <w:t>EDUCATION (continued)</w:t>
      </w:r>
    </w:p>
    <w:p w14:paraId="186D70A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Tuition Trust Authority</w:t>
      </w:r>
    </w:p>
    <w:p w14:paraId="3986A3F6" w14:textId="77777777" w:rsidR="00610312" w:rsidRPr="00610312" w:rsidRDefault="00610312" w:rsidP="00610312">
      <w:pPr>
        <w:tabs>
          <w:tab w:val="left" w:pos="720"/>
          <w:tab w:val="left" w:pos="979"/>
          <w:tab w:val="left" w:pos="1152"/>
        </w:tabs>
        <w:ind w:left="450" w:hanging="180"/>
        <w:jc w:val="both"/>
        <w:outlineLvl w:val="4"/>
        <w:rPr>
          <w:b/>
          <w:kern w:val="2"/>
        </w:rPr>
      </w:pPr>
      <w:r w:rsidRPr="00610312">
        <w:rPr>
          <w:b/>
          <w:kern w:val="2"/>
        </w:rPr>
        <w:t>Student Financial Assistance, Office of</w:t>
      </w:r>
    </w:p>
    <w:p w14:paraId="7D4CD52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START Saving Program, 8ER, 350R, 383N, 943R, 1216N</w:t>
      </w:r>
    </w:p>
    <w:p w14:paraId="079B242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5C58E0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6E5A6E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3411DBA" w14:textId="77777777" w:rsidR="00610312" w:rsidRPr="00610312" w:rsidRDefault="00610312" w:rsidP="00610312">
      <w:pPr>
        <w:keepNext/>
        <w:jc w:val="center"/>
        <w:rPr>
          <w:b/>
          <w:kern w:val="28"/>
        </w:rPr>
      </w:pPr>
      <w:r w:rsidRPr="00610312">
        <w:rPr>
          <w:b/>
          <w:kern w:val="28"/>
        </w:rPr>
        <w:t>ENVIRONMENTAL QUALITY</w:t>
      </w:r>
    </w:p>
    <w:p w14:paraId="441E1D5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Secretary, Office of the</w:t>
      </w:r>
    </w:p>
    <w:p w14:paraId="5257A7D5"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val="x-none" w:eastAsia="x-none"/>
        </w:rPr>
      </w:pPr>
      <w:r w:rsidRPr="00610312">
        <w:rPr>
          <w:b/>
          <w:kern w:val="2"/>
          <w:lang w:val="x-none" w:eastAsia="x-none"/>
        </w:rPr>
        <w:t xml:space="preserve">Legal </w:t>
      </w:r>
      <w:r w:rsidRPr="00610312">
        <w:rPr>
          <w:b/>
          <w:kern w:val="2"/>
          <w:lang w:eastAsia="x-none"/>
        </w:rPr>
        <w:t>Affairs</w:t>
      </w:r>
      <w:r w:rsidRPr="00610312">
        <w:rPr>
          <w:b/>
          <w:kern w:val="2"/>
          <w:lang w:val="x-none" w:eastAsia="x-none"/>
        </w:rPr>
        <w:t xml:space="preserve"> Division</w:t>
      </w:r>
    </w:p>
    <w:p w14:paraId="07CE767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Definitions, 1400N</w:t>
      </w:r>
    </w:p>
    <w:p w14:paraId="16A27B4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Exclusion of wastes for The Dow Chemical Company Plaquemine Plant, 29R</w:t>
      </w:r>
    </w:p>
    <w:p w14:paraId="726055C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Expedited penalty maximums, 32R</w:t>
      </w:r>
    </w:p>
    <w:p w14:paraId="74C72D8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Expedited permit processing for a federal permitting parity program, 351R</w:t>
      </w:r>
    </w:p>
    <w:p w14:paraId="182A481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General standards for nonpermitted facilities, 86N, 484R</w:t>
      </w:r>
    </w:p>
    <w:p w14:paraId="291D8A0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waste and hazardous materials, 1600N</w:t>
      </w:r>
    </w:p>
    <w:p w14:paraId="6D45144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waste generator improvement rule clean-up, 668R</w:t>
      </w:r>
    </w:p>
    <w:p w14:paraId="0E2874B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waste post closure fee update, 88N, 485R</w:t>
      </w:r>
    </w:p>
    <w:p w14:paraId="4112408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Incorporation by reference of 40 CFR 60 Subpart OOOOc, 1217N</w:t>
      </w:r>
    </w:p>
    <w:p w14:paraId="7441A59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Incorporation by reference of 40 CFR 62 Subpart IIIa, 1616N</w:t>
      </w:r>
    </w:p>
    <w:p w14:paraId="157BC24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Late fee update, 89N, 485R</w:t>
      </w:r>
    </w:p>
    <w:p w14:paraId="47D88E2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9D1899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Substantive changes to proposed Rule </w:t>
      </w:r>
    </w:p>
    <w:p w14:paraId="56992F04"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OS099 Notification and Permit Transfer Procedures for Changes to Company/Facility Name and Ownership/Operator, 874P</w:t>
      </w:r>
    </w:p>
    <w:p w14:paraId="4DAD8445"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WQ118 Turbidity Criteria Refinement, 1750P</w:t>
      </w:r>
    </w:p>
    <w:p w14:paraId="14B8206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Notification and Permit Transfer Procedures for Changes to Company/Facility Name and Ownership/Operator, 1334R</w:t>
      </w:r>
    </w:p>
    <w:p w14:paraId="76C031B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Regional haze first planning period</w:t>
      </w:r>
    </w:p>
    <w:p w14:paraId="463FFD9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State Implementation Plan (SIP) Revision, 1752P</w:t>
      </w:r>
    </w:p>
    <w:p w14:paraId="1FF0680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Solicitation of public input</w:t>
      </w:r>
    </w:p>
    <w:p w14:paraId="64D42DD5"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Louisiana’s State Plan for the Control of Greenhouse Gas Emissions from Existing Crude Oil and Natural Gas Facilities, 1455P</w:t>
      </w:r>
    </w:p>
    <w:p w14:paraId="3AEF3B4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Solid waste and waste tire public notice revision, 252N, 676R</w:t>
      </w:r>
    </w:p>
    <w:p w14:paraId="06C269D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Solid waste regulatory permits, 1617N</w:t>
      </w:r>
    </w:p>
    <w:p w14:paraId="6B631C6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Standards for conducting lead-based paint activities</w:t>
      </w:r>
    </w:p>
    <w:p w14:paraId="5446215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Accreditation, 1218N</w:t>
      </w:r>
    </w:p>
    <w:p w14:paraId="217AED9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Licensure, 1218N</w:t>
      </w:r>
    </w:p>
    <w:p w14:paraId="03F9768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Recognition, 1218N</w:t>
      </w:r>
    </w:p>
    <w:p w14:paraId="1445B7A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Substantive changes to the proposed regional haze second planning period</w:t>
      </w:r>
    </w:p>
    <w:p w14:paraId="51A3062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State Implementation Plan (SIP) revision, 189P</w:t>
      </w:r>
    </w:p>
    <w:p w14:paraId="76304F3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Turbidity criteria refinement, 775N</w:t>
      </w:r>
    </w:p>
    <w:p w14:paraId="365B3E7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Voluntary environmental self-audit regulations, 33R</w:t>
      </w:r>
    </w:p>
    <w:p w14:paraId="6578BE5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Waste tire regulation revisions, 1625N</w:t>
      </w:r>
    </w:p>
    <w:p w14:paraId="642AD849" w14:textId="77777777" w:rsidR="00610312" w:rsidRPr="00610312" w:rsidRDefault="00610312" w:rsidP="00610312">
      <w:pPr>
        <w:tabs>
          <w:tab w:val="left" w:pos="720"/>
          <w:tab w:val="left" w:pos="979"/>
          <w:tab w:val="left" w:pos="1152"/>
        </w:tabs>
        <w:ind w:left="450" w:hanging="90"/>
        <w:jc w:val="both"/>
        <w:outlineLvl w:val="4"/>
        <w:rPr>
          <w:b/>
          <w:kern w:val="2"/>
        </w:rPr>
      </w:pPr>
      <w:r w:rsidRPr="00610312">
        <w:rPr>
          <w:kern w:val="2"/>
        </w:rPr>
        <w:t>Water quality standards triennial revision, 92N, 487R</w:t>
      </w:r>
    </w:p>
    <w:p w14:paraId="5AB849B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AF0486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F171C6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4A91B58" w14:textId="77777777" w:rsidR="00610312" w:rsidRPr="00610312" w:rsidRDefault="00610312" w:rsidP="00610312">
      <w:pPr>
        <w:keepNext/>
        <w:jc w:val="center"/>
        <w:rPr>
          <w:b/>
          <w:kern w:val="28"/>
        </w:rPr>
      </w:pPr>
      <w:r w:rsidRPr="00610312">
        <w:rPr>
          <w:b/>
          <w:kern w:val="28"/>
        </w:rPr>
        <w:br w:type="column"/>
      </w:r>
      <w:r w:rsidRPr="00610312">
        <w:rPr>
          <w:b/>
          <w:kern w:val="28"/>
        </w:rPr>
        <w:t>EXECUTIVE ORDERS</w:t>
      </w:r>
    </w:p>
    <w:p w14:paraId="768AD1D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val="x-none" w:eastAsia="x-none"/>
        </w:rPr>
        <w:t>JML 25-143</w:t>
      </w:r>
      <w:r w:rsidRPr="00610312">
        <w:rPr>
          <w:kern w:val="2"/>
          <w:lang w:val="x-none" w:eastAsia="x-none"/>
        </w:rPr>
        <w:tab/>
        <w:t>Renewal of State of Emergency—Maximum Security Camp J Repairs and Operation—Louisiana State Penitentiary</w:t>
      </w:r>
      <w:r w:rsidRPr="00610312">
        <w:rPr>
          <w:kern w:val="2"/>
          <w:lang w:eastAsia="x-none"/>
        </w:rPr>
        <w:t xml:space="preserve">, </w:t>
      </w:r>
      <w:r w:rsidRPr="00610312">
        <w:rPr>
          <w:kern w:val="2"/>
          <w:lang w:val="x-none" w:eastAsia="x-none"/>
        </w:rPr>
        <w:t>1</w:t>
      </w:r>
      <w:r w:rsidRPr="00610312">
        <w:rPr>
          <w:kern w:val="2"/>
          <w:lang w:eastAsia="x-none"/>
        </w:rPr>
        <w:t>EO</w:t>
      </w:r>
    </w:p>
    <w:p w14:paraId="46A0FAE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eastAsia="x-none"/>
        </w:rPr>
        <w:t>JML 25-144</w:t>
      </w:r>
      <w:r w:rsidRPr="00610312">
        <w:rPr>
          <w:kern w:val="2"/>
          <w:lang w:eastAsia="x-none"/>
        </w:rPr>
        <w:tab/>
      </w:r>
      <w:r w:rsidRPr="00610312">
        <w:rPr>
          <w:kern w:val="2"/>
          <w:lang w:val="x-none" w:eastAsia="x-none"/>
        </w:rPr>
        <w:t>Renewal of State of Emergency—Hurricane Ida, 2EO</w:t>
      </w:r>
    </w:p>
    <w:p w14:paraId="28C622A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eastAsia="x-none"/>
        </w:rPr>
        <w:t>JML 25-145</w:t>
      </w:r>
      <w:r w:rsidRPr="00610312">
        <w:rPr>
          <w:kern w:val="2"/>
          <w:lang w:eastAsia="x-none"/>
        </w:rPr>
        <w:tab/>
      </w:r>
      <w:r w:rsidRPr="00610312">
        <w:rPr>
          <w:kern w:val="2"/>
          <w:lang w:val="x-none" w:eastAsia="x-none"/>
        </w:rPr>
        <w:t>Renewal of State of Emergency—Threat of Subsidence, Subsurface Instability, and Presence of Hydrocarbons in Sulphur Mines Salt Dome Area, 3EO</w:t>
      </w:r>
    </w:p>
    <w:p w14:paraId="542BECA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eastAsia="x-none"/>
        </w:rPr>
        <w:t>JML 25-146</w:t>
      </w:r>
      <w:r w:rsidRPr="00610312">
        <w:rPr>
          <w:kern w:val="2"/>
          <w:lang w:eastAsia="x-none"/>
        </w:rPr>
        <w:tab/>
      </w:r>
      <w:r w:rsidRPr="00610312">
        <w:rPr>
          <w:kern w:val="2"/>
          <w:lang w:val="x-none" w:eastAsia="x-none"/>
        </w:rPr>
        <w:t>Flags at Half-Staff—Period of Mourning and Reflection in Remembrance of the Victims of the French Quarter Terrorism Attack, 3EO</w:t>
      </w:r>
    </w:p>
    <w:p w14:paraId="3422C54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w:t>
      </w:r>
      <w:r w:rsidRPr="00610312">
        <w:rPr>
          <w:kern w:val="2"/>
          <w:lang w:eastAsia="x-none"/>
        </w:rPr>
        <w:t xml:space="preserve"> 25-147</w:t>
      </w:r>
      <w:r w:rsidRPr="00610312">
        <w:rPr>
          <w:kern w:val="2"/>
          <w:lang w:eastAsia="x-none"/>
        </w:rPr>
        <w:tab/>
      </w:r>
      <w:r w:rsidRPr="00610312">
        <w:rPr>
          <w:kern w:val="2"/>
          <w:lang w:val="x-none" w:eastAsia="x-none"/>
        </w:rPr>
        <w:t>Renewal of State of Emergency—City of Tallulah Water System, 4EO</w:t>
      </w:r>
    </w:p>
    <w:p w14:paraId="34F6B28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eastAsia="x-none"/>
        </w:rPr>
        <w:t>JML 25-148</w:t>
      </w:r>
      <w:r w:rsidRPr="00610312">
        <w:rPr>
          <w:kern w:val="2"/>
          <w:lang w:eastAsia="x-none"/>
        </w:rPr>
        <w:tab/>
      </w:r>
      <w:r w:rsidRPr="00610312">
        <w:rPr>
          <w:kern w:val="2"/>
          <w:lang w:val="x-none" w:eastAsia="x-none"/>
        </w:rPr>
        <w:t>Renewal of State of Emergency—Cybersecurity Incidents, 5EO</w:t>
      </w:r>
    </w:p>
    <w:p w14:paraId="772C6D7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eastAsia="x-none"/>
        </w:rPr>
        <w:t>JML 25-149</w:t>
      </w:r>
      <w:r w:rsidRPr="00610312">
        <w:rPr>
          <w:kern w:val="2"/>
          <w:lang w:eastAsia="x-none"/>
        </w:rPr>
        <w:tab/>
      </w:r>
      <w:r w:rsidRPr="00610312">
        <w:rPr>
          <w:kern w:val="2"/>
          <w:lang w:val="x-none" w:eastAsia="x-none"/>
        </w:rPr>
        <w:t>Renewal of State of Disaster—Smitty’s Supply Fire, 6EO</w:t>
      </w:r>
    </w:p>
    <w:p w14:paraId="7E70487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26-001</w:t>
      </w:r>
      <w:r w:rsidRPr="00610312">
        <w:rPr>
          <w:kern w:val="2"/>
          <w:lang w:val="x-none" w:eastAsia="x-none"/>
        </w:rPr>
        <w:tab/>
        <w:t>Amendment to Fiscal Responsibility Program, 195EO</w:t>
      </w:r>
    </w:p>
    <w:p w14:paraId="34980B9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26-002</w:t>
      </w:r>
      <w:r w:rsidRPr="00610312">
        <w:rPr>
          <w:kern w:val="2"/>
          <w:lang w:val="x-none" w:eastAsia="x-none"/>
        </w:rPr>
        <w:tab/>
        <w:t>Flags at Half-Staff—The Honorable Robert “Bob” Kostelka, 196EO</w:t>
      </w:r>
    </w:p>
    <w:p w14:paraId="48007E8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26-003</w:t>
      </w:r>
      <w:r w:rsidRPr="00610312">
        <w:rPr>
          <w:kern w:val="2"/>
          <w:lang w:val="x-none" w:eastAsia="x-none"/>
        </w:rPr>
        <w:tab/>
        <w:t>Renewal of State of Emergency—Maximum Security Camp J Repairs and Operation—Louisiana State Penitentiary, 196EO</w:t>
      </w:r>
    </w:p>
    <w:p w14:paraId="560324D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w w:val="105"/>
          <w:kern w:val="2"/>
          <w:lang w:val="x-none" w:eastAsia="x-none"/>
        </w:rPr>
        <w:t>JML 26-004</w:t>
      </w:r>
      <w:r w:rsidRPr="00610312">
        <w:rPr>
          <w:w w:val="105"/>
          <w:kern w:val="2"/>
          <w:lang w:val="x-none" w:eastAsia="x-none"/>
        </w:rPr>
        <w:tab/>
      </w:r>
      <w:r w:rsidRPr="00610312">
        <w:rPr>
          <w:kern w:val="2"/>
          <w:lang w:val="x-none" w:eastAsia="x-none"/>
        </w:rPr>
        <w:t>Renewal of State of Emergency—Hurricane Ida, 198EO</w:t>
      </w:r>
    </w:p>
    <w:p w14:paraId="51A9022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26-005</w:t>
      </w:r>
      <w:r w:rsidRPr="00610312">
        <w:rPr>
          <w:kern w:val="2"/>
          <w:lang w:val="x-none" w:eastAsia="x-none"/>
        </w:rPr>
        <w:tab/>
        <w:t>Renewal of State of Emergency—Threat of Subsidence, Subsurface Instability, and Presence of Hydrocarbons in Sulphur Mines Salt Dome Area, 198EO</w:t>
      </w:r>
    </w:p>
    <w:p w14:paraId="5BC3846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26-006</w:t>
      </w:r>
      <w:r w:rsidRPr="00610312">
        <w:rPr>
          <w:kern w:val="2"/>
          <w:lang w:val="x-none" w:eastAsia="x-none"/>
        </w:rPr>
        <w:tab/>
        <w:t>State of Emergency—Winter Weather Preparation—January 22, 2026, 199EO</w:t>
      </w:r>
    </w:p>
    <w:p w14:paraId="76BB4A2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26-007</w:t>
      </w:r>
      <w:r w:rsidRPr="00610312">
        <w:rPr>
          <w:kern w:val="2"/>
          <w:lang w:val="x-none" w:eastAsia="x-none"/>
        </w:rPr>
        <w:tab/>
        <w:t>Renewal of State of Emergency—City of Tallulah Water System, 200EO</w:t>
      </w:r>
    </w:p>
    <w:p w14:paraId="0A18486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26-008</w:t>
      </w:r>
      <w:r w:rsidRPr="00610312">
        <w:rPr>
          <w:kern w:val="2"/>
          <w:lang w:val="x-none" w:eastAsia="x-none"/>
        </w:rPr>
        <w:tab/>
        <w:t>Renewal of State of Emergency—Cybersecurity Incidents, 201EO</w:t>
      </w:r>
    </w:p>
    <w:p w14:paraId="609E850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26-009</w:t>
      </w:r>
      <w:r w:rsidRPr="00610312">
        <w:rPr>
          <w:kern w:val="2"/>
          <w:lang w:val="x-none" w:eastAsia="x-none"/>
        </w:rPr>
        <w:tab/>
        <w:t>State of Emergency—Licensed Bed Capacity for Nursing Facilities, 202EO</w:t>
      </w:r>
    </w:p>
    <w:p w14:paraId="3C62A08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26-010</w:t>
      </w:r>
      <w:r w:rsidRPr="00610312">
        <w:rPr>
          <w:kern w:val="2"/>
          <w:lang w:val="x-none" w:eastAsia="x-none"/>
        </w:rPr>
        <w:tab/>
        <w:t>State of Emergency—Suspension of Early Voting, 203EO</w:t>
      </w:r>
    </w:p>
    <w:p w14:paraId="2EB466D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26-011</w:t>
      </w:r>
      <w:r w:rsidRPr="00610312">
        <w:rPr>
          <w:kern w:val="2"/>
          <w:lang w:val="x-none" w:eastAsia="x-none"/>
        </w:rPr>
        <w:tab/>
        <w:t>Modernizing Louisiana’s Workforce for a New Era, 204EO</w:t>
      </w:r>
    </w:p>
    <w:p w14:paraId="59D9B76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26-012</w:t>
      </w:r>
      <w:r w:rsidRPr="00610312">
        <w:rPr>
          <w:kern w:val="2"/>
          <w:lang w:val="x-none" w:eastAsia="x-none"/>
        </w:rPr>
        <w:tab/>
        <w:t>Flags at Half-Staff—Deputy Timothy David Jordan, 205EO</w:t>
      </w:r>
    </w:p>
    <w:p w14:paraId="105E6D0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26-013</w:t>
      </w:r>
      <w:r w:rsidRPr="00610312">
        <w:rPr>
          <w:kern w:val="2"/>
          <w:lang w:val="x-none" w:eastAsia="x-none"/>
        </w:rPr>
        <w:tab/>
        <w:t>Flags at Half-Staff—Deputy Christopher Paul Ohlmeyer, 205EO</w:t>
      </w:r>
    </w:p>
    <w:p w14:paraId="1188466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26-014</w:t>
      </w:r>
      <w:r w:rsidRPr="00610312">
        <w:rPr>
          <w:kern w:val="2"/>
          <w:lang w:val="x-none" w:eastAsia="x-none"/>
        </w:rPr>
        <w:tab/>
        <w:t>Bond Allocation 2026 Ceiling and Carry-Forward Bond Allocation 2025, 206EO</w:t>
      </w:r>
    </w:p>
    <w:p w14:paraId="3401E07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26-015</w:t>
      </w:r>
      <w:r w:rsidRPr="00610312">
        <w:rPr>
          <w:kern w:val="2"/>
          <w:lang w:val="x-none" w:eastAsia="x-none"/>
        </w:rPr>
        <w:tab/>
        <w:t>Bond Allocation 2026 Ceiling Amendment, 207EO</w:t>
      </w:r>
    </w:p>
    <w:p w14:paraId="470D298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val="x-none" w:eastAsia="x-none"/>
        </w:rPr>
        <w:t>JML 26-016</w:t>
      </w:r>
      <w:r w:rsidRPr="00610312">
        <w:rPr>
          <w:kern w:val="2"/>
          <w:lang w:val="x-none" w:eastAsia="x-none"/>
        </w:rPr>
        <w:tab/>
        <w:t>Renewal of State of Emergency—Hurricane Ida, 330EO</w:t>
      </w:r>
    </w:p>
    <w:p w14:paraId="5EFEA98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26-017</w:t>
      </w:r>
      <w:r w:rsidRPr="00610312">
        <w:rPr>
          <w:kern w:val="2"/>
          <w:lang w:val="x-none" w:eastAsia="x-none"/>
        </w:rPr>
        <w:tab/>
        <w:t>Renewal of State of Emergency—Threat of Subsidence, Subsurface Instability, and Presence of Hydrocarbons in Sulphur Mines Salt Dome Area, 331EO</w:t>
      </w:r>
    </w:p>
    <w:p w14:paraId="6ABBAF6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26-018</w:t>
      </w:r>
      <w:r w:rsidRPr="00610312">
        <w:rPr>
          <w:kern w:val="2"/>
          <w:lang w:val="x-none" w:eastAsia="x-none"/>
        </w:rPr>
        <w:tab/>
        <w:t>Renewal of State of Emergency—Maximum Security Camp J Repairs and Operation—Louisiana State Penitentiary, 331EO</w:t>
      </w:r>
    </w:p>
    <w:p w14:paraId="3D452E8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br w:type="page"/>
      </w:r>
    </w:p>
    <w:p w14:paraId="2216D3A7" w14:textId="77777777" w:rsidR="00610312" w:rsidRPr="00610312" w:rsidRDefault="00610312" w:rsidP="00610312">
      <w:pPr>
        <w:keepNext/>
        <w:jc w:val="center"/>
        <w:rPr>
          <w:b/>
          <w:kern w:val="28"/>
        </w:rPr>
      </w:pPr>
      <w:r w:rsidRPr="00610312">
        <w:rPr>
          <w:b/>
          <w:kern w:val="28"/>
        </w:rPr>
        <w:lastRenderedPageBreak/>
        <w:t>EXECUTIVE ORDERS (continued)</w:t>
      </w:r>
    </w:p>
    <w:p w14:paraId="60C262A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26-019</w:t>
      </w:r>
      <w:r w:rsidRPr="00610312">
        <w:rPr>
          <w:kern w:val="2"/>
          <w:lang w:val="x-none" w:eastAsia="x-none"/>
        </w:rPr>
        <w:tab/>
        <w:t>Renewal of State of Emergency—City of Tallulah Water System, 332EO</w:t>
      </w:r>
    </w:p>
    <w:p w14:paraId="1C4F178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26-020</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333EO</w:t>
      </w:r>
    </w:p>
    <w:p w14:paraId="214669B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26-021</w:t>
      </w:r>
      <w:r w:rsidRPr="00610312">
        <w:rPr>
          <w:kern w:val="2"/>
          <w:lang w:val="x-none" w:eastAsia="x-none"/>
        </w:rPr>
        <w:tab/>
        <w:t>Directing the Department of Children and Family Services to Preserve Federal Earned Benefits for Eligible Children in Foster Care, 334EO</w:t>
      </w:r>
    </w:p>
    <w:p w14:paraId="25534D6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26-022</w:t>
      </w:r>
      <w:r w:rsidRPr="00610312">
        <w:rPr>
          <w:kern w:val="2"/>
          <w:lang w:val="x-none" w:eastAsia="x-none"/>
        </w:rPr>
        <w:tab/>
        <w:t>Bond Allocation 2026 Ceiling, 335EO</w:t>
      </w:r>
    </w:p>
    <w:p w14:paraId="07CC544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26-023</w:t>
      </w:r>
      <w:r w:rsidRPr="00610312">
        <w:rPr>
          <w:kern w:val="2"/>
          <w:lang w:val="x-none" w:eastAsia="x-none"/>
        </w:rPr>
        <w:tab/>
        <w:t>Renewal of State of Emergency—Hurricane Ida, 467EO</w:t>
      </w:r>
    </w:p>
    <w:p w14:paraId="44CA4A6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26-024</w:t>
      </w:r>
      <w:r w:rsidRPr="00610312">
        <w:rPr>
          <w:kern w:val="2"/>
          <w:lang w:val="x-none" w:eastAsia="x-none"/>
        </w:rPr>
        <w:tab/>
        <w:t>Renewal of State of Emergency—Threat of Subsidence, Subsurface Instability, and Presence of Hydrocarbons in Sulphur Mines Salt Dome Area, 468EO</w:t>
      </w:r>
    </w:p>
    <w:p w14:paraId="1F9497F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26-025</w:t>
      </w:r>
      <w:r w:rsidRPr="00610312">
        <w:rPr>
          <w:kern w:val="2"/>
          <w:lang w:val="x-none" w:eastAsia="x-none"/>
        </w:rPr>
        <w:tab/>
        <w:t>Renewal of State of Emergency—Maximum Security Camp J Repairs and Operation—Louisiana State Penitentiary, 468EO</w:t>
      </w:r>
    </w:p>
    <w:p w14:paraId="229612E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26-026</w:t>
      </w:r>
      <w:r w:rsidRPr="00610312">
        <w:rPr>
          <w:kern w:val="2"/>
          <w:lang w:val="x-none" w:eastAsia="x-none"/>
        </w:rPr>
        <w:tab/>
        <w:t>Amendment to Emergency Response Commission, 469EO</w:t>
      </w:r>
    </w:p>
    <w:p w14:paraId="726008A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26-027</w:t>
      </w:r>
      <w:r w:rsidRPr="00610312">
        <w:rPr>
          <w:kern w:val="2"/>
          <w:lang w:val="x-none" w:eastAsia="x-none"/>
        </w:rPr>
        <w:tab/>
        <w:t>Renewal of State of Emergency—City of Tallulah Water System, 471EO</w:t>
      </w:r>
    </w:p>
    <w:p w14:paraId="6938B54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26-028</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471EO</w:t>
      </w:r>
    </w:p>
    <w:p w14:paraId="3F8E364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26-029</w:t>
      </w:r>
      <w:r w:rsidRPr="00610312">
        <w:rPr>
          <w:kern w:val="2"/>
          <w:lang w:val="x-none" w:eastAsia="x-none"/>
        </w:rPr>
        <w:tab/>
        <w:t>Flags at Half-Staff—Master Sergeant Tyler Marie Grezaffi, 472EO</w:t>
      </w:r>
    </w:p>
    <w:p w14:paraId="4DC566C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26-030</w:t>
      </w:r>
      <w:r w:rsidRPr="00610312">
        <w:rPr>
          <w:kern w:val="2"/>
          <w:lang w:val="x-none" w:eastAsia="x-none"/>
        </w:rPr>
        <w:tab/>
        <w:t>Bond Allocation 2026 Ceiling Amendment, 473EO</w:t>
      </w:r>
    </w:p>
    <w:p w14:paraId="290505D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26-031</w:t>
      </w:r>
      <w:r w:rsidRPr="00610312">
        <w:rPr>
          <w:kern w:val="2"/>
          <w:lang w:val="x-none" w:eastAsia="x-none"/>
        </w:rPr>
        <w:tab/>
        <w:t>Flags at Half-Staff—Sheriff William Earl Hilton, 473EO</w:t>
      </w:r>
    </w:p>
    <w:p w14:paraId="40BCB96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26-032</w:t>
      </w:r>
      <w:r w:rsidRPr="00610312">
        <w:rPr>
          <w:kern w:val="2"/>
          <w:lang w:val="x-none" w:eastAsia="x-none"/>
        </w:rPr>
        <w:tab/>
        <w:t>Louisiana Rural Health Transformation Program, 474EO</w:t>
      </w:r>
    </w:p>
    <w:p w14:paraId="2321912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26-033</w:t>
      </w:r>
      <w:r w:rsidRPr="00610312">
        <w:rPr>
          <w:kern w:val="2"/>
          <w:lang w:val="x-none" w:eastAsia="x-none"/>
        </w:rPr>
        <w:tab/>
        <w:t>Renewal of State of Emergency—Hurricane Ida, 644EO</w:t>
      </w:r>
    </w:p>
    <w:p w14:paraId="59C9DB0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26-034</w:t>
      </w:r>
      <w:r w:rsidRPr="00610312">
        <w:rPr>
          <w:kern w:val="2"/>
          <w:lang w:val="x-none" w:eastAsia="x-none"/>
        </w:rPr>
        <w:tab/>
        <w:t>Renewal of State of Emergency—Threat of Subsidence, Subsurface Instability, and Presence of Hydrocarbons in Sulphur Mines Salt Dome Area, 645EO</w:t>
      </w:r>
    </w:p>
    <w:p w14:paraId="2FE5A52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26-035</w:t>
      </w:r>
      <w:r w:rsidRPr="00610312">
        <w:rPr>
          <w:kern w:val="2"/>
          <w:lang w:val="x-none" w:eastAsia="x-none"/>
        </w:rPr>
        <w:tab/>
        <w:t>Renewal of State of Emergency—Maximum Security Camp J Repairs and Operation—Louisiana State Penitentiary, 645EO</w:t>
      </w:r>
    </w:p>
    <w:p w14:paraId="17FD35F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26-036</w:t>
      </w:r>
      <w:r w:rsidRPr="00610312">
        <w:rPr>
          <w:kern w:val="2"/>
          <w:lang w:val="x-none" w:eastAsia="x-none"/>
        </w:rPr>
        <w:tab/>
        <w:t>Renewal of State of Emergency—City of Tallulah Water System, 646EO</w:t>
      </w:r>
    </w:p>
    <w:p w14:paraId="680CF19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26-037</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647EO</w:t>
      </w:r>
    </w:p>
    <w:p w14:paraId="539C2C8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26-38</w:t>
      </w:r>
      <w:r w:rsidRPr="00610312">
        <w:rPr>
          <w:kern w:val="2"/>
          <w:lang w:val="x-none" w:eastAsia="x-none"/>
        </w:rPr>
        <w:tab/>
      </w:r>
      <w:r w:rsidRPr="00610312">
        <w:rPr>
          <w:kern w:val="2"/>
          <w:lang w:val="x-none" w:eastAsia="x-none"/>
        </w:rPr>
        <w:tab/>
        <w:t>State of Emergency—Suspension of Closed Party Primary Elections for the Offices of Representative in the United States Congress, 648EO</w:t>
      </w:r>
    </w:p>
    <w:p w14:paraId="2965239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26-39</w:t>
      </w:r>
      <w:r w:rsidRPr="00610312">
        <w:rPr>
          <w:kern w:val="2"/>
          <w:lang w:val="x-none" w:eastAsia="x-none"/>
        </w:rPr>
        <w:tab/>
      </w:r>
      <w:r w:rsidRPr="00610312">
        <w:rPr>
          <w:kern w:val="2"/>
          <w:lang w:val="x-none" w:eastAsia="x-none"/>
        </w:rPr>
        <w:tab/>
        <w:t>Flags at Half-Staff—Peace Officers Memorial Day and Police Week, 649EO</w:t>
      </w:r>
    </w:p>
    <w:p w14:paraId="28141F7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26-40</w:t>
      </w:r>
      <w:r w:rsidRPr="00610312">
        <w:rPr>
          <w:kern w:val="2"/>
          <w:lang w:val="x-none" w:eastAsia="x-none"/>
        </w:rPr>
        <w:tab/>
      </w:r>
      <w:r w:rsidRPr="00610312">
        <w:rPr>
          <w:kern w:val="2"/>
          <w:lang w:val="x-none" w:eastAsia="x-none"/>
        </w:rPr>
        <w:tab/>
        <w:t>Flags at Half-Staff—Martha Elizabeth Odom, 649EO</w:t>
      </w:r>
    </w:p>
    <w:p w14:paraId="270710F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26-41</w:t>
      </w:r>
      <w:r w:rsidRPr="00610312">
        <w:rPr>
          <w:kern w:val="2"/>
          <w:lang w:val="x-none" w:eastAsia="x-none"/>
        </w:rPr>
        <w:tab/>
      </w:r>
      <w:r w:rsidRPr="00610312">
        <w:rPr>
          <w:kern w:val="2"/>
          <w:lang w:val="x-none" w:eastAsia="x-none"/>
        </w:rPr>
        <w:tab/>
        <w:t>Flags at Half-Staff—Period of Mourning for Jayla Elkins, Shayla Elkins, Kayla Pugh, Layla Pugh, Markaydon Pugh, Braylon Snow, Khedarrion Snow, and Sariahh Snow, 650EO</w:t>
      </w:r>
    </w:p>
    <w:p w14:paraId="552372B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26-042</w:t>
      </w:r>
      <w:r w:rsidRPr="00610312">
        <w:rPr>
          <w:kern w:val="2"/>
          <w:lang w:val="x-none" w:eastAsia="x-none"/>
        </w:rPr>
        <w:tab/>
        <w:t>Renewal of State of Emergency—Hurricane Ida, 887 EO</w:t>
      </w:r>
    </w:p>
    <w:p w14:paraId="4BF4577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26-043</w:t>
      </w:r>
      <w:r w:rsidRPr="00610312">
        <w:rPr>
          <w:kern w:val="2"/>
          <w:lang w:val="x-none" w:eastAsia="x-none"/>
        </w:rPr>
        <w:tab/>
        <w:t>Renewal of State of Emergency—Threat of Subsidence, Subsurface Instability, and Presence of Hydrocarbons in Sulphur Mines Salt Dome Area, 888EO</w:t>
      </w:r>
    </w:p>
    <w:p w14:paraId="77CBE4D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26-044</w:t>
      </w:r>
      <w:r w:rsidRPr="00610312">
        <w:rPr>
          <w:kern w:val="2"/>
          <w:lang w:val="x-none" w:eastAsia="x-none"/>
        </w:rPr>
        <w:tab/>
        <w:t>Renewal of State of Emergency—Maximum Security—Camp J Repairs and Operation Louisiana State Penitentiary, 888EO</w:t>
      </w:r>
    </w:p>
    <w:p w14:paraId="6416F4E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26-45</w:t>
      </w:r>
      <w:r w:rsidRPr="00610312">
        <w:rPr>
          <w:kern w:val="2"/>
          <w:lang w:val="x-none" w:eastAsia="x-none"/>
        </w:rPr>
        <w:tab/>
        <w:t>Renewal of State of Emergency—City of Tallulah Water System, 889EO</w:t>
      </w:r>
    </w:p>
    <w:p w14:paraId="5FBF2CCB"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26-46</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890EO</w:t>
      </w:r>
    </w:p>
    <w:p w14:paraId="44265BE3"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26-47</w:t>
      </w:r>
      <w:r w:rsidRPr="00610312">
        <w:rPr>
          <w:kern w:val="2"/>
          <w:lang w:val="x-none" w:eastAsia="x-none"/>
        </w:rPr>
        <w:tab/>
        <w:t>Reduction of Minimum Foundation Program Appropriation for Fiscal Year 2026-2027, 891EO</w:t>
      </w:r>
    </w:p>
    <w:p w14:paraId="0E9FDBC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26-48</w:t>
      </w:r>
      <w:r w:rsidRPr="00610312">
        <w:rPr>
          <w:kern w:val="2"/>
          <w:lang w:val="x-none" w:eastAsia="x-none"/>
        </w:rPr>
        <w:tab/>
        <w:t>Renewal of State of Emergency—Hurricane Ida, 892EO</w:t>
      </w:r>
    </w:p>
    <w:p w14:paraId="25BEF94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26-49</w:t>
      </w:r>
      <w:r w:rsidRPr="00610312">
        <w:rPr>
          <w:kern w:val="2"/>
          <w:lang w:val="x-none" w:eastAsia="x-none"/>
        </w:rPr>
        <w:tab/>
        <w:t>Renewal of State of Emergency—Threat of Subsidence, Subsurface Instability, and Presence of Hydrocarbons in Sulphur Mines Salt Dome Area, 893EO</w:t>
      </w:r>
    </w:p>
    <w:p w14:paraId="2A6DAAB4"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26-50</w:t>
      </w:r>
      <w:r w:rsidRPr="00610312">
        <w:rPr>
          <w:kern w:val="2"/>
          <w:lang w:val="x-none" w:eastAsia="x-none"/>
        </w:rPr>
        <w:tab/>
        <w:t>Renewal of State of Emergency—Maximum Security Camp J Repairs and Operation—Louisiana State Penitentiary, 894EO</w:t>
      </w:r>
    </w:p>
    <w:p w14:paraId="4C3A7EA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26-51</w:t>
      </w:r>
      <w:r w:rsidRPr="00610312">
        <w:rPr>
          <w:kern w:val="2"/>
          <w:lang w:val="x-none" w:eastAsia="x-none"/>
        </w:rPr>
        <w:tab/>
        <w:t>Bond Allocation 2026 Ceiling Amendment, 1093EO</w:t>
      </w:r>
    </w:p>
    <w:p w14:paraId="7B1A910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26-52</w:t>
      </w:r>
      <w:r w:rsidRPr="00610312">
        <w:rPr>
          <w:kern w:val="2"/>
          <w:lang w:val="x-none" w:eastAsia="x-none"/>
        </w:rPr>
        <w:tab/>
        <w:t>Renewal of State of Emergency—Cybersecurity Incidents, 1093EO</w:t>
      </w:r>
    </w:p>
    <w:p w14:paraId="453AC61C"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26-53</w:t>
      </w:r>
      <w:r w:rsidRPr="00610312">
        <w:rPr>
          <w:kern w:val="2"/>
          <w:lang w:val="x-none" w:eastAsia="x-none"/>
        </w:rPr>
        <w:tab/>
        <w:t>State of Emergency—Suspension of Early Voting, 1094EO</w:t>
      </w:r>
    </w:p>
    <w:p w14:paraId="7ACEF0B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26-54</w:t>
      </w:r>
      <w:r w:rsidRPr="00610312">
        <w:rPr>
          <w:kern w:val="2"/>
          <w:lang w:val="x-none" w:eastAsia="x-none"/>
        </w:rPr>
        <w:tab/>
        <w:t>State of Emergency—Suspension of Early Voting, 1095EO</w:t>
      </w:r>
    </w:p>
    <w:p w14:paraId="6FF5A6CC"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26-55</w:t>
      </w:r>
      <w:r w:rsidRPr="00610312">
        <w:rPr>
          <w:kern w:val="2"/>
          <w:lang w:val="x-none" w:eastAsia="x-none"/>
        </w:rPr>
        <w:tab/>
        <w:t>State of Emergency—Tropical Storm Arthur—June 18, 2026, 1095EO</w:t>
      </w:r>
    </w:p>
    <w:p w14:paraId="3E0CC5F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26-56</w:t>
      </w:r>
      <w:r w:rsidRPr="00610312">
        <w:rPr>
          <w:kern w:val="2"/>
          <w:lang w:val="x-none" w:eastAsia="x-none"/>
        </w:rPr>
        <w:tab/>
        <w:t>State of Emergency—Licensed Bed Capacity for Nursing Facilities, 1096EO</w:t>
      </w:r>
    </w:p>
    <w:p w14:paraId="0B125C5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26-57</w:t>
      </w:r>
      <w:r w:rsidRPr="00610312">
        <w:rPr>
          <w:kern w:val="2"/>
          <w:lang w:val="x-none" w:eastAsia="x-none"/>
        </w:rPr>
        <w:tab/>
        <w:t>Amended State of Emergency—Tropical Storm Arthur—June 18, 2026, 1097EO</w:t>
      </w:r>
    </w:p>
    <w:p w14:paraId="5A6D020B"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26-58</w:t>
      </w:r>
      <w:r w:rsidRPr="00610312">
        <w:rPr>
          <w:kern w:val="2"/>
          <w:lang w:val="x-none" w:eastAsia="x-none"/>
        </w:rPr>
        <w:tab/>
        <w:t>Louisiana Ratepayer and Community Protection Initiative Criteria for Led Certifications for Data Center and Large-Load Investments, 1098EO</w:t>
      </w:r>
    </w:p>
    <w:p w14:paraId="22F43FA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26-59</w:t>
      </w:r>
      <w:r w:rsidRPr="00610312">
        <w:rPr>
          <w:kern w:val="2"/>
          <w:lang w:val="x-none" w:eastAsia="x-none"/>
        </w:rPr>
        <w:tab/>
        <w:t>Renewal of State of Emergency—Hurricane Ida, 1100EO</w:t>
      </w:r>
    </w:p>
    <w:p w14:paraId="0F3BCE54"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26-60</w:t>
      </w:r>
      <w:r w:rsidRPr="00610312">
        <w:rPr>
          <w:kern w:val="2"/>
          <w:lang w:val="x-none" w:eastAsia="x-none"/>
        </w:rPr>
        <w:tab/>
        <w:t>Renewal of State of Emergency—Threat of Subsidence, Subsurface Instability, and Presence of Hydrocarbons in Sulphur Mines Salt Dome Area, 1101EO</w:t>
      </w:r>
    </w:p>
    <w:p w14:paraId="0467375F"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26-61</w:t>
      </w:r>
      <w:r w:rsidRPr="00610312">
        <w:rPr>
          <w:kern w:val="2"/>
          <w:lang w:val="x-none" w:eastAsia="x-none"/>
        </w:rPr>
        <w:tab/>
        <w:t>Renewal of State of Emergency—Maximum Security Camp J Repairs and Operation—Louisiana State Penitentiary, 1101EO</w:t>
      </w:r>
    </w:p>
    <w:p w14:paraId="06C3FC99"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26-62</w:t>
      </w:r>
      <w:r w:rsidRPr="00610312">
        <w:rPr>
          <w:kern w:val="2"/>
          <w:lang w:val="x-none" w:eastAsia="x-none"/>
        </w:rPr>
        <w:tab/>
        <w:t>Amended State of Emergency—Tropical Arthur—June 18, 2026, 1102EO</w:t>
      </w:r>
    </w:p>
    <w:p w14:paraId="27BE3F31"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26-63</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1306EO</w:t>
      </w:r>
    </w:p>
    <w:p w14:paraId="488B0AD3"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26-64</w:t>
      </w:r>
      <w:r w:rsidRPr="00610312">
        <w:rPr>
          <w:kern w:val="2"/>
          <w:lang w:val="x-none" w:eastAsia="x-none"/>
        </w:rPr>
        <w:tab/>
        <w:t>Flags at Half-Staff—Senator Larry Selders, 1306EO</w:t>
      </w:r>
    </w:p>
    <w:p w14:paraId="192B1A32"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26-65</w:t>
      </w:r>
      <w:r w:rsidRPr="00610312">
        <w:rPr>
          <w:kern w:val="2"/>
          <w:lang w:val="x-none" w:eastAsia="x-none"/>
        </w:rPr>
        <w:tab/>
        <w:t>Flags at Half-Staff—Deputy United States Marshal—Michael Andrew Hanson, 1307EO</w:t>
      </w:r>
    </w:p>
    <w:p w14:paraId="2598A5F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26-66</w:t>
      </w:r>
      <w:r w:rsidRPr="00610312">
        <w:rPr>
          <w:kern w:val="2"/>
          <w:lang w:val="x-none" w:eastAsia="x-none"/>
        </w:rPr>
        <w:tab/>
        <w:t>Renewal of State of Emergency—Licensed Bed Capacity for Nursing Facilities, 1308EO</w:t>
      </w:r>
    </w:p>
    <w:p w14:paraId="6C23B83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26-67</w:t>
      </w:r>
      <w:r w:rsidRPr="00610312">
        <w:rPr>
          <w:kern w:val="2"/>
          <w:lang w:val="x-none" w:eastAsia="x-none"/>
        </w:rPr>
        <w:tab/>
        <w:t>Bond Allocation 2026 Ceiling Amendment, 1308EO</w:t>
      </w:r>
    </w:p>
    <w:p w14:paraId="315FEF4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26-68</w:t>
      </w:r>
      <w:r w:rsidRPr="00610312">
        <w:rPr>
          <w:kern w:val="2"/>
          <w:lang w:val="x-none" w:eastAsia="x-none"/>
        </w:rPr>
        <w:tab/>
      </w:r>
      <w:r w:rsidRPr="00610312">
        <w:rPr>
          <w:kern w:val="2"/>
          <w:lang w:eastAsia="x-none"/>
        </w:rPr>
        <w:t>State of Emergency—Tropical Storm Bertha—July 22, 2026, 1309EO</w:t>
      </w:r>
    </w:p>
    <w:p w14:paraId="486A441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26-69</w:t>
      </w:r>
      <w:r w:rsidRPr="00610312">
        <w:rPr>
          <w:kern w:val="2"/>
          <w:lang w:val="x-none" w:eastAsia="x-none"/>
        </w:rPr>
        <w:tab/>
        <w:t>Louisiana Taxpayer Protection Initiative</w:t>
      </w:r>
      <w:r w:rsidRPr="00610312">
        <w:rPr>
          <w:kern w:val="2"/>
          <w:lang w:eastAsia="x-none"/>
        </w:rPr>
        <w:t>—</w:t>
      </w:r>
      <w:r w:rsidRPr="00610312">
        <w:rPr>
          <w:kern w:val="2"/>
          <w:lang w:val="x-none" w:eastAsia="x-none"/>
        </w:rPr>
        <w:t>Combating Fraud Through Federal-State</w:t>
      </w:r>
      <w:r w:rsidRPr="00610312">
        <w:rPr>
          <w:kern w:val="2"/>
          <w:lang w:eastAsia="x-none"/>
        </w:rPr>
        <w:t>—</w:t>
      </w:r>
      <w:r w:rsidRPr="00610312">
        <w:rPr>
          <w:kern w:val="2"/>
          <w:lang w:val="x-none" w:eastAsia="x-none"/>
        </w:rPr>
        <w:t>Partnerships and Cooperation, 1310EO</w:t>
      </w:r>
    </w:p>
    <w:p w14:paraId="2FC2F80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26-70</w:t>
      </w:r>
      <w:r w:rsidRPr="00610312">
        <w:rPr>
          <w:kern w:val="2"/>
          <w:lang w:val="x-none" w:eastAsia="x-none"/>
        </w:rPr>
        <w:tab/>
        <w:t>Renewal of State of Emergency—Threat of Subsidence, Subsurface Instability, and Presence Of Hydrocarbons in Sulphur Mines Salt Dome Area, 1314EO</w:t>
      </w:r>
    </w:p>
    <w:p w14:paraId="65B1FDE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26-71</w:t>
      </w:r>
      <w:r w:rsidRPr="00610312">
        <w:rPr>
          <w:kern w:val="2"/>
          <w:lang w:val="x-none" w:eastAsia="x-none"/>
        </w:rPr>
        <w:tab/>
        <w:t>Renewal of State of Emergency—Maximum Security Camp J Repairs and Operation—Louisiana State Penitentiary, 1315EO</w:t>
      </w:r>
    </w:p>
    <w:p w14:paraId="7867880C" w14:textId="77777777" w:rsidR="00610312" w:rsidRPr="00610312" w:rsidRDefault="00610312" w:rsidP="00610312">
      <w:pPr>
        <w:keepNext/>
        <w:jc w:val="center"/>
        <w:rPr>
          <w:b/>
          <w:kern w:val="28"/>
        </w:rPr>
      </w:pPr>
      <w:r w:rsidRPr="00610312">
        <w:rPr>
          <w:b/>
          <w:kern w:val="28"/>
        </w:rPr>
        <w:lastRenderedPageBreak/>
        <w:t>EXECUTIVE ORDERS (continued)</w:t>
      </w:r>
    </w:p>
    <w:p w14:paraId="36DB267A"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26-72</w:t>
      </w:r>
      <w:r w:rsidRPr="00610312">
        <w:rPr>
          <w:kern w:val="2"/>
          <w:lang w:val="x-none" w:eastAsia="x-none"/>
        </w:rPr>
        <w:tab/>
        <w:t>Renewal of State of Emergency—Hurricane Ida, 1316EO</w:t>
      </w:r>
    </w:p>
    <w:p w14:paraId="105FE26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eastAsia="x-none"/>
        </w:rPr>
      </w:pPr>
      <w:r w:rsidRPr="00610312">
        <w:rPr>
          <w:kern w:val="2"/>
          <w:lang w:val="x-none" w:eastAsia="x-none"/>
        </w:rPr>
        <w:t>JML 26-73</w:t>
      </w:r>
      <w:r w:rsidRPr="00610312">
        <w:rPr>
          <w:kern w:val="2"/>
          <w:lang w:val="x-none" w:eastAsia="x-none"/>
        </w:rPr>
        <w:tab/>
        <w:t>Amendment and Renewal of State of Emergency—Tropical Storm Arthur—June 18, 2026, 1317EO</w:t>
      </w:r>
    </w:p>
    <w:p w14:paraId="497C3E5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26-74</w:t>
      </w:r>
      <w:r w:rsidRPr="00610312">
        <w:rPr>
          <w:kern w:val="2"/>
          <w:lang w:val="x-none" w:eastAsia="x-none"/>
        </w:rPr>
        <w:tab/>
        <w:t>Flags at Half-Staff—Former State Representative—Mickey James Guillory, 1318EO</w:t>
      </w:r>
    </w:p>
    <w:p w14:paraId="3E71462F"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26-75</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1318EO</w:t>
      </w:r>
    </w:p>
    <w:p w14:paraId="1A9E4F18"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26-76</w:t>
      </w:r>
      <w:r w:rsidRPr="00610312">
        <w:rPr>
          <w:kern w:val="2"/>
          <w:lang w:val="x-none" w:eastAsia="x-none"/>
        </w:rPr>
        <w:tab/>
        <w:t>Amended Louisiana Rural Health</w:t>
      </w:r>
      <w:r w:rsidRPr="00610312">
        <w:rPr>
          <w:kern w:val="2"/>
          <w:lang w:val="x-none" w:eastAsia="x-none"/>
        </w:rPr>
        <w:br/>
        <w:t>Transformation Program, 1466EO</w:t>
      </w:r>
    </w:p>
    <w:p w14:paraId="464D134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26-77</w:t>
      </w:r>
      <w:r w:rsidRPr="00610312">
        <w:rPr>
          <w:kern w:val="2"/>
          <w:lang w:val="x-none" w:eastAsia="x-none"/>
        </w:rPr>
        <w:tab/>
        <w:t>Bond Allocation 2026 Ceiling Amendment, 1467EO</w:t>
      </w:r>
    </w:p>
    <w:p w14:paraId="15E9502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26-78</w:t>
      </w:r>
      <w:r w:rsidRPr="00610312">
        <w:rPr>
          <w:kern w:val="2"/>
          <w:lang w:val="x-none" w:eastAsia="x-none"/>
        </w:rPr>
        <w:tab/>
        <w:t>Expedited Environmental Permitting, 1468EO</w:t>
      </w:r>
    </w:p>
    <w:p w14:paraId="32B5AFD5"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26-79</w:t>
      </w:r>
      <w:r w:rsidRPr="00610312">
        <w:rPr>
          <w:kern w:val="2"/>
          <w:lang w:val="x-none" w:eastAsia="x-none"/>
        </w:rPr>
        <w:tab/>
        <w:t>Securing Louisiana’s Critical Minerals Supply Chain and Unleashing Domestic Alumina Production, 1469EO</w:t>
      </w:r>
    </w:p>
    <w:p w14:paraId="7F273DEA"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26-80</w:t>
      </w:r>
      <w:r w:rsidRPr="00610312">
        <w:rPr>
          <w:kern w:val="2"/>
          <w:lang w:val="x-none" w:eastAsia="x-none"/>
        </w:rPr>
        <w:tab/>
      </w:r>
      <w:r w:rsidRPr="00610312">
        <w:rPr>
          <w:rFonts w:eastAsia="Aptos"/>
          <w:kern w:val="2"/>
          <w:lang w:val="x-none" w:eastAsia="x-none"/>
        </w:rPr>
        <w:t>Flags at Half-Staff—</w:t>
      </w:r>
      <w:r w:rsidRPr="00610312">
        <w:rPr>
          <w:kern w:val="2"/>
          <w:lang w:val="x-none" w:eastAsia="x-none"/>
        </w:rPr>
        <w:t>Gurnie “Tutie” Richard, 1470EO</w:t>
      </w:r>
    </w:p>
    <w:p w14:paraId="1F7F3B69"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26-81</w:t>
      </w:r>
      <w:r w:rsidRPr="00610312">
        <w:rPr>
          <w:kern w:val="2"/>
          <w:lang w:val="x-none" w:eastAsia="x-none"/>
        </w:rPr>
        <w:tab/>
        <w:t>Emergency Declaration</w:t>
      </w:r>
      <w:r w:rsidRPr="00610312">
        <w:rPr>
          <w:rFonts w:eastAsia="Aptos"/>
          <w:kern w:val="2"/>
          <w:lang w:val="x-none" w:eastAsia="x-none"/>
        </w:rPr>
        <w:t>—</w:t>
      </w:r>
      <w:r w:rsidRPr="00610312">
        <w:rPr>
          <w:kern w:val="2"/>
          <w:lang w:val="x-none" w:eastAsia="x-none"/>
        </w:rPr>
        <w:t>La 384 Black Bayou Pontoon Bridge, Calcasieu Parish, 1471EO</w:t>
      </w:r>
    </w:p>
    <w:p w14:paraId="6F16F94B"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26-82</w:t>
      </w:r>
      <w:r w:rsidRPr="00610312">
        <w:rPr>
          <w:kern w:val="2"/>
          <w:lang w:val="x-none" w:eastAsia="x-none"/>
        </w:rPr>
        <w:tab/>
        <w:t>Flags at Half-Staff—J. Stanley “Skip” Bertman, 1472EO</w:t>
      </w:r>
    </w:p>
    <w:p w14:paraId="5F669D64"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26-83</w:t>
      </w:r>
      <w:r w:rsidRPr="00610312">
        <w:rPr>
          <w:kern w:val="2"/>
          <w:lang w:val="x-none" w:eastAsia="x-none"/>
        </w:rPr>
        <w:tab/>
      </w:r>
      <w:r w:rsidRPr="00610312">
        <w:rPr>
          <w:rFonts w:eastAsia="Aptos"/>
          <w:kern w:val="2"/>
          <w:szCs w:val="32"/>
          <w:lang w:val="x-none" w:eastAsia="x-none"/>
        </w:rPr>
        <w:t>Flags</w:t>
      </w:r>
      <w:r w:rsidRPr="00610312">
        <w:rPr>
          <w:kern w:val="2"/>
          <w:lang w:val="x-none" w:eastAsia="x-none"/>
        </w:rPr>
        <w:t xml:space="preserve"> at Half-Staff—Dolly Parton, 1473EO</w:t>
      </w:r>
    </w:p>
    <w:p w14:paraId="7EB0FBF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26-84</w:t>
      </w:r>
      <w:r w:rsidRPr="00610312">
        <w:rPr>
          <w:kern w:val="2"/>
          <w:lang w:val="x-none" w:eastAsia="x-none"/>
        </w:rPr>
        <w:tab/>
        <w:t>Renewal of State of Emergency—Threat of Subsidence, Subsurface Instability, and Presence of Hydrocarbons in Sulphur Mines Salt Dome Area, 1473EO</w:t>
      </w:r>
    </w:p>
    <w:p w14:paraId="66BE14A1"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26-85</w:t>
      </w:r>
      <w:r w:rsidRPr="00610312">
        <w:rPr>
          <w:kern w:val="2"/>
          <w:lang w:val="x-none" w:eastAsia="x-none"/>
        </w:rPr>
        <w:tab/>
        <w:t>Renewal of State of Emergency—Maximum Security Camp J Repairs and Operation—Louisiana State Penitentiary, 1474EO</w:t>
      </w:r>
    </w:p>
    <w:p w14:paraId="252A5AC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26-86</w:t>
      </w:r>
      <w:r w:rsidRPr="00610312">
        <w:rPr>
          <w:kern w:val="2"/>
          <w:lang w:val="x-none" w:eastAsia="x-none"/>
        </w:rPr>
        <w:tab/>
        <w:t>Renewal of State of Emergency—Hurricane Ida, 1475EO</w:t>
      </w:r>
    </w:p>
    <w:p w14:paraId="64EA3D0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bookmarkStart w:id="852" w:name="_Hlk211589355"/>
    </w:p>
    <w:p w14:paraId="0934AF4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535204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224AD7F" w14:textId="77777777" w:rsidR="00610312" w:rsidRPr="00610312" w:rsidRDefault="00610312" w:rsidP="00610312">
      <w:pPr>
        <w:jc w:val="center"/>
        <w:rPr>
          <w:b/>
          <w:kern w:val="28"/>
        </w:rPr>
      </w:pPr>
      <w:r w:rsidRPr="00610312">
        <w:rPr>
          <w:b/>
          <w:kern w:val="2"/>
        </w:rPr>
        <w:t>G</w:t>
      </w:r>
      <w:r w:rsidRPr="00610312">
        <w:rPr>
          <w:b/>
          <w:kern w:val="28"/>
        </w:rPr>
        <w:t>OVERNOR</w:t>
      </w:r>
      <w:bookmarkEnd w:id="852"/>
    </w:p>
    <w:p w14:paraId="7420A937"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Administration, Division of</w:t>
      </w:r>
    </w:p>
    <w:p w14:paraId="2408992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Charter School Start-Up and Expansion Loan Fund, 588N, 1338R</w:t>
      </w:r>
    </w:p>
    <w:p w14:paraId="78E7E526"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Broadband and Development and Connectivity</w:t>
      </w:r>
    </w:p>
    <w:p w14:paraId="734ED24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Granting Unserved Municipalities Broadband Opportunities (GUMBO), 914ER, 1187R</w:t>
      </w:r>
    </w:p>
    <w:p w14:paraId="31E6923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Granting Unserved Municipalities Broadband Opportunities 2.0 (GUMBO 2.0), 1187R</w:t>
      </w:r>
    </w:p>
    <w:p w14:paraId="758505E6"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Commissioner, Office of</w:t>
      </w:r>
    </w:p>
    <w:p w14:paraId="0B403D4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Nongovernmental entity database reporting, 261N, 1188R</w:t>
      </w:r>
    </w:p>
    <w:p w14:paraId="3A7C4016"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Facility Planning and Control</w:t>
      </w:r>
    </w:p>
    <w:p w14:paraId="4BB35DA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Contract limit adjustment, 189P</w:t>
      </w:r>
    </w:p>
    <w:p w14:paraId="3B1D1C2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Designer contracts, 493R</w:t>
      </w:r>
    </w:p>
    <w:p w14:paraId="66CDAC07"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7B4D7AA8"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Designer contracts, 324P</w:t>
      </w:r>
    </w:p>
    <w:p w14:paraId="6667715F"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Group Benefits, Office of</w:t>
      </w:r>
    </w:p>
    <w:p w14:paraId="29752A8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Payment of premiums, 263N, 678R</w:t>
      </w:r>
    </w:p>
    <w:p w14:paraId="0EEDF8F5"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Racing Commission</w:t>
      </w:r>
    </w:p>
    <w:p w14:paraId="5A74760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40E14FD3"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Substantive changes to proposed Rule</w:t>
      </w:r>
    </w:p>
    <w:p w14:paraId="1EC0249A" w14:textId="77777777" w:rsidR="00610312" w:rsidRPr="00610312" w:rsidRDefault="00610312" w:rsidP="00610312">
      <w:pPr>
        <w:tabs>
          <w:tab w:val="left" w:pos="720"/>
          <w:tab w:val="left" w:pos="979"/>
          <w:tab w:val="left" w:pos="1152"/>
        </w:tabs>
        <w:ind w:left="450" w:firstLine="90"/>
        <w:jc w:val="both"/>
        <w:outlineLvl w:val="4"/>
        <w:rPr>
          <w:bCs/>
          <w:kern w:val="2"/>
        </w:rPr>
      </w:pPr>
      <w:r w:rsidRPr="00610312">
        <w:rPr>
          <w:bCs/>
          <w:kern w:val="2"/>
        </w:rPr>
        <w:t>Voided and Voidable Claims, 189P, 493R</w:t>
      </w:r>
    </w:p>
    <w:p w14:paraId="4C48DE58"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br w:type="column"/>
      </w:r>
      <w:r w:rsidRPr="00610312">
        <w:rPr>
          <w:b/>
          <w:kern w:val="2"/>
          <w:lang w:eastAsia="x-none"/>
        </w:rPr>
        <w:t>State Procurement, Office of</w:t>
      </w:r>
    </w:p>
    <w:p w14:paraId="2286AAD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Procurement protest bonds, 36R</w:t>
      </w:r>
    </w:p>
    <w:p w14:paraId="2355B269"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Tax Commission</w:t>
      </w:r>
    </w:p>
    <w:p w14:paraId="29AA1C9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Ad Valorem taxation, 954R</w:t>
      </w:r>
    </w:p>
    <w:p w14:paraId="7E18B542"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Architectural Examiners, Board of</w:t>
      </w:r>
    </w:p>
    <w:p w14:paraId="14EE995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Administration, 584N, 1500R</w:t>
      </w:r>
    </w:p>
    <w:p w14:paraId="207D7BE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Architects Selection Board, 488R</w:t>
      </w:r>
    </w:p>
    <w:p w14:paraId="0906B92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Election of nominees to fill vacancy, if required, 1225N</w:t>
      </w:r>
    </w:p>
    <w:p w14:paraId="61F94F5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Architecture Education and Research Fund, 93N, 945R</w:t>
      </w:r>
    </w:p>
    <w:p w14:paraId="34660F2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Organization, 490R</w:t>
      </w:r>
    </w:p>
    <w:p w14:paraId="4A6034B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Titles, firm names, and assumed names, 95N, 946R</w:t>
      </w:r>
    </w:p>
    <w:p w14:paraId="67D4343D"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Auctioneers Licensing Board</w:t>
      </w:r>
    </w:p>
    <w:p w14:paraId="52E4F27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34374F39"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Request for comments on rulemaking, 1082P</w:t>
      </w:r>
    </w:p>
    <w:p w14:paraId="48E6FED2"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Certified Public Accountants of Louisiana, Board of</w:t>
      </w:r>
    </w:p>
    <w:p w14:paraId="60CA9235"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Certified public accountants, 1652N</w:t>
      </w:r>
    </w:p>
    <w:p w14:paraId="5657E5E0"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Coastal Protection and Restoration Authority</w:t>
      </w:r>
    </w:p>
    <w:p w14:paraId="051AAE6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t xml:space="preserve">Notice of Availability of </w:t>
      </w:r>
      <w:r w:rsidRPr="00610312">
        <w:rPr>
          <w:rFonts w:eastAsia="Calibri"/>
        </w:rPr>
        <w:t>Deepwater Horizon Natural Resource Damage Assessment</w:t>
      </w:r>
      <w:r w:rsidRPr="00610312">
        <w:rPr>
          <w:kern w:val="2"/>
        </w:rPr>
        <w:t>—</w:t>
      </w:r>
      <w:r w:rsidRPr="00610312">
        <w:rPr>
          <w:rFonts w:eastAsia="Calibri"/>
        </w:rPr>
        <w:t>Louisiana Trustee Implementation Group</w:t>
      </w:r>
      <w:r w:rsidRPr="00610312">
        <w:rPr>
          <w:kern w:val="2"/>
        </w:rPr>
        <w:t>—</w:t>
      </w:r>
      <w:r w:rsidRPr="00610312">
        <w:rPr>
          <w:rFonts w:eastAsia="Calibri"/>
        </w:rPr>
        <w:t>Draft Phase 2 Restoration Plan and Environmental Assessment #8.1: East Orleans Landbridge Restoration and Raccoon Island Restoration, 876P</w:t>
      </w:r>
    </w:p>
    <w:p w14:paraId="6BA23C39"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Elderly Affairs, Office of</w:t>
      </w:r>
    </w:p>
    <w:p w14:paraId="49ED527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Office of Elderly Affairs, 1401N</w:t>
      </w:r>
    </w:p>
    <w:p w14:paraId="308261F3"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Financial Institutions, Office of</w:t>
      </w:r>
    </w:p>
    <w:p w14:paraId="14F4674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7F2A7A2F"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Request for comments on rulemaking, 1083P</w:t>
      </w:r>
    </w:p>
    <w:p w14:paraId="1B9E5F27"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Firefighters Pension and Relief Fund for the City of New Orleans and Vicinity</w:t>
      </w:r>
    </w:p>
    <w:p w14:paraId="25B51B3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Retirement, 216R</w:t>
      </w:r>
    </w:p>
    <w:p w14:paraId="2FE28BE3"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Interior Designers, Board of Examiners of</w:t>
      </w:r>
    </w:p>
    <w:p w14:paraId="211D5B0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7E3B0EE2"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Request for comments on rulemaking, 875P</w:t>
      </w:r>
    </w:p>
    <w:p w14:paraId="3AB6FC66"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Motor Vehicle Commission</w:t>
      </w:r>
    </w:p>
    <w:p w14:paraId="18FD981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Automotive industry, 1658N</w:t>
      </w:r>
    </w:p>
    <w:p w14:paraId="53C1802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License by endorsement, 351R</w:t>
      </w:r>
    </w:p>
    <w:p w14:paraId="415F30E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Teleconference or video conference participation at open meetings by person with disability, 352R</w:t>
      </w:r>
    </w:p>
    <w:p w14:paraId="7BE4506E"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Pardons, Board of and Committee on Parole</w:t>
      </w:r>
    </w:p>
    <w:p w14:paraId="00EE7A7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Medical marijuana usage while under parole supervision, 811N, 1338R</w:t>
      </w:r>
    </w:p>
    <w:p w14:paraId="57DD9786"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Real Estate Appraisers Board</w:t>
      </w:r>
    </w:p>
    <w:p w14:paraId="6B0ADD8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Real Estate Appraisers Board, 98N, 1341R</w:t>
      </w:r>
    </w:p>
    <w:p w14:paraId="1AE14DED"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Real Estate Commission</w:t>
      </w:r>
    </w:p>
    <w:p w14:paraId="50773478"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Real estate, 591N</w:t>
      </w:r>
    </w:p>
    <w:p w14:paraId="0824C25A"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 xml:space="preserve">River Port Pilot Commissioners and Examiners for the Calcasieu River, Board of </w:t>
      </w:r>
    </w:p>
    <w:p w14:paraId="0540B99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Calcasieu River Waterway river port pilots, 1041N, 1504R</w:t>
      </w:r>
    </w:p>
    <w:p w14:paraId="1F1D5104"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Uniform Construction Code Commission</w:t>
      </w:r>
    </w:p>
    <w:p w14:paraId="42B9DAE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Manufactured housing installation inspector classification, 1659N</w:t>
      </w:r>
    </w:p>
    <w:p w14:paraId="6F0F783A"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bCs/>
          <w:kern w:val="2"/>
        </w:rPr>
        <w:t>Uniform</w:t>
      </w:r>
      <w:r w:rsidRPr="00610312">
        <w:rPr>
          <w:rFonts w:eastAsia="Calibri"/>
          <w:kern w:val="2"/>
        </w:rPr>
        <w:t xml:space="preserve"> Construction Code</w:t>
      </w:r>
    </w:p>
    <w:p w14:paraId="3F843EA2" w14:textId="77777777" w:rsidR="00610312" w:rsidRPr="00610312" w:rsidRDefault="00610312" w:rsidP="00610312">
      <w:pPr>
        <w:tabs>
          <w:tab w:val="left" w:pos="720"/>
          <w:tab w:val="left" w:pos="979"/>
          <w:tab w:val="left" w:pos="1152"/>
        </w:tabs>
        <w:ind w:left="450"/>
        <w:jc w:val="both"/>
        <w:outlineLvl w:val="4"/>
        <w:rPr>
          <w:rFonts w:eastAsia="Calibri"/>
        </w:rPr>
      </w:pPr>
      <w:r w:rsidRPr="00610312">
        <w:rPr>
          <w:kern w:val="2"/>
        </w:rPr>
        <w:t>Adoption</w:t>
      </w:r>
      <w:r w:rsidRPr="00610312">
        <w:rPr>
          <w:rFonts w:eastAsia="Calibri"/>
        </w:rPr>
        <w:t xml:space="preserve"> of the 2023 NEC and the 2024 I-Codes, 1403N</w:t>
      </w:r>
    </w:p>
    <w:p w14:paraId="4F63A68A" w14:textId="77777777" w:rsidR="00610312" w:rsidRPr="00610312" w:rsidRDefault="00610312" w:rsidP="00610312">
      <w:pPr>
        <w:tabs>
          <w:tab w:val="left" w:pos="720"/>
          <w:tab w:val="left" w:pos="979"/>
          <w:tab w:val="left" w:pos="1152"/>
        </w:tabs>
        <w:ind w:left="450"/>
        <w:jc w:val="both"/>
        <w:outlineLvl w:val="4"/>
        <w:rPr>
          <w:rFonts w:eastAsia="Calibri"/>
        </w:rPr>
      </w:pPr>
      <w:r w:rsidRPr="00610312">
        <w:rPr>
          <w:rFonts w:eastAsia="Calibri"/>
        </w:rPr>
        <w:t>International Plumbing Code, 1477ER</w:t>
      </w:r>
    </w:p>
    <w:p w14:paraId="3CF8E63B"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Wind mitigation surveyor qualifications, 1043N, 1505R</w:t>
      </w:r>
    </w:p>
    <w:p w14:paraId="33A54711"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br w:type="page"/>
      </w:r>
    </w:p>
    <w:p w14:paraId="66A424A6" w14:textId="77777777" w:rsidR="00610312" w:rsidRPr="00610312" w:rsidRDefault="00610312" w:rsidP="00610312">
      <w:pPr>
        <w:jc w:val="center"/>
        <w:rPr>
          <w:bCs/>
          <w:kern w:val="28"/>
        </w:rPr>
      </w:pPr>
      <w:r w:rsidRPr="00610312">
        <w:rPr>
          <w:b/>
          <w:kern w:val="2"/>
        </w:rPr>
        <w:lastRenderedPageBreak/>
        <w:t>G</w:t>
      </w:r>
      <w:r w:rsidRPr="00610312">
        <w:rPr>
          <w:b/>
          <w:kern w:val="28"/>
        </w:rPr>
        <w:t>OVERNOR (continued)</w:t>
      </w:r>
    </w:p>
    <w:p w14:paraId="421EED77"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Uniform Construction Code Council</w:t>
      </w:r>
    </w:p>
    <w:p w14:paraId="3788BD0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International building code and international existing building code changes, 264N, 678R</w:t>
      </w:r>
    </w:p>
    <w:p w14:paraId="13C99F3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International residential code, 652ER</w:t>
      </w:r>
    </w:p>
    <w:p w14:paraId="38EE1F14"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Veterans Affairs, Department of</w:t>
      </w:r>
    </w:p>
    <w:p w14:paraId="222B262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Cemeteries, 254N, 948R</w:t>
      </w:r>
    </w:p>
    <w:p w14:paraId="6C63382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Military Family Assistance Grants, 255N, 949R</w:t>
      </w:r>
    </w:p>
    <w:p w14:paraId="356DFA6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bookmarkStart w:id="853" w:name="_Hlk211589523"/>
    </w:p>
    <w:p w14:paraId="572CDB5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EE8B90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1103D5A" w14:textId="77777777" w:rsidR="00610312" w:rsidRPr="00610312" w:rsidRDefault="00610312" w:rsidP="00610312">
      <w:pPr>
        <w:keepNext/>
        <w:jc w:val="center"/>
        <w:rPr>
          <w:b/>
          <w:kern w:val="28"/>
        </w:rPr>
      </w:pPr>
      <w:r w:rsidRPr="00610312">
        <w:rPr>
          <w:b/>
          <w:kern w:val="28"/>
        </w:rPr>
        <w:t>HEALTH</w:t>
      </w:r>
    </w:p>
    <w:bookmarkEnd w:id="853"/>
    <w:p w14:paraId="170E9BD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Aging and Adult Services, Office of</w:t>
      </w:r>
    </w:p>
    <w:p w14:paraId="267E0BA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Nursing facilities</w:t>
      </w:r>
    </w:p>
    <w:p w14:paraId="4C910EFB"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Preadmission screening, 1237N</w:t>
      </w:r>
    </w:p>
    <w:p w14:paraId="73F897CF"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Behavioral Health, Office</w:t>
      </w:r>
    </w:p>
    <w:p w14:paraId="22E4DE3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Behavioral health services, 1671N</w:t>
      </w:r>
    </w:p>
    <w:p w14:paraId="412E44F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Certified community behavioral health clinics, 1436N</w:t>
      </w:r>
    </w:p>
    <w:p w14:paraId="271989A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Independent review for coordinated system of care, 1673N</w:t>
      </w:r>
    </w:p>
    <w:p w14:paraId="19C2D384"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Dentistry, Board of</w:t>
      </w:r>
    </w:p>
    <w:p w14:paraId="62392E7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Continuing education requirements, 271N, 685R</w:t>
      </w:r>
    </w:p>
    <w:p w14:paraId="46B972D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Licensure examination, 41R</w:t>
      </w:r>
    </w:p>
    <w:p w14:paraId="537663A3"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Examiners of Psychologists, Board of</w:t>
      </w:r>
    </w:p>
    <w:p w14:paraId="7FD9486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ADA accommodations, 386N, 977R</w:t>
      </w:r>
    </w:p>
    <w:p w14:paraId="4DBB1EE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Psychologists licensure requirements, 386N, 977R</w:t>
      </w:r>
    </w:p>
    <w:p w14:paraId="1E9DB0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Continuing education, 386N, 977R</w:t>
      </w:r>
    </w:p>
    <w:p w14:paraId="22939DD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Health Services Financing, Bureau of</w:t>
      </w:r>
    </w:p>
    <w:p w14:paraId="141BB30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Adult Denture Program, 1669N</w:t>
      </w:r>
    </w:p>
    <w:p w14:paraId="05B0C10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Behavioral health services, 1671N</w:t>
      </w:r>
    </w:p>
    <w:p w14:paraId="68EB0CE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Certified community behavioral health clinics, 1436N</w:t>
      </w:r>
    </w:p>
    <w:p w14:paraId="1C5BCDF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Children and adult mental health services, 132N, 496R</w:t>
      </w:r>
    </w:p>
    <w:p w14:paraId="08F87B5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Dental benefits</w:t>
      </w:r>
    </w:p>
    <w:p w14:paraId="3FA02B1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Prepaid Ambulatory Health Plan</w:t>
      </w:r>
    </w:p>
    <w:p w14:paraId="7EA3036C"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Enrollment broker, 225R</w:t>
      </w:r>
    </w:p>
    <w:p w14:paraId="4EC74B2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Eligibility</w:t>
      </w:r>
    </w:p>
    <w:p w14:paraId="4E9B205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New adult eligibility group, 1229N</w:t>
      </w:r>
    </w:p>
    <w:p w14:paraId="303559A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Retroactive coverage eligibility, 1231N</w:t>
      </w:r>
    </w:p>
    <w:p w14:paraId="09BDAC5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Eligibility factors</w:t>
      </w:r>
    </w:p>
    <w:p w14:paraId="4C8980C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Citizenship, 833N, 1348R</w:t>
      </w:r>
    </w:p>
    <w:p w14:paraId="521E9089" w14:textId="77777777" w:rsidR="00610312" w:rsidRPr="00610312" w:rsidRDefault="00610312" w:rsidP="00610312">
      <w:pPr>
        <w:tabs>
          <w:tab w:val="left" w:pos="720"/>
          <w:tab w:val="left" w:pos="979"/>
          <w:tab w:val="left" w:pos="1152"/>
        </w:tabs>
        <w:ind w:left="450" w:hanging="90"/>
        <w:jc w:val="both"/>
        <w:outlineLvl w:val="4"/>
        <w:rPr>
          <w:kern w:val="2"/>
        </w:rPr>
      </w:pPr>
      <w:bookmarkStart w:id="854" w:name="_Hlk234563384"/>
      <w:r w:rsidRPr="00610312">
        <w:rPr>
          <w:kern w:val="2"/>
        </w:rPr>
        <w:t>Home and community-based waivers</w:t>
      </w:r>
    </w:p>
    <w:bookmarkEnd w:id="854"/>
    <w:p w14:paraId="799BB8B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Developmental disabilities services, 1234N</w:t>
      </w:r>
    </w:p>
    <w:p w14:paraId="660A930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Hospital services</w:t>
      </w:r>
    </w:p>
    <w:p w14:paraId="3EB8780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Postpartum nurse home visits, 1439N</w:t>
      </w:r>
    </w:p>
    <w:p w14:paraId="45E236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Independent review for coordinated system of care, 1673N</w:t>
      </w:r>
    </w:p>
    <w:p w14:paraId="125C690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Inpatient hospital services</w:t>
      </w:r>
    </w:p>
    <w:p w14:paraId="7E3516B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Small rural hospitals</w:t>
      </w:r>
    </w:p>
    <w:p w14:paraId="55B64685"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Reimbursement methodology, 1506R</w:t>
      </w:r>
    </w:p>
    <w:p w14:paraId="4CBC51E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Intermediate care facilities for persons with intellectual disabilities</w:t>
      </w:r>
    </w:p>
    <w:p w14:paraId="6F9DFE5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Reimbursement methodology, 134N, 497R</w:t>
      </w:r>
    </w:p>
    <w:p w14:paraId="1B33A5D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Children's Health Insurance Program, 616N, 1189R</w:t>
      </w:r>
    </w:p>
    <w:p w14:paraId="276D757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Managed care for physical and behavioral health</w:t>
      </w:r>
    </w:p>
    <w:p w14:paraId="2D40C3C1"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Enrollment broker, 226R</w:t>
      </w:r>
    </w:p>
    <w:p w14:paraId="28A2955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Medicaid eligibility</w:t>
      </w:r>
    </w:p>
    <w:p w14:paraId="0046DB82"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Federally-facilitated marketplace determinations, 42R</w:t>
      </w:r>
    </w:p>
    <w:p w14:paraId="395FBB9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Medicaid Program integrity</w:t>
      </w:r>
    </w:p>
    <w:p w14:paraId="28ACF7B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Fraud, waste and abuse recovery, 272N, 690R, 1235N</w:t>
      </w:r>
    </w:p>
    <w:p w14:paraId="0EA6DCA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br w:type="column"/>
      </w:r>
      <w:r w:rsidRPr="00610312">
        <w:rPr>
          <w:kern w:val="2"/>
        </w:rPr>
        <w:t>Nursing facilities</w:t>
      </w:r>
    </w:p>
    <w:p w14:paraId="326BB19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Preadmission screening, 1237N</w:t>
      </w:r>
    </w:p>
    <w:p w14:paraId="6889775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Professional Services Program</w:t>
      </w:r>
    </w:p>
    <w:p w14:paraId="7CB39A31" w14:textId="77777777" w:rsidR="00610312" w:rsidRPr="00610312" w:rsidRDefault="00610312" w:rsidP="00610312">
      <w:pPr>
        <w:tabs>
          <w:tab w:val="left" w:pos="720"/>
          <w:tab w:val="left" w:pos="979"/>
          <w:tab w:val="left" w:pos="1152"/>
        </w:tabs>
        <w:ind w:left="450"/>
        <w:jc w:val="both"/>
        <w:outlineLvl w:val="4"/>
        <w:rPr>
          <w:bCs/>
          <w:kern w:val="2"/>
        </w:rPr>
      </w:pPr>
      <w:r w:rsidRPr="00610312">
        <w:rPr>
          <w:kern w:val="2"/>
        </w:rPr>
        <w:t>Doula services, 42R</w:t>
      </w:r>
    </w:p>
    <w:p w14:paraId="112F515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Health Standards Section</w:t>
      </w:r>
    </w:p>
    <w:p w14:paraId="5F508D6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Ambulatory surgical center</w:t>
      </w:r>
    </w:p>
    <w:p w14:paraId="304ECDD1"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43R</w:t>
      </w:r>
    </w:p>
    <w:p w14:paraId="5A3A936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Behavioral health service providers</w:t>
      </w:r>
    </w:p>
    <w:p w14:paraId="1434E2E2"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44R, 1239N</w:t>
      </w:r>
    </w:p>
    <w:p w14:paraId="4BF0A82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Day developmental training centers</w:t>
      </w:r>
    </w:p>
    <w:p w14:paraId="6A6EE462"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1675N</w:t>
      </w:r>
    </w:p>
    <w:p w14:paraId="3B3C811B"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Free-standing birth centers</w:t>
      </w:r>
    </w:p>
    <w:p w14:paraId="1B31CC2B"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228R, 1677N</w:t>
      </w:r>
    </w:p>
    <w:p w14:paraId="60723B8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Healthcare facility sanctions, 834N, 1348R</w:t>
      </w:r>
    </w:p>
    <w:p w14:paraId="19637754"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Home and community-based services providers</w:t>
      </w:r>
    </w:p>
    <w:p w14:paraId="17E58299"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Monitored in-home caregiving module</w:t>
      </w:r>
    </w:p>
    <w:p w14:paraId="5ACFDA15" w14:textId="77777777" w:rsidR="00610312" w:rsidRPr="00610312" w:rsidRDefault="00610312" w:rsidP="00610312">
      <w:pPr>
        <w:tabs>
          <w:tab w:val="left" w:pos="720"/>
          <w:tab w:val="left" w:pos="979"/>
          <w:tab w:val="left" w:pos="1152"/>
        </w:tabs>
        <w:ind w:left="540"/>
        <w:jc w:val="both"/>
        <w:outlineLvl w:val="4"/>
        <w:rPr>
          <w:bCs/>
          <w:kern w:val="2"/>
        </w:rPr>
      </w:pPr>
      <w:r w:rsidRPr="00610312">
        <w:rPr>
          <w:bCs/>
          <w:kern w:val="2"/>
        </w:rPr>
        <w:t>Licensing standards, 395N</w:t>
      </w:r>
    </w:p>
    <w:p w14:paraId="72EE41C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Hospitals</w:t>
      </w:r>
    </w:p>
    <w:p w14:paraId="395F3E13"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354R, 497R</w:t>
      </w:r>
    </w:p>
    <w:p w14:paraId="15DD284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605E3F25"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Substantive changes to proposed Rule</w:t>
      </w:r>
    </w:p>
    <w:p w14:paraId="1AA9601C" w14:textId="77777777" w:rsidR="00610312" w:rsidRPr="00610312" w:rsidRDefault="00610312" w:rsidP="00610312">
      <w:pPr>
        <w:tabs>
          <w:tab w:val="left" w:pos="720"/>
          <w:tab w:val="left" w:pos="979"/>
          <w:tab w:val="left" w:pos="1152"/>
        </w:tabs>
        <w:ind w:left="450" w:firstLine="90"/>
        <w:jc w:val="both"/>
        <w:outlineLvl w:val="4"/>
        <w:rPr>
          <w:bCs/>
          <w:kern w:val="2"/>
        </w:rPr>
      </w:pPr>
      <w:r w:rsidRPr="00610312">
        <w:rPr>
          <w:bCs/>
          <w:kern w:val="2"/>
        </w:rPr>
        <w:t>Nurse Staffing Agencies—Licensing Standards, 190P</w:t>
      </w:r>
    </w:p>
    <w:p w14:paraId="6ED8DAB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Nurse licensure compact, 1679N</w:t>
      </w:r>
    </w:p>
    <w:p w14:paraId="104AFEA4"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Nurse staffing agencies</w:t>
      </w:r>
    </w:p>
    <w:p w14:paraId="28178590"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700R</w:t>
      </w:r>
    </w:p>
    <w:p w14:paraId="296BB0B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Program for all-inclusive care of the elderly</w:t>
      </w:r>
    </w:p>
    <w:p w14:paraId="236645CD"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1680N</w:t>
      </w:r>
    </w:p>
    <w:p w14:paraId="2590989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Intellectual and Developmental Disability Supports</w:t>
      </w:r>
    </w:p>
    <w:p w14:paraId="373AF83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Home and community-based waivers</w:t>
      </w:r>
    </w:p>
    <w:p w14:paraId="6C51B052"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Developmental disabilities services, 1234N</w:t>
      </w:r>
    </w:p>
    <w:p w14:paraId="14E61F2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Licensed Professional Counselors Board of Examiners</w:t>
      </w:r>
    </w:p>
    <w:p w14:paraId="5B46855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Board meetings, 1349R</w:t>
      </w:r>
    </w:p>
    <w:p w14:paraId="3B75665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Duties, 1349R</w:t>
      </w:r>
    </w:p>
    <w:p w14:paraId="21E30ED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General provisions, 1350R</w:t>
      </w:r>
    </w:p>
    <w:p w14:paraId="1EBDFB2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Powers, 1349R</w:t>
      </w:r>
    </w:p>
    <w:p w14:paraId="7959740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Procedures, 1349R</w:t>
      </w:r>
    </w:p>
    <w:p w14:paraId="77C49DA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Records, 1349R</w:t>
      </w:r>
    </w:p>
    <w:p w14:paraId="4CE13EE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Supervision ratio of hours, 1250N</w:t>
      </w:r>
    </w:p>
    <w:p w14:paraId="7837DE8A"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Medical Examiners, Board of</w:t>
      </w:r>
    </w:p>
    <w:p w14:paraId="1261492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Adjudication, 1661N</w:t>
      </w:r>
    </w:p>
    <w:p w14:paraId="3940EC5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Medical psychologists, 109N</w:t>
      </w:r>
    </w:p>
    <w:p w14:paraId="0AB7606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37FB36DA"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Substantive changes to proposed Rule</w:t>
      </w:r>
    </w:p>
    <w:p w14:paraId="3B740956" w14:textId="3D4F02FA" w:rsidR="00610312" w:rsidRPr="00610312" w:rsidRDefault="00610312" w:rsidP="00610312">
      <w:pPr>
        <w:tabs>
          <w:tab w:val="left" w:pos="720"/>
          <w:tab w:val="left" w:pos="979"/>
          <w:tab w:val="left" w:pos="1152"/>
        </w:tabs>
        <w:ind w:left="630" w:hanging="90"/>
        <w:jc w:val="both"/>
        <w:outlineLvl w:val="4"/>
        <w:rPr>
          <w:bCs/>
          <w:kern w:val="2"/>
        </w:rPr>
      </w:pPr>
      <w:r w:rsidRPr="00610312">
        <w:rPr>
          <w:bCs/>
          <w:kern w:val="2"/>
        </w:rPr>
        <w:t>Respiratory Therapists (LAC 46:XLV.Chapters 25 and 55), 175</w:t>
      </w:r>
      <w:r w:rsidR="009F649D">
        <w:rPr>
          <w:bCs/>
          <w:kern w:val="2"/>
        </w:rPr>
        <w:t>2</w:t>
      </w:r>
      <w:r w:rsidRPr="00610312">
        <w:rPr>
          <w:bCs/>
          <w:kern w:val="2"/>
        </w:rPr>
        <w:t>P</w:t>
      </w:r>
    </w:p>
    <w:p w14:paraId="6D96EE4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Physicians</w:t>
      </w:r>
    </w:p>
    <w:p w14:paraId="5240D371"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Assistants, 812N</w:t>
      </w:r>
    </w:p>
    <w:p w14:paraId="1BFC7D61" w14:textId="77777777" w:rsidR="00610312" w:rsidRPr="00610312" w:rsidRDefault="00610312" w:rsidP="00610312">
      <w:pPr>
        <w:tabs>
          <w:tab w:val="left" w:pos="720"/>
          <w:tab w:val="left" w:pos="979"/>
          <w:tab w:val="left" w:pos="1152"/>
        </w:tabs>
        <w:ind w:left="540" w:hanging="90"/>
        <w:jc w:val="both"/>
        <w:outlineLvl w:val="4"/>
        <w:rPr>
          <w:bCs/>
          <w:kern w:val="2"/>
        </w:rPr>
      </w:pPr>
      <w:r w:rsidRPr="00610312">
        <w:rPr>
          <w:bCs/>
          <w:kern w:val="2"/>
        </w:rPr>
        <w:t>Collaboration with advanced practice registered nurses, 1663N</w:t>
      </w:r>
    </w:p>
    <w:p w14:paraId="4062B839"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Continuing medical education 114N</w:t>
      </w:r>
    </w:p>
    <w:p w14:paraId="26422F36"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Obesity medication, 392N</w:t>
      </w:r>
    </w:p>
    <w:p w14:paraId="5419EF8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Private radiological technologists, 1433N</w:t>
      </w:r>
    </w:p>
    <w:p w14:paraId="0207D24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Respiratory therapists, 117N</w:t>
      </w:r>
    </w:p>
    <w:p w14:paraId="011A063F"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Nursing, Board of</w:t>
      </w:r>
    </w:p>
    <w:p w14:paraId="5E6E515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49326444" w14:textId="690F2FBB"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Request for comments on rulemaking, 175</w:t>
      </w:r>
      <w:r w:rsidR="009F649D">
        <w:rPr>
          <w:bCs/>
          <w:kern w:val="2"/>
        </w:rPr>
        <w:t>3</w:t>
      </w:r>
      <w:r w:rsidRPr="00610312">
        <w:rPr>
          <w:bCs/>
          <w:kern w:val="2"/>
        </w:rPr>
        <w:t>P</w:t>
      </w:r>
    </w:p>
    <w:p w14:paraId="2D3D554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Nursing Home Administrators, Board of Examiners</w:t>
      </w:r>
    </w:p>
    <w:p w14:paraId="24FC5C35"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Certified nurses aid register, 106N, 494R</w:t>
      </w:r>
    </w:p>
    <w:p w14:paraId="006A1C9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Complaints and hearing procedures, 106N, 494R</w:t>
      </w:r>
    </w:p>
    <w:p w14:paraId="01D6D32D"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br w:type="page"/>
      </w:r>
    </w:p>
    <w:p w14:paraId="2970196D" w14:textId="77777777" w:rsidR="00610312" w:rsidRPr="00610312" w:rsidRDefault="00610312" w:rsidP="00610312">
      <w:pPr>
        <w:keepNext/>
        <w:jc w:val="center"/>
        <w:rPr>
          <w:b/>
          <w:kern w:val="28"/>
        </w:rPr>
      </w:pPr>
      <w:r w:rsidRPr="00610312">
        <w:rPr>
          <w:b/>
          <w:kern w:val="28"/>
        </w:rPr>
        <w:lastRenderedPageBreak/>
        <w:t>HEALTH (continued)</w:t>
      </w:r>
    </w:p>
    <w:p w14:paraId="4C8C32CA"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Pharmacy, Board of</w:t>
      </w:r>
    </w:p>
    <w:p w14:paraId="398545D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Advertising, 823N</w:t>
      </w:r>
    </w:p>
    <w:p w14:paraId="48D4173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Centralized prescription dispensing, 352R</w:t>
      </w:r>
    </w:p>
    <w:p w14:paraId="0B8BDDA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Community pharmacy, 122N, 685R</w:t>
      </w:r>
    </w:p>
    <w:p w14:paraId="0FC3BB8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Controlled dangerous substances (CDS), 124N, 686R</w:t>
      </w:r>
    </w:p>
    <w:p w14:paraId="62FE95D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Emergency medical services agencies, 1667N</w:t>
      </w:r>
    </w:p>
    <w:p w14:paraId="5BC74AD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Institutional pharmacy, 128N, 688R</w:t>
      </w:r>
    </w:p>
    <w:p w14:paraId="078F365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Off-site services, 824N</w:t>
      </w:r>
    </w:p>
    <w:p w14:paraId="1C242A0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Pharmacists, 826N</w:t>
      </w:r>
    </w:p>
    <w:p w14:paraId="326C3B0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Pharmacy interns professional experience, 831N</w:t>
      </w:r>
    </w:p>
    <w:p w14:paraId="7D20A2F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Prescription drug delivery, 353R</w:t>
      </w:r>
    </w:p>
    <w:p w14:paraId="6819363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Prescription Monitoring Program (PMP)</w:t>
      </w:r>
    </w:p>
    <w:p w14:paraId="2A41133A" w14:textId="77777777" w:rsidR="00610312" w:rsidRPr="00610312" w:rsidRDefault="00610312" w:rsidP="00610312">
      <w:pPr>
        <w:tabs>
          <w:tab w:val="left" w:pos="720"/>
          <w:tab w:val="left" w:pos="979"/>
          <w:tab w:val="left" w:pos="1152"/>
        </w:tabs>
        <w:ind w:left="450"/>
        <w:jc w:val="both"/>
        <w:outlineLvl w:val="4"/>
        <w:rPr>
          <w:kern w:val="2"/>
        </w:rPr>
      </w:pPr>
      <w:r w:rsidRPr="00610312">
        <w:rPr>
          <w:bCs/>
          <w:kern w:val="2"/>
        </w:rPr>
        <w:t>Record</w:t>
      </w:r>
      <w:r w:rsidRPr="00610312">
        <w:rPr>
          <w:kern w:val="2"/>
        </w:rPr>
        <w:t xml:space="preserve"> retention, 354R</w:t>
      </w:r>
    </w:p>
    <w:p w14:paraId="1D8B639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Remote access by a pharmacy technician, 130N, 689R</w:t>
      </w:r>
    </w:p>
    <w:p w14:paraId="0778C205"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Practical Nurse Examiners, Board of</w:t>
      </w:r>
    </w:p>
    <w:p w14:paraId="3EB800B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Employment of practical nursing students, 225R</w:t>
      </w:r>
    </w:p>
    <w:p w14:paraId="33FFA66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Unsuccessful candidates on the NCLEX-PN, 225R</w:t>
      </w:r>
    </w:p>
    <w:p w14:paraId="71A05D71"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Public Health, Office of</w:t>
      </w:r>
    </w:p>
    <w:p w14:paraId="302D9A9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Day care centers and residential facilities, 228R</w:t>
      </w:r>
    </w:p>
    <w:p w14:paraId="60901A9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Health unit fees, 135N, 498R</w:t>
      </w:r>
    </w:p>
    <w:p w14:paraId="1358481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Marine and freshwater animal food products, 10ER, 981R</w:t>
      </w:r>
    </w:p>
    <w:p w14:paraId="3CD1F67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DE90CD8"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Substantive change to Notice of Intent </w:t>
      </w:r>
    </w:p>
    <w:p w14:paraId="509E9D99"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Marine and Fresh Water Animal Food Products, 450P</w:t>
      </w:r>
    </w:p>
    <w:p w14:paraId="7010DC55"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Retail Food Establishments, 451P</w:t>
      </w:r>
    </w:p>
    <w:p w14:paraId="51E19C5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Plans and permits review fees, 53R</w:t>
      </w:r>
    </w:p>
    <w:p w14:paraId="5737B25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Plans review fees</w:t>
      </w:r>
    </w:p>
    <w:p w14:paraId="0EC25DD3"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Medical marijuana retailers, 396N, 1190R</w:t>
      </w:r>
    </w:p>
    <w:p w14:paraId="5196186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Registration of foods, drugs, cosmetics, and prophylactic devices, 54R, 1251N</w:t>
      </w:r>
    </w:p>
    <w:p w14:paraId="06341752"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Consumable hemp, 1251N</w:t>
      </w:r>
    </w:p>
    <w:p w14:paraId="176F52B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UV tanning facilities and equipment, 1251N</w:t>
      </w:r>
    </w:p>
    <w:p w14:paraId="24C543F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of medical marijuana, 59R</w:t>
      </w:r>
    </w:p>
    <w:p w14:paraId="3ECC725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reorganization, 706R</w:t>
      </w:r>
    </w:p>
    <w:p w14:paraId="444BE5E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Retail food establishments, 10ER, 982R</w:t>
      </w:r>
    </w:p>
    <w:p w14:paraId="2EC078E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Sickle Cell Disease Registry, 228R</w:t>
      </w:r>
    </w:p>
    <w:p w14:paraId="28EB44E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Sign language interpreters, 722R</w:t>
      </w:r>
    </w:p>
    <w:p w14:paraId="64BE5B74"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Radiologic Technology Board of Examiners</w:t>
      </w:r>
    </w:p>
    <w:p w14:paraId="75C76AA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Radiologic technologists, 355R, 1710N</w:t>
      </w:r>
    </w:p>
    <w:p w14:paraId="7E543A26"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0047B2C7"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59A23038"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3E20A977" w14:textId="77777777" w:rsidR="00610312" w:rsidRPr="00610312" w:rsidRDefault="00610312" w:rsidP="00610312">
      <w:pPr>
        <w:keepNext/>
        <w:jc w:val="center"/>
        <w:rPr>
          <w:b/>
          <w:kern w:val="28"/>
        </w:rPr>
      </w:pPr>
      <w:r w:rsidRPr="00610312">
        <w:rPr>
          <w:b/>
          <w:kern w:val="28"/>
        </w:rPr>
        <w:t>INSURANCE</w:t>
      </w:r>
    </w:p>
    <w:p w14:paraId="0612094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Commissioner, Office of</w:t>
      </w:r>
    </w:p>
    <w:p w14:paraId="7CFADAD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Emergency Rule 50—</w:t>
      </w:r>
      <w:r w:rsidRPr="00610312">
        <w:t>Suspension of Certain Statutes Regarding Cancellations,</w:t>
      </w:r>
      <w:r w:rsidRPr="00610312">
        <w:rPr>
          <w:kern w:val="2"/>
        </w:rPr>
        <w:t xml:space="preserve"> </w:t>
      </w:r>
      <w:r w:rsidRPr="00610312">
        <w:t>Terminations, Non-Renewals and Nonreinstatements, Premium Payments, Claim Filings and Related</w:t>
      </w:r>
      <w:r w:rsidRPr="00610312">
        <w:rPr>
          <w:kern w:val="2"/>
        </w:rPr>
        <w:t xml:space="preserve"> </w:t>
      </w:r>
      <w:r w:rsidRPr="00610312">
        <w:t>Provisions Regarding Any and All Insurance Matters Affecting Insureds in Louisiana Caused by</w:t>
      </w:r>
      <w:r w:rsidRPr="00610312">
        <w:rPr>
          <w:kern w:val="2"/>
        </w:rPr>
        <w:t xml:space="preserve"> Tropical Storm Arthur, 1104ER</w:t>
      </w:r>
    </w:p>
    <w:p w14:paraId="3EAA08C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Emergency Rule 51—Correction of Annual Health Insurance Portability and Accountability ACT Assessment Rate, 1322ER</w:t>
      </w:r>
    </w:p>
    <w:p w14:paraId="1C1E92D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BF3AA21" w14:textId="77777777" w:rsidR="00610312" w:rsidRPr="00610312" w:rsidRDefault="00610312" w:rsidP="00610312">
      <w:pPr>
        <w:tabs>
          <w:tab w:val="left" w:pos="720"/>
          <w:tab w:val="left" w:pos="979"/>
          <w:tab w:val="left" w:pos="1152"/>
        </w:tabs>
        <w:ind w:left="450"/>
        <w:jc w:val="both"/>
        <w:outlineLvl w:val="4"/>
        <w:rPr>
          <w:kern w:val="2"/>
        </w:rPr>
      </w:pPr>
      <w:r w:rsidRPr="00610312">
        <w:t>Acquisition</w:t>
      </w:r>
      <w:r w:rsidRPr="00610312">
        <w:rPr>
          <w:kern w:val="2"/>
        </w:rPr>
        <w:t xml:space="preserve"> of Louisiana Farm Bureau Mutual Insurance Company by Southern Farm Bureau Casualty Insurance Company, 324P</w:t>
      </w:r>
    </w:p>
    <w:p w14:paraId="2DD2890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136—Fortify Homes Premium Discounts, 1506R</w:t>
      </w:r>
    </w:p>
    <w:p w14:paraId="00DFD7F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138—Premium Discount for Dashboard Cameras with Telematic Systems: Commercial Motor Vehicles, 1351R</w:t>
      </w:r>
    </w:p>
    <w:p w14:paraId="266CF35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139—Captive Insurance Companies, 836N, 1508R</w:t>
      </w:r>
    </w:p>
    <w:p w14:paraId="3CBF93C4"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kern w:val="2"/>
        </w:rPr>
        <w:t>Rule</w:t>
      </w:r>
      <w:r w:rsidRPr="00610312">
        <w:rPr>
          <w:rFonts w:eastAsia="Calibri"/>
          <w:kern w:val="2"/>
        </w:rPr>
        <w:t xml:space="preserve"> 13—Special Assessment; Creation of Dedicated Fund Account, 841N, 1352R</w:t>
      </w:r>
    </w:p>
    <w:p w14:paraId="1C9498A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Substantive changes to proposed Rule</w:t>
      </w:r>
    </w:p>
    <w:p w14:paraId="0BB17473"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Regulation 136—Fortify Homes Premium Discounts, 635P</w:t>
      </w:r>
    </w:p>
    <w:p w14:paraId="31CD0637"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 xml:space="preserve">Regulation 139—Captive Insurance Companies </w:t>
      </w:r>
      <w:r w:rsidRPr="00610312">
        <w:rPr>
          <w:kern w:val="2"/>
        </w:rPr>
        <w:br/>
        <w:t>(LAC 37:XIII.Chapter 215), 1083P, 1455P</w:t>
      </w:r>
    </w:p>
    <w:p w14:paraId="21744CCA"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Health, Life, and Annuity, Office of</w:t>
      </w:r>
    </w:p>
    <w:p w14:paraId="05B2AEF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Annual HIPAA assessment rate, 1084P</w:t>
      </w:r>
    </w:p>
    <w:p w14:paraId="32EDE097"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ACDCB8F"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74070A75"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4D291EB8" w14:textId="77777777" w:rsidR="00610312" w:rsidRPr="00610312" w:rsidRDefault="00610312" w:rsidP="00610312">
      <w:pPr>
        <w:keepNext/>
        <w:jc w:val="center"/>
        <w:rPr>
          <w:b/>
          <w:kern w:val="28"/>
        </w:rPr>
      </w:pPr>
      <w:r w:rsidRPr="00610312">
        <w:rPr>
          <w:b/>
          <w:kern w:val="28"/>
        </w:rPr>
        <w:t>JUSTICE</w:t>
      </w:r>
    </w:p>
    <w:p w14:paraId="3D8C48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Occupational Licensing Review Program</w:t>
      </w:r>
    </w:p>
    <w:p w14:paraId="49BA675A"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Accepting participants for FY 2026 - 2027</w:t>
      </w:r>
    </w:p>
    <w:p w14:paraId="0F1BC296"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Period of July 1, 2026 - June 30, 2027, 451P, 635P, 876P</w:t>
      </w:r>
    </w:p>
    <w:p w14:paraId="3704B4A2"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4A9270E9"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F026E1D"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4B4735B6" w14:textId="77777777" w:rsidR="00610312" w:rsidRPr="00610312" w:rsidRDefault="00610312" w:rsidP="00610312">
      <w:pPr>
        <w:keepNext/>
        <w:jc w:val="center"/>
        <w:rPr>
          <w:b/>
          <w:kern w:val="28"/>
        </w:rPr>
      </w:pPr>
      <w:r w:rsidRPr="00610312">
        <w:rPr>
          <w:b/>
          <w:kern w:val="28"/>
        </w:rPr>
        <w:t>LOUISIANA ECONOMIC DEVELOPMENT</w:t>
      </w:r>
    </w:p>
    <w:p w14:paraId="05E4659B"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Economic Development, Office of</w:t>
      </w:r>
    </w:p>
    <w:p w14:paraId="261AA0A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Collateral Support Program, 284N, 729R</w:t>
      </w:r>
    </w:p>
    <w:p w14:paraId="6692337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Local Economic Development Support Fund, 1259N</w:t>
      </w:r>
    </w:p>
    <w:p w14:paraId="11CCF4F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Biomedical Research and Development Park Program, 232R</w:t>
      </w:r>
    </w:p>
    <w:p w14:paraId="7EDE329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Industrial Training Program, 1260N</w:t>
      </w:r>
    </w:p>
    <w:p w14:paraId="2D47D80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Project Equity Fund, 1256N</w:t>
      </w:r>
    </w:p>
    <w:p w14:paraId="383719C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Seed Capital Program, 289N, 733R</w:t>
      </w:r>
    </w:p>
    <w:p w14:paraId="34E39DB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University Research and Development Parks Program, 233R</w:t>
      </w:r>
    </w:p>
    <w:p w14:paraId="1B271DF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Micro Loan Program, 291N, 735R</w:t>
      </w:r>
    </w:p>
    <w:p w14:paraId="46B5A9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Motion Picture Production Tax Credit Program, 11ER, 300N</w:t>
      </w:r>
    </w:p>
    <w:p w14:paraId="423F2CB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Regional Initiatives Program, 1257N</w:t>
      </w:r>
    </w:p>
    <w:p w14:paraId="0CA2E76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Restoration Tax Abatement Program, 398N, 982R</w:t>
      </w:r>
    </w:p>
    <w:p w14:paraId="6095525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Site Investment and Infrastructure Improvement Fund, 234R</w:t>
      </w:r>
    </w:p>
    <w:p w14:paraId="5B846BE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Small Business Loan Guaranty Program, 296N, 739R</w:t>
      </w:r>
    </w:p>
    <w:p w14:paraId="022B9140"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kern w:val="2"/>
          <w:lang w:eastAsia="x-none"/>
        </w:rPr>
      </w:pPr>
      <w:r w:rsidRPr="00610312">
        <w:rPr>
          <w:b/>
          <w:bCs/>
          <w:color w:val="000000"/>
          <w:kern w:val="2"/>
          <w:lang w:val="x-none" w:eastAsia="x-none"/>
        </w:rPr>
        <w:t>Louisiana</w:t>
      </w:r>
      <w:r w:rsidRPr="00610312">
        <w:rPr>
          <w:b/>
          <w:kern w:val="2"/>
          <w:lang w:eastAsia="x-none"/>
        </w:rPr>
        <w:t xml:space="preserve"> Economic Development Corporation</w:t>
      </w:r>
    </w:p>
    <w:p w14:paraId="5C6FF70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Collateral Support Program, 284N, 729R</w:t>
      </w:r>
    </w:p>
    <w:p w14:paraId="4E658D6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Project Equity Fund, 1256N</w:t>
      </w:r>
    </w:p>
    <w:p w14:paraId="28EEBDE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Seed Capital Program, 289N, 733R</w:t>
      </w:r>
    </w:p>
    <w:p w14:paraId="69F808B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Micro Loan Program, 291N, 735R</w:t>
      </w:r>
    </w:p>
    <w:p w14:paraId="6B72CDA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Regional Initiatives Program, 1257N</w:t>
      </w:r>
    </w:p>
    <w:p w14:paraId="2E48B84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Small Business Loan Guaranty Program, 296N, 739R</w:t>
      </w:r>
    </w:p>
    <w:p w14:paraId="36D2DE4D"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52A70DA2"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DC2DBA3"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770E99C" w14:textId="77777777" w:rsidR="00610312" w:rsidRPr="00610312" w:rsidRDefault="00610312" w:rsidP="00610312">
      <w:pPr>
        <w:jc w:val="center"/>
        <w:rPr>
          <w:kern w:val="28"/>
        </w:rPr>
      </w:pPr>
      <w:r w:rsidRPr="00610312">
        <w:rPr>
          <w:b/>
          <w:kern w:val="28"/>
        </w:rPr>
        <w:t>LOUISIANA WORKS</w:t>
      </w:r>
    </w:p>
    <w:p w14:paraId="71BEE700"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bCs/>
          <w:color w:val="000000"/>
          <w:kern w:val="2"/>
          <w:lang w:val="x-none" w:eastAsia="x-none"/>
        </w:rPr>
      </w:pPr>
      <w:r w:rsidRPr="00610312">
        <w:rPr>
          <w:b/>
          <w:bCs/>
          <w:color w:val="000000"/>
          <w:kern w:val="2"/>
          <w:lang w:val="x-none" w:eastAsia="x-none"/>
        </w:rPr>
        <w:t>Rehabilitation Services</w:t>
      </w:r>
    </w:p>
    <w:p w14:paraId="43B0E95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Rehabilitation Services, 402N</w:t>
      </w:r>
    </w:p>
    <w:p w14:paraId="74F41EF1"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bCs/>
          <w:color w:val="000000"/>
          <w:kern w:val="2"/>
          <w:lang w:val="x-none" w:eastAsia="x-none"/>
        </w:rPr>
      </w:pPr>
      <w:r w:rsidRPr="00610312">
        <w:rPr>
          <w:b/>
          <w:kern w:val="2"/>
          <w:lang w:eastAsia="x-none"/>
        </w:rPr>
        <w:t>Workers’</w:t>
      </w:r>
      <w:r w:rsidRPr="00610312">
        <w:rPr>
          <w:b/>
          <w:bCs/>
          <w:color w:val="000000"/>
          <w:kern w:val="2"/>
          <w:lang w:val="x-none" w:eastAsia="x-none"/>
        </w:rPr>
        <w:t xml:space="preserve"> Compensation Administration, Office of</w:t>
      </w:r>
    </w:p>
    <w:p w14:paraId="5454052D"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rFonts w:ascii="TimesNewRomanPSMT" w:hAnsi="TimesNewRomanPSMT" w:cs="TimesNewRomanPSMT"/>
          <w:kern w:val="2"/>
        </w:rPr>
        <w:t>Drug testing programs in job-related accident cases, 1353R</w:t>
      </w:r>
    </w:p>
    <w:p w14:paraId="3657727B"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Finance and audit, 742R</w:t>
      </w:r>
    </w:p>
    <w:p w14:paraId="53CF9812"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General administration, 499R, 501R</w:t>
      </w:r>
    </w:p>
    <w:p w14:paraId="5E09DE01"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br w:type="page"/>
      </w:r>
    </w:p>
    <w:p w14:paraId="3B96A2AE" w14:textId="77777777" w:rsidR="00610312" w:rsidRPr="00610312" w:rsidRDefault="00610312" w:rsidP="00610312">
      <w:pPr>
        <w:jc w:val="center"/>
        <w:rPr>
          <w:b/>
          <w:color w:val="000000"/>
          <w:kern w:val="28"/>
        </w:rPr>
      </w:pPr>
      <w:r w:rsidRPr="00610312">
        <w:rPr>
          <w:b/>
          <w:kern w:val="28"/>
        </w:rPr>
        <w:lastRenderedPageBreak/>
        <w:t>LOUISIANA WORKS (continued)</w:t>
      </w:r>
    </w:p>
    <w:p w14:paraId="1CEBD0A5"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Hearing rules, 506R</w:t>
      </w:r>
    </w:p>
    <w:p w14:paraId="1DAFFED8"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Independent Medical Examination Form, 618N, 1355R</w:t>
      </w:r>
    </w:p>
    <w:p w14:paraId="03D06117"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Medical treatment guidelines, 508R, 620N, 1357R</w:t>
      </w:r>
    </w:p>
    <w:p w14:paraId="6C2960C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Mileage reimbursement limits, 192P</w:t>
      </w:r>
    </w:p>
    <w:p w14:paraId="0A73BA8C" w14:textId="77777777" w:rsidR="00610312" w:rsidRPr="00610312" w:rsidRDefault="00610312" w:rsidP="00610312">
      <w:pPr>
        <w:tabs>
          <w:tab w:val="left" w:pos="720"/>
          <w:tab w:val="left" w:pos="979"/>
          <w:tab w:val="left" w:pos="1152"/>
        </w:tabs>
        <w:ind w:left="450" w:hanging="90"/>
        <w:jc w:val="both"/>
        <w:outlineLvl w:val="4"/>
        <w:rPr>
          <w:rFonts w:ascii="TimesNewRomanPSMT" w:hAnsi="TimesNewRomanPSMT" w:cs="TimesNewRomanPSMT"/>
          <w:kern w:val="2"/>
        </w:rPr>
      </w:pPr>
      <w:r w:rsidRPr="00610312">
        <w:rPr>
          <w:kern w:val="2"/>
        </w:rPr>
        <w:t>Notice</w:t>
      </w:r>
      <w:r w:rsidRPr="00610312">
        <w:rPr>
          <w:rFonts w:ascii="TimesNewRomanPSMT" w:hAnsi="TimesNewRomanPSMT" w:cs="TimesNewRomanPSMT"/>
          <w:kern w:val="2"/>
        </w:rPr>
        <w:t xml:space="preserve"> of public hearing</w:t>
      </w:r>
    </w:p>
    <w:p w14:paraId="14C83C24" w14:textId="77777777" w:rsidR="00610312" w:rsidRPr="00610312" w:rsidRDefault="00610312" w:rsidP="00610312">
      <w:pPr>
        <w:tabs>
          <w:tab w:val="left" w:pos="720"/>
          <w:tab w:val="left" w:pos="979"/>
          <w:tab w:val="left" w:pos="1152"/>
        </w:tabs>
        <w:ind w:left="450"/>
        <w:jc w:val="both"/>
        <w:outlineLvl w:val="4"/>
        <w:rPr>
          <w:rFonts w:ascii="TimesNewRomanPSMT" w:hAnsi="TimesNewRomanPSMT" w:cs="TimesNewRomanPSMT"/>
          <w:kern w:val="2"/>
        </w:rPr>
      </w:pPr>
      <w:r w:rsidRPr="00610312">
        <w:rPr>
          <w:rFonts w:ascii="TimesNewRomanPSMT" w:hAnsi="TimesNewRomanPSMT" w:cs="TimesNewRomanPSMT"/>
          <w:kern w:val="2"/>
        </w:rPr>
        <w:t>Substantive Changes to Proposed Rule</w:t>
      </w:r>
    </w:p>
    <w:p w14:paraId="60B7FC28" w14:textId="77777777" w:rsidR="00610312" w:rsidRPr="00610312" w:rsidRDefault="00610312" w:rsidP="00610312">
      <w:pPr>
        <w:tabs>
          <w:tab w:val="left" w:pos="720"/>
          <w:tab w:val="left" w:pos="979"/>
          <w:tab w:val="left" w:pos="1152"/>
        </w:tabs>
        <w:ind w:left="630" w:hanging="90"/>
        <w:jc w:val="both"/>
        <w:outlineLvl w:val="4"/>
        <w:rPr>
          <w:rFonts w:ascii="TimesNewRomanPSMT" w:hAnsi="TimesNewRomanPSMT" w:cs="TimesNewRomanPSMT"/>
          <w:kern w:val="2"/>
        </w:rPr>
      </w:pPr>
      <w:r w:rsidRPr="00610312">
        <w:rPr>
          <w:rFonts w:ascii="TimesNewRomanPSMT" w:hAnsi="TimesNewRomanPSMT" w:cs="TimesNewRomanPSMT"/>
          <w:kern w:val="2"/>
        </w:rPr>
        <w:t>Drug Testing Programs in Job-Related Accident Cases, 636P</w:t>
      </w:r>
    </w:p>
    <w:p w14:paraId="0D516486" w14:textId="77777777" w:rsidR="00610312" w:rsidRPr="00610312" w:rsidRDefault="00610312" w:rsidP="00610312">
      <w:pPr>
        <w:tabs>
          <w:tab w:val="left" w:pos="720"/>
          <w:tab w:val="left" w:pos="979"/>
          <w:tab w:val="left" w:pos="1152"/>
        </w:tabs>
        <w:ind w:left="450" w:hanging="90"/>
        <w:jc w:val="both"/>
        <w:outlineLvl w:val="4"/>
        <w:rPr>
          <w:rFonts w:ascii="TimesNewRomanPSMT" w:hAnsi="TimesNewRomanPSMT" w:cs="TimesNewRomanPSMT"/>
          <w:kern w:val="2"/>
        </w:rPr>
      </w:pPr>
      <w:r w:rsidRPr="00610312">
        <w:rPr>
          <w:kern w:val="2"/>
        </w:rPr>
        <w:t>Rehabilitation</w:t>
      </w:r>
      <w:r w:rsidRPr="00610312">
        <w:rPr>
          <w:rFonts w:ascii="TimesNewRomanPSMT" w:hAnsi="TimesNewRomanPSMT" w:cs="TimesNewRomanPSMT"/>
          <w:kern w:val="2"/>
        </w:rPr>
        <w:t xml:space="preserve"> services, 877P, 1368R</w:t>
      </w:r>
    </w:p>
    <w:p w14:paraId="068A21E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Second Injury Board, 746R</w:t>
      </w:r>
    </w:p>
    <w:p w14:paraId="7C44523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Weekly compensation benefits limits, 1456P</w:t>
      </w:r>
    </w:p>
    <w:p w14:paraId="641409DC" w14:textId="77777777" w:rsidR="00610312" w:rsidRPr="00610312" w:rsidRDefault="00610312" w:rsidP="00610312">
      <w:pPr>
        <w:tabs>
          <w:tab w:val="left" w:pos="720"/>
          <w:tab w:val="left" w:pos="979"/>
          <w:tab w:val="left" w:pos="1152"/>
        </w:tabs>
        <w:ind w:left="450" w:hanging="90"/>
        <w:jc w:val="both"/>
        <w:outlineLvl w:val="4"/>
        <w:rPr>
          <w:kern w:val="2"/>
        </w:rPr>
      </w:pPr>
    </w:p>
    <w:p w14:paraId="6FCB2824" w14:textId="77777777" w:rsidR="00610312" w:rsidRPr="00610312" w:rsidRDefault="00610312" w:rsidP="00610312">
      <w:pPr>
        <w:tabs>
          <w:tab w:val="left" w:pos="720"/>
          <w:tab w:val="left" w:pos="979"/>
          <w:tab w:val="left" w:pos="1152"/>
        </w:tabs>
        <w:ind w:left="450" w:hanging="90"/>
        <w:jc w:val="both"/>
        <w:outlineLvl w:val="4"/>
        <w:rPr>
          <w:kern w:val="2"/>
        </w:rPr>
      </w:pPr>
    </w:p>
    <w:p w14:paraId="5FCFEA82" w14:textId="77777777" w:rsidR="00610312" w:rsidRPr="00610312" w:rsidRDefault="00610312" w:rsidP="00610312">
      <w:pPr>
        <w:tabs>
          <w:tab w:val="left" w:pos="720"/>
          <w:tab w:val="left" w:pos="979"/>
          <w:tab w:val="left" w:pos="1152"/>
        </w:tabs>
        <w:ind w:left="450" w:hanging="90"/>
        <w:jc w:val="both"/>
        <w:outlineLvl w:val="4"/>
        <w:rPr>
          <w:kern w:val="2"/>
        </w:rPr>
      </w:pPr>
    </w:p>
    <w:p w14:paraId="466459C3" w14:textId="77777777" w:rsidR="00610312" w:rsidRPr="00610312" w:rsidRDefault="00610312" w:rsidP="00610312">
      <w:pPr>
        <w:jc w:val="center"/>
        <w:rPr>
          <w:b/>
          <w:kern w:val="28"/>
        </w:rPr>
      </w:pPr>
      <w:r w:rsidRPr="00610312">
        <w:rPr>
          <w:b/>
          <w:kern w:val="28"/>
        </w:rPr>
        <w:t>POLICY AND PROCEDURE MEMORANDA</w:t>
      </w:r>
    </w:p>
    <w:p w14:paraId="12D4743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Governor, Office of the</w:t>
      </w:r>
    </w:p>
    <w:p w14:paraId="7B7A5A48"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bCs/>
          <w:color w:val="000000"/>
          <w:kern w:val="2"/>
          <w:lang w:val="x-none" w:eastAsia="x-none"/>
        </w:rPr>
      </w:pPr>
      <w:r w:rsidRPr="00610312">
        <w:rPr>
          <w:b/>
          <w:bCs/>
          <w:color w:val="000000"/>
          <w:kern w:val="2"/>
          <w:lang w:val="x-none" w:eastAsia="x-none"/>
        </w:rPr>
        <w:t>Administration, Division of</w:t>
      </w:r>
    </w:p>
    <w:p w14:paraId="1FE67E3C" w14:textId="77777777" w:rsidR="00610312" w:rsidRPr="00610312" w:rsidRDefault="00610312" w:rsidP="00610312">
      <w:pPr>
        <w:tabs>
          <w:tab w:val="left" w:pos="720"/>
          <w:tab w:val="left" w:pos="979"/>
          <w:tab w:val="left" w:pos="1152"/>
        </w:tabs>
        <w:ind w:left="450" w:hanging="90"/>
        <w:jc w:val="both"/>
        <w:outlineLvl w:val="4"/>
        <w:rPr>
          <w:spacing w:val="-2"/>
          <w:kern w:val="2"/>
        </w:rPr>
      </w:pPr>
      <w:r w:rsidRPr="00610312">
        <w:rPr>
          <w:kern w:val="2"/>
        </w:rPr>
        <w:t>PPM</w:t>
      </w:r>
      <w:r w:rsidRPr="00610312">
        <w:rPr>
          <w:spacing w:val="-5"/>
          <w:kern w:val="2"/>
        </w:rPr>
        <w:t xml:space="preserve"> </w:t>
      </w:r>
      <w:r w:rsidRPr="00610312">
        <w:rPr>
          <w:kern w:val="2"/>
        </w:rPr>
        <w:t>64—Printing</w:t>
      </w:r>
      <w:r w:rsidRPr="00610312">
        <w:rPr>
          <w:spacing w:val="-3"/>
          <w:kern w:val="2"/>
        </w:rPr>
        <w:t xml:space="preserve"> </w:t>
      </w:r>
      <w:r w:rsidRPr="00610312">
        <w:rPr>
          <w:kern w:val="2"/>
        </w:rPr>
        <w:t>and</w:t>
      </w:r>
      <w:r w:rsidRPr="00610312">
        <w:rPr>
          <w:spacing w:val="-5"/>
          <w:kern w:val="2"/>
        </w:rPr>
        <w:t xml:space="preserve"> </w:t>
      </w:r>
      <w:r w:rsidRPr="00610312">
        <w:rPr>
          <w:kern w:val="2"/>
        </w:rPr>
        <w:t>Mailing</w:t>
      </w:r>
      <w:r w:rsidRPr="00610312">
        <w:rPr>
          <w:spacing w:val="-4"/>
          <w:kern w:val="2"/>
        </w:rPr>
        <w:t xml:space="preserve"> </w:t>
      </w:r>
      <w:r w:rsidRPr="00610312">
        <w:rPr>
          <w:spacing w:val="-2"/>
          <w:kern w:val="2"/>
        </w:rPr>
        <w:t>Procedures, 336PPM</w:t>
      </w:r>
    </w:p>
    <w:p w14:paraId="688583D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spacing w:val="-2"/>
          <w:kern w:val="2"/>
        </w:rPr>
        <w:t>PPM 49</w:t>
      </w:r>
      <w:r w:rsidRPr="00610312">
        <w:rPr>
          <w:kern w:val="2"/>
        </w:rPr>
        <w:t>—General Travel Regulations, 896PPM</w:t>
      </w:r>
    </w:p>
    <w:p w14:paraId="6520745F" w14:textId="77777777" w:rsidR="00610312" w:rsidRPr="00610312" w:rsidRDefault="00610312" w:rsidP="00610312">
      <w:pPr>
        <w:tabs>
          <w:tab w:val="left" w:pos="720"/>
          <w:tab w:val="left" w:pos="979"/>
          <w:tab w:val="left" w:pos="1152"/>
        </w:tabs>
        <w:ind w:left="450" w:hanging="90"/>
        <w:jc w:val="both"/>
        <w:outlineLvl w:val="4"/>
        <w:rPr>
          <w:kern w:val="2"/>
        </w:rPr>
      </w:pPr>
    </w:p>
    <w:p w14:paraId="291D5E78" w14:textId="77777777" w:rsidR="00610312" w:rsidRPr="00610312" w:rsidRDefault="00610312" w:rsidP="00610312">
      <w:pPr>
        <w:tabs>
          <w:tab w:val="left" w:pos="720"/>
          <w:tab w:val="left" w:pos="979"/>
          <w:tab w:val="left" w:pos="1152"/>
        </w:tabs>
        <w:ind w:left="450" w:hanging="90"/>
        <w:jc w:val="both"/>
        <w:outlineLvl w:val="4"/>
        <w:rPr>
          <w:kern w:val="2"/>
        </w:rPr>
      </w:pPr>
    </w:p>
    <w:p w14:paraId="66BDE208" w14:textId="77777777" w:rsidR="00610312" w:rsidRPr="00610312" w:rsidRDefault="00610312" w:rsidP="00610312">
      <w:pPr>
        <w:tabs>
          <w:tab w:val="left" w:pos="720"/>
          <w:tab w:val="left" w:pos="979"/>
          <w:tab w:val="left" w:pos="1152"/>
        </w:tabs>
        <w:ind w:left="450" w:hanging="90"/>
        <w:jc w:val="both"/>
        <w:outlineLvl w:val="4"/>
        <w:rPr>
          <w:kern w:val="2"/>
        </w:rPr>
      </w:pPr>
    </w:p>
    <w:p w14:paraId="1D952ED7" w14:textId="77777777" w:rsidR="00610312" w:rsidRPr="00610312" w:rsidRDefault="00610312" w:rsidP="00610312">
      <w:pPr>
        <w:keepNext/>
        <w:jc w:val="center"/>
        <w:rPr>
          <w:b/>
          <w:kern w:val="28"/>
        </w:rPr>
      </w:pPr>
      <w:r w:rsidRPr="00610312">
        <w:rPr>
          <w:b/>
          <w:kern w:val="28"/>
        </w:rPr>
        <w:t>PUBLIC SAFETY AND CORRECTIONS</w:t>
      </w:r>
    </w:p>
    <w:p w14:paraId="7F32B116"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Corrections Services</w:t>
      </w:r>
    </w:p>
    <w:p w14:paraId="56C0A807"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Disciplinary rules and procedures for adult inmates, 1108ER, 1277N</w:t>
      </w:r>
    </w:p>
    <w:p w14:paraId="37FB0B4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Telephone use and policy on monitoring of calls, 1719N</w:t>
      </w:r>
    </w:p>
    <w:p w14:paraId="34ED855B"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Gaming Control Board</w:t>
      </w:r>
    </w:p>
    <w:p w14:paraId="1721BB9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Fixed odds wagers on horse races, 1721N</w:t>
      </w:r>
    </w:p>
    <w:p w14:paraId="042761C9"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Gaming Control Board, 65R</w:t>
      </w:r>
    </w:p>
    <w:p w14:paraId="75DF172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Self-exclusion, 1444N</w:t>
      </w:r>
    </w:p>
    <w:p w14:paraId="0A877F9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Sports wagering events, 1721N</w:t>
      </w:r>
    </w:p>
    <w:p w14:paraId="0B37AB7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Preventive measures, 1724N</w:t>
      </w:r>
    </w:p>
    <w:p w14:paraId="71B8B5C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Trainings, 1724N</w:t>
      </w:r>
    </w:p>
    <w:p w14:paraId="5621DE05"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Workplace policies, 1724N</w:t>
      </w:r>
    </w:p>
    <w:p w14:paraId="6C4F3A1C"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Motor Vehicles, Office of</w:t>
      </w:r>
    </w:p>
    <w:p w14:paraId="36752B4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Application process and fees for private driving schools and instructors, 66R</w:t>
      </w:r>
    </w:p>
    <w:p w14:paraId="4809F3D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Electric and hybrid vehicle road usage fee, 243R</w:t>
      </w:r>
    </w:p>
    <w:p w14:paraId="40DD8AE0"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Liquefied Petroleum Gas Commission</w:t>
      </w:r>
    </w:p>
    <w:p w14:paraId="0E259D8D"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Liquefied petroleum gas</w:t>
      </w:r>
    </w:p>
    <w:p w14:paraId="5419EC75" w14:textId="77777777" w:rsidR="00610312" w:rsidRPr="00610312" w:rsidRDefault="00610312" w:rsidP="00610312">
      <w:pPr>
        <w:tabs>
          <w:tab w:val="left" w:pos="720"/>
          <w:tab w:val="left" w:pos="979"/>
          <w:tab w:val="left" w:pos="1152"/>
        </w:tabs>
        <w:ind w:left="450"/>
        <w:jc w:val="both"/>
        <w:outlineLvl w:val="4"/>
        <w:rPr>
          <w:bCs/>
          <w:kern w:val="2"/>
        </w:rPr>
      </w:pPr>
      <w:r w:rsidRPr="00610312">
        <w:rPr>
          <w:kern w:val="2"/>
        </w:rPr>
        <w:t>Applications and permits, 843N, 1387R</w:t>
      </w:r>
    </w:p>
    <w:p w14:paraId="0191343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Private Security Examiners, Board of</w:t>
      </w:r>
    </w:p>
    <w:p w14:paraId="3A8D41E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Private security examiners, 237R, 1261N, 1261N, 1440N</w:t>
      </w:r>
    </w:p>
    <w:p w14:paraId="5825200B"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State Fire Marshal, Office of</w:t>
      </w:r>
    </w:p>
    <w:p w14:paraId="234B19F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Buildings</w:t>
      </w:r>
      <w:r w:rsidRPr="00610312">
        <w:rPr>
          <w:bCs/>
          <w:kern w:val="2"/>
        </w:rPr>
        <w:t xml:space="preserve">, 844N, 1388R </w:t>
      </w:r>
    </w:p>
    <w:p w14:paraId="1330F08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Fire protection, 1446N</w:t>
      </w:r>
    </w:p>
    <w:p w14:paraId="5787466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Flammable</w:t>
      </w:r>
      <w:r w:rsidRPr="00610312">
        <w:rPr>
          <w:bCs/>
          <w:kern w:val="2"/>
        </w:rPr>
        <w:t xml:space="preserve"> and combustible liquids, 847N, 1389R</w:t>
      </w:r>
    </w:p>
    <w:p w14:paraId="7BA59AF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1B36C7A1" w14:textId="77777777" w:rsidR="00610312" w:rsidRPr="00610312" w:rsidRDefault="00610312" w:rsidP="00610312">
      <w:pPr>
        <w:tabs>
          <w:tab w:val="left" w:pos="720"/>
          <w:tab w:val="left" w:pos="979"/>
          <w:tab w:val="left" w:pos="1152"/>
        </w:tabs>
        <w:ind w:left="450"/>
        <w:jc w:val="both"/>
        <w:outlineLvl w:val="4"/>
        <w:rPr>
          <w:bCs/>
          <w:kern w:val="2"/>
        </w:rPr>
      </w:pPr>
      <w:r w:rsidRPr="00610312">
        <w:rPr>
          <w:kern w:val="2"/>
        </w:rPr>
        <w:t>Substantive Changes to Notice of Intent—Conveyance Device Systems and Equipment, 1084P</w:t>
      </w:r>
    </w:p>
    <w:p w14:paraId="1F95337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Preliminary</w:t>
      </w:r>
      <w:r w:rsidRPr="00610312">
        <w:rPr>
          <w:bCs/>
          <w:kern w:val="2"/>
        </w:rPr>
        <w:t xml:space="preserve"> provisions, 848N, 1390R</w:t>
      </w:r>
    </w:p>
    <w:p w14:paraId="39E557F8"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State Police, Office of</w:t>
      </w:r>
    </w:p>
    <w:p w14:paraId="2E6C8DD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Breath and blood alcohol analysis methods and techniques, 1278N</w:t>
      </w:r>
    </w:p>
    <w:p w14:paraId="158AA5F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Costs of photographs and videos pertaining to accident reports, 1447N</w:t>
      </w:r>
    </w:p>
    <w:p w14:paraId="030E7A7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Material Information Development, Preparedness, and Response Act</w:t>
      </w:r>
    </w:p>
    <w:p w14:paraId="5D7CA009" w14:textId="77777777" w:rsidR="00610312" w:rsidRPr="00610312" w:rsidRDefault="00610312" w:rsidP="00610312">
      <w:pPr>
        <w:tabs>
          <w:tab w:val="left" w:pos="720"/>
          <w:tab w:val="left" w:pos="979"/>
          <w:tab w:val="left" w:pos="1152"/>
        </w:tabs>
        <w:ind w:left="450"/>
        <w:jc w:val="both"/>
        <w:outlineLvl w:val="4"/>
        <w:rPr>
          <w:b/>
          <w:kern w:val="2"/>
        </w:rPr>
      </w:pPr>
      <w:r w:rsidRPr="00610312">
        <w:rPr>
          <w:kern w:val="2"/>
        </w:rPr>
        <w:t>Inventory reporting, 1726N</w:t>
      </w:r>
    </w:p>
    <w:p w14:paraId="111468B2" w14:textId="77777777" w:rsidR="00610312" w:rsidRPr="00610312" w:rsidRDefault="00610312" w:rsidP="00610312">
      <w:pPr>
        <w:keepNext/>
        <w:tabs>
          <w:tab w:val="left" w:pos="144"/>
          <w:tab w:val="left" w:pos="187"/>
          <w:tab w:val="left" w:pos="540"/>
          <w:tab w:val="left" w:pos="907"/>
          <w:tab w:val="left" w:pos="1080"/>
        </w:tabs>
        <w:ind w:left="450" w:hanging="180"/>
        <w:jc w:val="both"/>
        <w:outlineLvl w:val="3"/>
        <w:rPr>
          <w:b/>
          <w:kern w:val="2"/>
          <w:lang w:eastAsia="x-none"/>
        </w:rPr>
      </w:pPr>
      <w:r w:rsidRPr="00610312">
        <w:rPr>
          <w:b/>
          <w:kern w:val="2"/>
          <w:lang w:eastAsia="x-none"/>
        </w:rPr>
        <w:t>Bureau of Criminal Identification and Information</w:t>
      </w:r>
    </w:p>
    <w:p w14:paraId="57011C9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Criminal history background checks on licensed ambulance personnel and nonlicensed persons, 66R</w:t>
      </w:r>
    </w:p>
    <w:p w14:paraId="60B312A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Issuance of concealed handgun permits, 68R</w:t>
      </w:r>
    </w:p>
    <w:p w14:paraId="50DFF1F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6"/>
          <w:szCs w:val="16"/>
          <w:lang w:val="x-none" w:eastAsia="x-none"/>
        </w:rPr>
      </w:pPr>
    </w:p>
    <w:p w14:paraId="3A52E51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6"/>
          <w:szCs w:val="16"/>
          <w:lang w:val="x-none" w:eastAsia="x-none"/>
        </w:rPr>
      </w:pPr>
    </w:p>
    <w:p w14:paraId="192B014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6"/>
          <w:szCs w:val="16"/>
          <w:lang w:val="x-none" w:eastAsia="x-none"/>
        </w:rPr>
      </w:pPr>
    </w:p>
    <w:p w14:paraId="21DC4EBE" w14:textId="77777777" w:rsidR="00610312" w:rsidRPr="00610312" w:rsidRDefault="00610312" w:rsidP="00610312">
      <w:pPr>
        <w:keepNext/>
        <w:jc w:val="center"/>
        <w:rPr>
          <w:b/>
          <w:kern w:val="28"/>
        </w:rPr>
      </w:pPr>
      <w:r w:rsidRPr="00610312">
        <w:rPr>
          <w:b/>
          <w:kern w:val="28"/>
        </w:rPr>
        <w:t>REVENUE</w:t>
      </w:r>
    </w:p>
    <w:p w14:paraId="1BC59BF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val="x-none" w:eastAsia="x-none"/>
        </w:rPr>
      </w:pPr>
      <w:r w:rsidRPr="00610312">
        <w:rPr>
          <w:b/>
          <w:bCs/>
          <w:kern w:val="2"/>
          <w:lang w:val="x-none" w:eastAsia="x-none"/>
        </w:rPr>
        <w:t>Tax Policy and Planning Division</w:t>
      </w:r>
    </w:p>
    <w:p w14:paraId="06FD8E34"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Annual retirement income exemption for individuals 65 or older, 1050N, 1512R</w:t>
      </w:r>
    </w:p>
    <w:p w14:paraId="48452633"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Corporation returns, 1052N, 1513R</w:t>
      </w:r>
    </w:p>
    <w:p w14:paraId="1FD74D0B"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Donations to qualifying Foster Care Charitable Organization Credit, 357R</w:t>
      </w:r>
    </w:p>
    <w:p w14:paraId="21B362A9"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Election of pass-through entities, 306N, 748R</w:t>
      </w:r>
    </w:p>
    <w:p w14:paraId="79DCA1B1"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Income</w:t>
      </w:r>
    </w:p>
    <w:p w14:paraId="2033FB43" w14:textId="77777777" w:rsidR="00610312" w:rsidRPr="00610312" w:rsidRDefault="00610312" w:rsidP="00610312">
      <w:pPr>
        <w:tabs>
          <w:tab w:val="left" w:pos="720"/>
          <w:tab w:val="left" w:pos="979"/>
          <w:tab w:val="left" w:pos="1152"/>
        </w:tabs>
        <w:ind w:left="450"/>
        <w:jc w:val="both"/>
        <w:outlineLvl w:val="4"/>
        <w:rPr>
          <w:rFonts w:eastAsia="Calibri"/>
          <w:kern w:val="2"/>
        </w:rPr>
      </w:pPr>
      <w:r w:rsidRPr="00610312">
        <w:rPr>
          <w:rFonts w:eastAsia="Calibri"/>
          <w:kern w:val="2"/>
        </w:rPr>
        <w:t>Corporation income tax, 1053N, 1513R</w:t>
      </w:r>
    </w:p>
    <w:p w14:paraId="053B0BD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rFonts w:eastAsia="Calibri"/>
          <w:kern w:val="2"/>
        </w:rPr>
        <w:t>Income</w:t>
      </w:r>
      <w:r w:rsidRPr="00610312">
        <w:rPr>
          <w:kern w:val="2"/>
        </w:rPr>
        <w:t xml:space="preserve"> tax withholding </w:t>
      </w:r>
    </w:p>
    <w:p w14:paraId="4541EA0F"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Game winnings, 1055N, 1514R</w:t>
      </w:r>
    </w:p>
    <w:p w14:paraId="0CBD08B6" w14:textId="77777777" w:rsidR="00610312" w:rsidRPr="00610312" w:rsidRDefault="00610312" w:rsidP="00610312">
      <w:pPr>
        <w:tabs>
          <w:tab w:val="left" w:pos="720"/>
          <w:tab w:val="left" w:pos="979"/>
          <w:tab w:val="left" w:pos="1152"/>
        </w:tabs>
        <w:ind w:left="450"/>
        <w:jc w:val="both"/>
        <w:outlineLvl w:val="4"/>
        <w:rPr>
          <w:kern w:val="2"/>
        </w:rPr>
      </w:pPr>
      <w:r w:rsidRPr="00610312">
        <w:rPr>
          <w:rFonts w:eastAsia="Calibri"/>
          <w:kern w:val="2"/>
        </w:rPr>
        <w:t>Tables</w:t>
      </w:r>
      <w:r w:rsidRPr="00610312">
        <w:rPr>
          <w:kern w:val="2"/>
        </w:rPr>
        <w:t>, 13ER, 308N, 422N, 749R</w:t>
      </w:r>
    </w:p>
    <w:p w14:paraId="4B03D7A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Fortified Roof Tax Credit Program and construction code retrofitting deduction, 1280N</w:t>
      </w:r>
    </w:p>
    <w:p w14:paraId="6D74071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Mandatory electronic filing and payment requirements, 70R</w:t>
      </w:r>
    </w:p>
    <w:p w14:paraId="1740E1C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Mobile workforce exemption, 357R</w:t>
      </w:r>
    </w:p>
    <w:p w14:paraId="2F21B89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3BB3BFB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Substantive changes to proposed Rule</w:t>
      </w:r>
    </w:p>
    <w:p w14:paraId="79CEAC2A"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Exemptions for Digital Products, Computer Software, Prewritten Computer Software Access Services and Information Services, 637P, 1297P</w:t>
      </w:r>
    </w:p>
    <w:p w14:paraId="08AFBB8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Partial sales and use tax exemption on boats, 358R</w:t>
      </w:r>
    </w:p>
    <w:p w14:paraId="58BAC01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Payment of sales and use taxes by persons constructing, renovating, or altering immovable property, 1281N</w:t>
      </w:r>
    </w:p>
    <w:p w14:paraId="0F6881E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Amendment of public hearing, 1456P</w:t>
      </w:r>
    </w:p>
    <w:p w14:paraId="374C80A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Petition for rulemaking, 244R</w:t>
      </w:r>
    </w:p>
    <w:p w14:paraId="0CF0DC5E" w14:textId="77777777" w:rsidR="00610312" w:rsidRPr="00610312" w:rsidRDefault="00610312" w:rsidP="00610312">
      <w:pPr>
        <w:tabs>
          <w:tab w:val="left" w:pos="720"/>
          <w:tab w:val="left" w:pos="979"/>
          <w:tab w:val="left" w:pos="1152"/>
        </w:tabs>
        <w:ind w:left="450" w:hanging="90"/>
        <w:jc w:val="both"/>
        <w:outlineLvl w:val="4"/>
        <w:rPr>
          <w:kern w:val="2"/>
        </w:rPr>
      </w:pPr>
      <w:bookmarkStart w:id="855" w:name="_Hlk234312581"/>
      <w:r w:rsidRPr="00610312">
        <w:rPr>
          <w:kern w:val="2"/>
        </w:rPr>
        <w:t>Qualifying purchases for public construction projects by contractors and subcontractors</w:t>
      </w:r>
      <w:bookmarkEnd w:id="855"/>
      <w:r w:rsidRPr="00610312">
        <w:rPr>
          <w:kern w:val="2"/>
        </w:rPr>
        <w:t>, 1283N</w:t>
      </w:r>
    </w:p>
    <w:p w14:paraId="0F42B72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Repeal of obsolete sales and use tax exemptions, exclusions, refunds, and holidays, 850N, 1391R</w:t>
      </w:r>
    </w:p>
    <w:p w14:paraId="0D780A3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Repeal of obsolete tax exemptions, deductions, credits and miscellaneous provisions, 359R</w:t>
      </w:r>
    </w:p>
    <w:p w14:paraId="512C8D5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Sales tax on vending machine sales, 245R</w:t>
      </w:r>
    </w:p>
    <w:p w14:paraId="35360B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Withholding by professional athletic teams, 1056N, 1514R</w:t>
      </w:r>
    </w:p>
    <w:p w14:paraId="756EC9B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Work-based learning tax credit-eligible apprentice, 245R</w:t>
      </w:r>
    </w:p>
    <w:p w14:paraId="363CD44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6A7C81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DB4B5B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8ACC5CA" w14:textId="77777777" w:rsidR="00610312" w:rsidRPr="00610312" w:rsidRDefault="00610312" w:rsidP="00610312">
      <w:pPr>
        <w:keepNext/>
        <w:jc w:val="center"/>
        <w:rPr>
          <w:b/>
          <w:kern w:val="28"/>
        </w:rPr>
      </w:pPr>
      <w:r w:rsidRPr="00610312">
        <w:rPr>
          <w:b/>
          <w:kern w:val="28"/>
        </w:rPr>
        <w:t>SABINE RIVER AUTHORITY</w:t>
      </w:r>
    </w:p>
    <w:p w14:paraId="372C9DC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Sabine River Compact Administration</w:t>
      </w:r>
    </w:p>
    <w:p w14:paraId="45AE2C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meeting, 638P</w:t>
      </w:r>
    </w:p>
    <w:p w14:paraId="45E23D8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35F22D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3C8277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09EAAC9" w14:textId="77777777" w:rsidR="00610312" w:rsidRPr="00610312" w:rsidRDefault="00610312" w:rsidP="00610312">
      <w:pPr>
        <w:keepNext/>
        <w:jc w:val="center"/>
        <w:rPr>
          <w:b/>
          <w:kern w:val="28"/>
        </w:rPr>
      </w:pPr>
      <w:r w:rsidRPr="00610312">
        <w:rPr>
          <w:b/>
          <w:kern w:val="28"/>
        </w:rPr>
        <w:t>TRANSPORTATION AND DEVELOPMENT</w:t>
      </w:r>
    </w:p>
    <w:p w14:paraId="120AE7D2"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Multimodal Commerce, Office of</w:t>
      </w:r>
    </w:p>
    <w:p w14:paraId="476C0E1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Safety requirements for railroad grade crossings, 1285N</w:t>
      </w:r>
    </w:p>
    <w:p w14:paraId="1764BDE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Speed restrictions for railroad traffic, 75R</w:t>
      </w:r>
    </w:p>
    <w:p w14:paraId="0ED5257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State safety oversight for rail fixed guideway public transportation systems, 360R</w:t>
      </w:r>
    </w:p>
    <w:p w14:paraId="220A75E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Vertiport Development Program, 852N, 1515R</w:t>
      </w:r>
    </w:p>
    <w:p w14:paraId="065A29E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br w:type="page"/>
      </w:r>
    </w:p>
    <w:p w14:paraId="4C06A74F" w14:textId="77777777" w:rsidR="00610312" w:rsidRPr="00610312" w:rsidRDefault="00610312" w:rsidP="00610312">
      <w:pPr>
        <w:keepNext/>
        <w:jc w:val="center"/>
        <w:rPr>
          <w:b/>
          <w:kern w:val="28"/>
        </w:rPr>
      </w:pPr>
      <w:r w:rsidRPr="00610312">
        <w:rPr>
          <w:b/>
          <w:kern w:val="28"/>
        </w:rPr>
        <w:lastRenderedPageBreak/>
        <w:t>TRANSPORTATION AND DEVELOPMENT (continued)</w:t>
      </w:r>
    </w:p>
    <w:p w14:paraId="364D6F78"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Operations, Office of</w:t>
      </w:r>
    </w:p>
    <w:p w14:paraId="53BA2C6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Administrative review of notices of violations, 1727N</w:t>
      </w:r>
    </w:p>
    <w:p w14:paraId="2846552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Guideline for submitting overweight vehicle configurations</w:t>
      </w:r>
    </w:p>
    <w:p w14:paraId="2D3D2B3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Exceeding 238,000 pounds, 1730N</w:t>
      </w:r>
    </w:p>
    <w:p w14:paraId="1EB0588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Laws and regulations enforced with other agencies, 1732N</w:t>
      </w:r>
    </w:p>
    <w:p w14:paraId="6E4090E0"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Professional Engineering and Land Surveying Board</w:t>
      </w:r>
    </w:p>
    <w:p w14:paraId="3E02C1C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Engineering and land surveying, 1288N</w:t>
      </w:r>
    </w:p>
    <w:p w14:paraId="0AD1F35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Project Delivery, Office of</w:t>
      </w:r>
    </w:p>
    <w:p w14:paraId="33716C4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Contracts, leases, and agreements, 859N, 1520R</w:t>
      </w:r>
    </w:p>
    <w:p w14:paraId="2154D76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Department relocation of publicly owned or non-profit utilities, 1737N</w:t>
      </w:r>
    </w:p>
    <w:p w14:paraId="4ED8A04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Display of American flags within highway right-of-way, 1740N</w:t>
      </w:r>
    </w:p>
    <w:p w14:paraId="6789820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DOTD Wireless Telecommunications Permit, 862N, 1522R</w:t>
      </w:r>
    </w:p>
    <w:p w14:paraId="214F511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Fiber Optic Permit rules, 862N</w:t>
      </w:r>
    </w:p>
    <w:p w14:paraId="7AE7B34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Transportation Research Center (LTRC), 76R</w:t>
      </w:r>
    </w:p>
    <w:p w14:paraId="25D6952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Permits for rural water districts, 77R</w:t>
      </w:r>
    </w:p>
    <w:p w14:paraId="3424962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Utility operator fees, 77R</w:t>
      </w:r>
    </w:p>
    <w:p w14:paraId="7AA1AE6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7ACD43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C56861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0E622195" w14:textId="77777777" w:rsidR="00610312" w:rsidRPr="00610312" w:rsidRDefault="00610312" w:rsidP="00610312">
      <w:pPr>
        <w:keepNext/>
        <w:jc w:val="center"/>
        <w:rPr>
          <w:b/>
          <w:kern w:val="28"/>
        </w:rPr>
      </w:pPr>
      <w:r w:rsidRPr="00610312">
        <w:rPr>
          <w:b/>
          <w:kern w:val="28"/>
        </w:rPr>
        <w:t>TREASURY</w:t>
      </w:r>
    </w:p>
    <w:p w14:paraId="65AEF7B7"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Municipal Police Employees’ Retirement System, Board of Trustees of the</w:t>
      </w:r>
    </w:p>
    <w:p w14:paraId="0462163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Internal Revenue Code provisions, 137N, 511R</w:t>
      </w:r>
    </w:p>
    <w:p w14:paraId="41FB746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Revised statutes clarifications for employers, 137N, 511R</w:t>
      </w:r>
    </w:p>
    <w:p w14:paraId="66AC87C0"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val="x-none" w:eastAsia="x-none"/>
        </w:rPr>
      </w:pPr>
      <w:r w:rsidRPr="00610312">
        <w:rPr>
          <w:b/>
          <w:bCs/>
          <w:kern w:val="2"/>
          <w:lang w:val="x-none" w:eastAsia="x-none"/>
        </w:rPr>
        <w:t>Teachers’ Retirement System of Louisiana, Board of Trustees of the</w:t>
      </w:r>
    </w:p>
    <w:p w14:paraId="03E0BAC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Open meetings via electronic means, 370R</w:t>
      </w:r>
    </w:p>
    <w:p w14:paraId="5F6A1897" w14:textId="77777777" w:rsidR="00610312" w:rsidRPr="00610312" w:rsidRDefault="00610312" w:rsidP="00610312">
      <w:pPr>
        <w:keepNext/>
        <w:jc w:val="center"/>
        <w:rPr>
          <w:b/>
          <w:kern w:val="28"/>
        </w:rPr>
      </w:pPr>
    </w:p>
    <w:p w14:paraId="043E50D2" w14:textId="77777777" w:rsidR="00610312" w:rsidRPr="00610312" w:rsidRDefault="00610312" w:rsidP="00610312">
      <w:pPr>
        <w:keepNext/>
        <w:jc w:val="center"/>
        <w:rPr>
          <w:b/>
          <w:kern w:val="28"/>
        </w:rPr>
      </w:pPr>
    </w:p>
    <w:p w14:paraId="65AF3458" w14:textId="77777777" w:rsidR="00610312" w:rsidRPr="00610312" w:rsidRDefault="00610312" w:rsidP="00610312">
      <w:pPr>
        <w:keepNext/>
        <w:jc w:val="center"/>
        <w:rPr>
          <w:b/>
          <w:kern w:val="28"/>
        </w:rPr>
      </w:pPr>
    </w:p>
    <w:p w14:paraId="0D780CAE" w14:textId="77777777" w:rsidR="00610312" w:rsidRPr="00610312" w:rsidRDefault="00610312" w:rsidP="00610312">
      <w:pPr>
        <w:keepNext/>
        <w:jc w:val="center"/>
        <w:rPr>
          <w:b/>
          <w:kern w:val="28"/>
        </w:rPr>
      </w:pPr>
      <w:r w:rsidRPr="00610312">
        <w:rPr>
          <w:b/>
          <w:kern w:val="28"/>
        </w:rPr>
        <w:t>WILDLIFE AND FISHERIES</w:t>
      </w:r>
    </w:p>
    <w:p w14:paraId="518B3A97"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val="x-none" w:eastAsia="x-none"/>
        </w:rPr>
      </w:pPr>
      <w:r w:rsidRPr="00610312">
        <w:rPr>
          <w:b/>
          <w:kern w:val="2"/>
          <w:lang w:eastAsia="x-none"/>
        </w:rPr>
        <w:t>Wildlife</w:t>
      </w:r>
      <w:r w:rsidRPr="00610312">
        <w:rPr>
          <w:b/>
          <w:bCs/>
          <w:kern w:val="2"/>
          <w:lang w:val="x-none" w:eastAsia="x-none"/>
        </w:rPr>
        <w:t xml:space="preserve"> and Fisheries Commission</w:t>
      </w:r>
    </w:p>
    <w:p w14:paraId="6553825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Abandoned and salvaged recreational vessel</w:t>
      </w:r>
    </w:p>
    <w:p w14:paraId="4FBCAC2F"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Registration and titling, 758R</w:t>
      </w:r>
    </w:p>
    <w:p w14:paraId="142659B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Administration of the natural and scenic rivers and historic and scenic rivers, 985R, 1190R</w:t>
      </w:r>
    </w:p>
    <w:p w14:paraId="1E4CCF1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Alligator</w:t>
      </w:r>
    </w:p>
    <w:p w14:paraId="03B1B11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Recreational hunting season, 868N, 1392R</w:t>
      </w:r>
    </w:p>
    <w:p w14:paraId="52E3DCB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Amberjack</w:t>
      </w:r>
    </w:p>
    <w:p w14:paraId="0A96D051"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2026 commercial season modification, 1323ER</w:t>
      </w:r>
    </w:p>
    <w:p w14:paraId="56C26E9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Bass</w:t>
      </w:r>
    </w:p>
    <w:p w14:paraId="7C1A904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Saline-Larto Complex</w:t>
      </w:r>
    </w:p>
    <w:p w14:paraId="221D7DFC"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Black bass and crappie regulations, 632N, 1528R</w:t>
      </w:r>
    </w:p>
    <w:p w14:paraId="6076FAF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Bear</w:t>
      </w:r>
    </w:p>
    <w:p w14:paraId="4F87E94B"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Hunting areas, 432N, 990R</w:t>
      </w:r>
    </w:p>
    <w:p w14:paraId="2C0DC83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Rules and bag limits, 432N, 990R</w:t>
      </w:r>
    </w:p>
    <w:p w14:paraId="27C714B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Seasons, 432N, 990R</w:t>
      </w:r>
    </w:p>
    <w:p w14:paraId="1B727A7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Chronic wasting disease control areas, 208ER, 476ER, 662ER</w:t>
      </w:r>
    </w:p>
    <w:p w14:paraId="11CFD8E2"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Management zones, 926ER</w:t>
      </w:r>
    </w:p>
    <w:p w14:paraId="6DC0006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Conservation Incentive Program, 1448N</w:t>
      </w:r>
    </w:p>
    <w:p w14:paraId="79DD943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Coochie Brake Wildlife Management Areas</w:t>
      </w:r>
    </w:p>
    <w:p w14:paraId="448BDF6B"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Seasons and regulations, 1496ER</w:t>
      </w:r>
    </w:p>
    <w:p w14:paraId="4506D2D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Derelict Crab Trap Removal Program, 1451N</w:t>
      </w:r>
    </w:p>
    <w:p w14:paraId="31D2E96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Filleted saltwater fish</w:t>
      </w:r>
    </w:p>
    <w:p w14:paraId="03500A54"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Size regulations, 317N, 759R</w:t>
      </w:r>
    </w:p>
    <w:p w14:paraId="30A8F50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Freshwater and saltwater passive hooked fishing gear regulations, 1071N, 1527R</w:t>
      </w:r>
    </w:p>
    <w:p w14:paraId="5CCE114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 xml:space="preserve">Gag grouper </w:t>
      </w:r>
    </w:p>
    <w:p w14:paraId="687A811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season modification, 925ER</w:t>
      </w:r>
    </w:p>
    <w:p w14:paraId="3EB6A86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Hunter Education Program certification policy, 371R</w:t>
      </w:r>
    </w:p>
    <w:p w14:paraId="0066F32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Hunting regulations for the 2026-2028 seasons, 141N, 992R</w:t>
      </w:r>
    </w:p>
    <w:p w14:paraId="088AC51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 xml:space="preserve">Menhaden </w:t>
      </w:r>
    </w:p>
    <w:p w14:paraId="4EB78D06"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Commercial reporting requirements, 1741N</w:t>
      </w:r>
    </w:p>
    <w:p w14:paraId="72A9F19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Season, 372R</w:t>
      </w:r>
    </w:p>
    <w:p w14:paraId="7CA6174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0AD7EE8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Substantive changes to proposed Rule</w:t>
      </w:r>
    </w:p>
    <w:p w14:paraId="18E5EAD6"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2026-2028 Hunting Regulations and Seasons, 451P</w:t>
      </w:r>
    </w:p>
    <w:p w14:paraId="476EE603"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Administration of the Natural and Scenic Rivers and Historic and Scenic Rivers, 325P</w:t>
      </w:r>
    </w:p>
    <w:p w14:paraId="047AEBD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Oyster</w:t>
      </w:r>
    </w:p>
    <w:p w14:paraId="7AB750E7"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2026-2027 season on public areas of Louisiana, 1494ER</w:t>
      </w:r>
    </w:p>
    <w:p w14:paraId="65A7A307"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Closure of portions of public oyster seed grounds east of the Mississippi River, 23ER</w:t>
      </w:r>
    </w:p>
    <w:p w14:paraId="6B264025"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Closure of public oyster seed grounds east of the Mississippi River, 345ER</w:t>
      </w:r>
    </w:p>
    <w:p w14:paraId="3577CE44" w14:textId="77777777" w:rsidR="00610312" w:rsidRPr="00610312" w:rsidRDefault="00610312" w:rsidP="00610312">
      <w:pPr>
        <w:tabs>
          <w:tab w:val="left" w:pos="720"/>
          <w:tab w:val="left" w:pos="979"/>
          <w:tab w:val="left" w:pos="1152"/>
        </w:tabs>
        <w:ind w:left="540" w:hanging="90"/>
        <w:jc w:val="both"/>
        <w:outlineLvl w:val="4"/>
        <w:rPr>
          <w:b/>
          <w:bCs/>
          <w:kern w:val="2"/>
        </w:rPr>
      </w:pPr>
      <w:r w:rsidRPr="00610312">
        <w:rPr>
          <w:kern w:val="2"/>
        </w:rPr>
        <w:t>Reopening of 2026-2026 season in the Sister Lake Public Oyster Seed Reservation to the harvest of market size oysters, 345ER</w:t>
      </w:r>
    </w:p>
    <w:p w14:paraId="5030E63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Red snapper</w:t>
      </w:r>
    </w:p>
    <w:p w14:paraId="7EFD7C56"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private recreational and state charter season. 345ER</w:t>
      </w:r>
    </w:p>
    <w:p w14:paraId="5D97E8B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bag limit modification, 925ER, 1115ER</w:t>
      </w:r>
    </w:p>
    <w:p w14:paraId="27C705CD"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season modification and closure, 1324ER</w:t>
      </w:r>
    </w:p>
    <w:p w14:paraId="19365D18"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season reopening and closure, 1494ER</w:t>
      </w:r>
    </w:p>
    <w:p w14:paraId="559E307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Shrimp</w:t>
      </w:r>
    </w:p>
    <w:p w14:paraId="30B641C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Opening of 2026 spring inshore season, 663ER, 1324ER</w:t>
      </w:r>
    </w:p>
    <w:p w14:paraId="5B05AB55"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Reopening of season in remaining state outside waters, 476ER</w:t>
      </w:r>
    </w:p>
    <w:p w14:paraId="038ABF6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 closure in portions of state inside waters, 23ER</w:t>
      </w:r>
    </w:p>
    <w:p w14:paraId="7CDCF4D4"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 closure in portions of state outside waters, 208ER</w:t>
      </w:r>
    </w:p>
    <w:p w14:paraId="43A96E3D"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 closure of state inside waters, 1115ER</w:t>
      </w:r>
    </w:p>
    <w:p w14:paraId="55F6F280"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Portions of Zone 1 state inside waters, 209ER</w:t>
      </w:r>
    </w:p>
    <w:p w14:paraId="7DC1F841"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Special white shrimp season in a portion of Zone 2 state inside waters, 664ER</w:t>
      </w:r>
    </w:p>
    <w:p w14:paraId="155DDB1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Special bait dealer’s permit, 373R, 1528R</w:t>
      </w:r>
    </w:p>
    <w:p w14:paraId="4CA9BB9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Penalties, 1742N</w:t>
      </w:r>
    </w:p>
    <w:p w14:paraId="268F8F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Requirements, 1742N</w:t>
      </w:r>
    </w:p>
    <w:p w14:paraId="6C7508C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Vessel equipment, 1742N</w:t>
      </w:r>
    </w:p>
    <w:p w14:paraId="60DE295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Waterfowl</w:t>
      </w:r>
    </w:p>
    <w:p w14:paraId="45E58676"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2026-2027 falconry season, 926ER</w:t>
      </w:r>
    </w:p>
    <w:p w14:paraId="1164471E" w14:textId="77777777" w:rsidR="00610312" w:rsidRPr="00610312" w:rsidRDefault="00610312" w:rsidP="00610312">
      <w:pPr>
        <w:tabs>
          <w:tab w:val="left" w:pos="720"/>
          <w:tab w:val="left" w:pos="979"/>
          <w:tab w:val="left" w:pos="1152"/>
        </w:tabs>
        <w:ind w:left="450" w:hanging="90"/>
        <w:jc w:val="both"/>
        <w:outlineLvl w:val="4"/>
        <w:rPr>
          <w:kern w:val="2"/>
        </w:rPr>
        <w:sectPr w:rsidR="00610312" w:rsidRPr="00610312" w:rsidSect="00610312">
          <w:footerReference w:type="even" r:id="rId31"/>
          <w:type w:val="continuous"/>
          <w:pgSz w:w="12240" w:h="15840" w:code="1"/>
          <w:pgMar w:top="720" w:right="864" w:bottom="317" w:left="864" w:header="576" w:footer="432" w:gutter="0"/>
          <w:pgNumType w:start="1755"/>
          <w:cols w:num="2" w:space="720"/>
          <w:noEndnote/>
        </w:sectPr>
      </w:pPr>
      <w:r w:rsidRPr="00610312">
        <w:rPr>
          <w:kern w:val="2"/>
        </w:rPr>
        <w:t>Wildlife Rehabilitation Program, 1034R, 1746N</w:t>
      </w:r>
    </w:p>
    <w:p w14:paraId="4F09131A" w14:textId="77777777" w:rsidR="00610312" w:rsidRPr="00610312" w:rsidRDefault="00610312" w:rsidP="00610312">
      <w:pPr>
        <w:tabs>
          <w:tab w:val="left" w:pos="720"/>
          <w:tab w:val="left" w:pos="979"/>
          <w:tab w:val="left" w:pos="1152"/>
        </w:tabs>
        <w:ind w:firstLine="360"/>
        <w:jc w:val="both"/>
        <w:outlineLvl w:val="4"/>
        <w:rPr>
          <w:kern w:val="2"/>
        </w:rPr>
      </w:pPr>
    </w:p>
    <w:p w14:paraId="1106736F" w14:textId="77777777" w:rsidR="00610CB3" w:rsidRDefault="00610CB3"/>
    <w:sectPr w:rsidR="00610CB3" w:rsidSect="00610312">
      <w:type w:val="continuous"/>
      <w:pgSz w:w="12240" w:h="15840" w:code="1"/>
      <w:pgMar w:top="720" w:right="864" w:bottom="317" w:left="864" w:header="576" w:footer="432" w:gutter="0"/>
      <w:pgNumType w:start="882"/>
      <w:cols w:num="2"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38F10" w14:textId="77777777" w:rsidR="004003A7" w:rsidRDefault="004003A7">
      <w:r>
        <w:separator/>
      </w:r>
    </w:p>
  </w:endnote>
  <w:endnote w:type="continuationSeparator" w:id="0">
    <w:p w14:paraId="3F22DBD5" w14:textId="77777777" w:rsidR="004003A7" w:rsidRDefault="00400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4D"/>
    <w:family w:val="auto"/>
    <w:notTrueType/>
    <w:pitch w:val="default"/>
    <w:sig w:usb0="03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stem-ui">
    <w:altName w:val="Cambria"/>
    <w:panose1 w:val="00000000000000000000"/>
    <w:charset w:val="00"/>
    <w:family w:val="roman"/>
    <w:notTrueType/>
    <w:pitch w:val="default"/>
  </w:font>
  <w:font w:name="Palatino">
    <w:altName w:val="Book Antiqua"/>
    <w:charset w:val="4D"/>
    <w:family w:val="auto"/>
    <w:pitch w:val="variable"/>
    <w:sig w:usb0="A00002FF" w:usb1="7800205A" w:usb2="14600000" w:usb3="00000000" w:csb0="00000193" w:csb1="00000000"/>
  </w:font>
  <w:font w:name="Shruti">
    <w:panose1 w:val="02000500000000000000"/>
    <w:charset w:val="00"/>
    <w:family w:val="swiss"/>
    <w:pitch w:val="variable"/>
    <w:sig w:usb0="0004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Noto Serif S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36E3" w14:textId="176A15D6" w:rsidR="00E61A9D" w:rsidRDefault="00E61A9D" w:rsidP="005419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1466</w:t>
    </w:r>
    <w:r>
      <w:rPr>
        <w:rStyle w:val="PageNumber"/>
      </w:rPr>
      <w:fldChar w:fldCharType="end"/>
    </w:r>
  </w:p>
  <w:p w14:paraId="1E8C4F22" w14:textId="4404892A" w:rsidR="00E61A9D" w:rsidRPr="00E61A9D" w:rsidRDefault="00E61A9D" w:rsidP="00E61A9D">
    <w:pPr>
      <w:pStyle w:val="FooterEven"/>
    </w:pPr>
    <w:r>
      <w:t>Louisiana Register   Vol. 52, No. 9   September 20,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58DD" w14:textId="0DABEB2F" w:rsidR="00E61A9D" w:rsidRDefault="00E61A9D" w:rsidP="005419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EEA96C" w14:textId="53DF3B79" w:rsidR="00E61A9D" w:rsidRPr="00E61A9D" w:rsidRDefault="00724E40" w:rsidP="00E61A9D">
    <w:pPr>
      <w:pStyle w:val="FooterOdd"/>
    </w:pPr>
    <w:r>
      <w:tab/>
    </w:r>
    <w:r w:rsidR="00E61A9D">
      <w:t>Louisiana Register   Vol. 52, No. 9   September 20,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8364" w14:textId="77777777" w:rsidR="00700A7A" w:rsidRDefault="00700A7A" w:rsidP="005419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1466</w:t>
    </w:r>
    <w:r>
      <w:rPr>
        <w:rStyle w:val="PageNumber"/>
      </w:rPr>
      <w:fldChar w:fldCharType="end"/>
    </w:r>
  </w:p>
  <w:p w14:paraId="31EB77CF" w14:textId="77777777" w:rsidR="00700A7A" w:rsidRPr="00E61A9D" w:rsidRDefault="00700A7A" w:rsidP="00E61A9D">
    <w:pPr>
      <w:pStyle w:val="FooterEven"/>
    </w:pPr>
    <w:r>
      <w:t>Louisiana Register   Vol. 52, No. 9   September 20,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8A39" w14:textId="77777777" w:rsidR="006E50FF" w:rsidRDefault="006E50FF" w:rsidP="00076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1478</w:t>
    </w:r>
    <w:r>
      <w:rPr>
        <w:rStyle w:val="PageNumber"/>
      </w:rPr>
      <w:fldChar w:fldCharType="end"/>
    </w:r>
  </w:p>
  <w:p w14:paraId="2B7D9F46" w14:textId="77777777" w:rsidR="006E50FF" w:rsidRPr="009B4953" w:rsidRDefault="006E50FF" w:rsidP="009B4953">
    <w:pPr>
      <w:pStyle w:val="FooterEven"/>
    </w:pPr>
    <w:r>
      <w:t>Louisiana Register   Vol. 52, No. 9   September 20,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EC95" w14:textId="77777777" w:rsidR="006E50FF" w:rsidRDefault="006E50FF" w:rsidP="00076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C80923" w14:textId="77777777" w:rsidR="006E50FF" w:rsidRPr="009B4953" w:rsidRDefault="006E50FF" w:rsidP="009B4953">
    <w:pPr>
      <w:pStyle w:val="FooterOdd"/>
    </w:pPr>
    <w:r>
      <w:tab/>
      <w:t>Louisiana Register   Vol. 52, No. 9   September 20,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CB89" w14:textId="77777777" w:rsidR="006E50FF" w:rsidRDefault="006E50FF" w:rsidP="001A13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1498</w:t>
    </w:r>
    <w:r>
      <w:rPr>
        <w:rStyle w:val="PageNumber"/>
      </w:rPr>
      <w:fldChar w:fldCharType="end"/>
    </w:r>
  </w:p>
  <w:p w14:paraId="16CF12C0" w14:textId="77777777" w:rsidR="006E50FF" w:rsidRPr="003E7958" w:rsidRDefault="006E50FF" w:rsidP="003E7958">
    <w:pPr>
      <w:pStyle w:val="FooterEven"/>
    </w:pPr>
    <w:r>
      <w:t>Louisiana Register   Vol. 52, No. 9   September 20,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CD96" w14:textId="77777777" w:rsidR="006E50FF" w:rsidRDefault="006E50FF" w:rsidP="001A13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820C922" w14:textId="77777777" w:rsidR="006E50FF" w:rsidRPr="003E7958" w:rsidRDefault="006E50FF" w:rsidP="003E7958">
    <w:pPr>
      <w:pStyle w:val="FooterOdd"/>
    </w:pPr>
    <w:r>
      <w:tab/>
      <w:t>Louisiana Register   Vol. 52, No. 9   September 20,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E4C9" w14:textId="77777777" w:rsidR="006E50FF" w:rsidRDefault="006E50FF" w:rsidP="00B5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1530</w:t>
    </w:r>
    <w:r>
      <w:rPr>
        <w:rStyle w:val="PageNumber"/>
      </w:rPr>
      <w:fldChar w:fldCharType="end"/>
    </w:r>
  </w:p>
  <w:p w14:paraId="62C8A811" w14:textId="77777777" w:rsidR="006E50FF" w:rsidRPr="0054224B" w:rsidRDefault="006E50FF" w:rsidP="0054224B">
    <w:pPr>
      <w:pStyle w:val="FooterEven"/>
    </w:pPr>
    <w:r>
      <w:t>Louisiana Register   Vol. 52, No. 9   September 20,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B94B" w14:textId="77777777" w:rsidR="006E50FF" w:rsidRDefault="006E50FF" w:rsidP="00B5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A1B4856" w14:textId="77777777" w:rsidR="006E50FF" w:rsidRPr="0054224B" w:rsidRDefault="006E50FF" w:rsidP="0054224B">
    <w:pPr>
      <w:pStyle w:val="FooterOdd"/>
    </w:pPr>
    <w:r>
      <w:tab/>
      <w:t>Louisiana Register   Vol. 52, No. 9   September 20,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3476" w14:textId="77777777" w:rsidR="00610312" w:rsidRDefault="00610312" w:rsidP="00D31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1748</w:t>
    </w:r>
    <w:r>
      <w:rPr>
        <w:rStyle w:val="PageNumber"/>
      </w:rPr>
      <w:fldChar w:fldCharType="end"/>
    </w:r>
  </w:p>
  <w:p w14:paraId="58EC6B0E" w14:textId="77777777" w:rsidR="00610312" w:rsidRPr="009F66F9" w:rsidRDefault="00610312" w:rsidP="009F66F9">
    <w:pPr>
      <w:pStyle w:val="FooterEven"/>
    </w:pPr>
    <w:r>
      <w:t>Louisiana Register   Vol. 52, No. 9   September 20, 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6E64" w14:textId="77777777" w:rsidR="00610312" w:rsidRDefault="00610312" w:rsidP="00D31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458DEAE" w14:textId="77777777" w:rsidR="00610312" w:rsidRPr="009F66F9" w:rsidRDefault="00610312" w:rsidP="009F66F9">
    <w:pPr>
      <w:pStyle w:val="FooterOdd"/>
    </w:pPr>
    <w:r>
      <w:tab/>
      <w:t>Louisiana Register   Vol. 52, No. 9   September 20, 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D1D3" w14:textId="77777777" w:rsidR="00610312" w:rsidRDefault="00610312" w:rsidP="00117630">
    <w:pPr>
      <w:pStyle w:val="Footer"/>
      <w:tabs>
        <w:tab w:val="clear" w:pos="4320"/>
        <w:tab w:val="clear" w:pos="8640"/>
        <w:tab w:val="center" w:pos="5256"/>
      </w:tabs>
    </w:pPr>
    <w:r>
      <w:rPr>
        <w:rFonts w:ascii="Arial" w:hAnsi="Arial" w:cs="Arial"/>
        <w:i/>
        <w:iCs/>
        <w:sz w:val="16"/>
      </w:rPr>
      <w:t>Louisiana Register  Vol. 52,  No. 9  September 20, 2026</w:t>
    </w:r>
    <w:r>
      <w:rPr>
        <w:rFonts w:ascii="Arial" w:hAnsi="Arial" w:cs="Arial"/>
        <w:i/>
        <w:iCs/>
        <w:sz w:val="16"/>
      </w:rPr>
      <w:tab/>
    </w:r>
    <w:r>
      <w:fldChar w:fldCharType="begin"/>
    </w:r>
    <w:r>
      <w:instrText xml:space="preserve"> PAGE   \* MERGEFORMAT </w:instrText>
    </w:r>
    <w:r>
      <w:fldChar w:fldCharType="separate"/>
    </w:r>
    <w:r>
      <w:rPr>
        <w:noProof/>
      </w:rPr>
      <w:t>1534</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E3E0" w14:textId="77777777" w:rsidR="00610312" w:rsidRPr="00117630" w:rsidRDefault="00610312" w:rsidP="00117630">
    <w:pPr>
      <w:pStyle w:val="Footer"/>
      <w:tabs>
        <w:tab w:val="center" w:pos="5256"/>
        <w:tab w:val="left" w:pos="6390"/>
      </w:tabs>
      <w:rPr>
        <w:rFonts w:ascii="Arial" w:hAnsi="Arial" w:cs="Arial"/>
        <w:i/>
        <w:iCs/>
        <w:sz w:val="16"/>
      </w:rPr>
    </w:pPr>
    <w:r>
      <w:tab/>
    </w:r>
    <w:r>
      <w:tab/>
    </w:r>
    <w:r>
      <w:fldChar w:fldCharType="begin"/>
    </w:r>
    <w:r>
      <w:instrText xml:space="preserve"> PAGE   \* MERGEFORMAT </w:instrText>
    </w:r>
    <w:r>
      <w:fldChar w:fldCharType="separate"/>
    </w:r>
    <w:r>
      <w:rPr>
        <w:noProof/>
      </w:rPr>
      <w:t>1541</w:t>
    </w:r>
    <w:r>
      <w:rPr>
        <w:noProof/>
      </w:rPr>
      <w:fldChar w:fldCharType="end"/>
    </w:r>
    <w:r>
      <w:rPr>
        <w:noProof/>
      </w:rPr>
      <w:tab/>
    </w:r>
    <w:r>
      <w:rPr>
        <w:noProof/>
      </w:rPr>
      <w:tab/>
    </w:r>
    <w:r w:rsidRPr="003B042C">
      <w:rPr>
        <w:rFonts w:ascii="Arial" w:hAnsi="Arial" w:cs="Arial"/>
        <w:i/>
        <w:iCs/>
        <w:sz w:val="16"/>
      </w:rPr>
      <w:t>Louisiana Register  Vol. 5</w:t>
    </w:r>
    <w:r>
      <w:rPr>
        <w:rFonts w:ascii="Arial" w:hAnsi="Arial" w:cs="Arial"/>
        <w:i/>
        <w:iCs/>
        <w:sz w:val="16"/>
      </w:rPr>
      <w:t>2</w:t>
    </w:r>
    <w:r w:rsidRPr="003B042C">
      <w:rPr>
        <w:rFonts w:ascii="Arial" w:hAnsi="Arial" w:cs="Arial"/>
        <w:i/>
        <w:iCs/>
        <w:sz w:val="16"/>
      </w:rPr>
      <w:t>,  No.</w:t>
    </w:r>
    <w:r>
      <w:rPr>
        <w:rFonts w:ascii="Arial" w:hAnsi="Arial" w:cs="Arial"/>
        <w:i/>
        <w:iCs/>
        <w:sz w:val="16"/>
      </w:rPr>
      <w:t xml:space="preserve"> 9</w:t>
    </w:r>
    <w:r w:rsidRPr="003B042C">
      <w:rPr>
        <w:rFonts w:ascii="Arial" w:hAnsi="Arial" w:cs="Arial"/>
        <w:i/>
        <w:iCs/>
        <w:sz w:val="16"/>
      </w:rPr>
      <w:t xml:space="preserve">  </w:t>
    </w:r>
    <w:r>
      <w:rPr>
        <w:rFonts w:ascii="Arial" w:hAnsi="Arial" w:cs="Arial"/>
        <w:i/>
        <w:iCs/>
        <w:sz w:val="16"/>
      </w:rPr>
      <w:t xml:space="preserve">September </w:t>
    </w:r>
    <w:r w:rsidRPr="003B042C">
      <w:rPr>
        <w:rFonts w:ascii="Arial" w:hAnsi="Arial" w:cs="Arial"/>
        <w:i/>
        <w:iCs/>
        <w:sz w:val="16"/>
      </w:rPr>
      <w:t>20, 202</w:t>
    </w:r>
    <w:r>
      <w:rPr>
        <w:rFonts w:ascii="Arial" w:hAnsi="Arial" w:cs="Arial"/>
        <w:i/>
        <w:iCs/>
        <w:sz w:val="16"/>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85CB" w14:textId="77777777" w:rsidR="00610312" w:rsidRDefault="00610312" w:rsidP="002D79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1540</w:t>
    </w:r>
    <w:r>
      <w:rPr>
        <w:rStyle w:val="PageNumber"/>
      </w:rPr>
      <w:fldChar w:fldCharType="end"/>
    </w:r>
  </w:p>
  <w:p w14:paraId="11666DE7" w14:textId="77777777" w:rsidR="00610312" w:rsidRDefault="00610312" w:rsidP="00C14883">
    <w:pPr>
      <w:pStyle w:val="Footer"/>
      <w:tabs>
        <w:tab w:val="clear" w:pos="4320"/>
        <w:tab w:val="clear" w:pos="8640"/>
        <w:tab w:val="center" w:pos="5256"/>
      </w:tabs>
      <w:rPr>
        <w:rFonts w:ascii="Arial" w:hAnsi="Arial" w:cs="Arial"/>
        <w:i/>
        <w:iCs/>
        <w:sz w:val="16"/>
      </w:rPr>
    </w:pPr>
    <w:r>
      <w:rPr>
        <w:rFonts w:ascii="Arial" w:hAnsi="Arial" w:cs="Arial"/>
        <w:i/>
        <w:iCs/>
        <w:sz w:val="16"/>
      </w:rPr>
      <w:t>Louisiana Register  Vol. 52,  No. 9  September 20, 2026</w:t>
    </w:r>
    <w:r>
      <w:rPr>
        <w:rFonts w:ascii="Arial" w:hAnsi="Arial" w:cs="Arial"/>
        <w:i/>
        <w:iCs/>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743E" w14:textId="77777777" w:rsidR="004003A7" w:rsidRDefault="004003A7">
      <w:r>
        <w:separator/>
      </w:r>
    </w:p>
  </w:footnote>
  <w:footnote w:type="continuationSeparator" w:id="0">
    <w:p w14:paraId="3564FE35" w14:textId="77777777" w:rsidR="004003A7" w:rsidRDefault="004003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66D9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6D1572"/>
    <w:multiLevelType w:val="hybridMultilevel"/>
    <w:tmpl w:val="B23A072A"/>
    <w:lvl w:ilvl="0" w:tplc="12DCDF18">
      <w:start w:val="1"/>
      <w:numFmt w:val="decimal"/>
      <w:lvlText w:val="%1."/>
      <w:lvlJc w:val="left"/>
      <w:pPr>
        <w:ind w:left="6105"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1" w:tplc="24BCA036">
      <w:numFmt w:val="bullet"/>
      <w:lvlText w:val="•"/>
      <w:lvlJc w:val="left"/>
      <w:pPr>
        <w:ind w:left="6775" w:hanging="163"/>
      </w:pPr>
      <w:rPr>
        <w:rFonts w:hint="default"/>
        <w:lang w:val="en-US" w:eastAsia="en-US" w:bidi="ar-SA"/>
      </w:rPr>
    </w:lvl>
    <w:lvl w:ilvl="2" w:tplc="ABD2023E">
      <w:numFmt w:val="bullet"/>
      <w:lvlText w:val="•"/>
      <w:lvlJc w:val="left"/>
      <w:pPr>
        <w:ind w:left="7436" w:hanging="163"/>
      </w:pPr>
      <w:rPr>
        <w:rFonts w:hint="default"/>
        <w:lang w:val="en-US" w:eastAsia="en-US" w:bidi="ar-SA"/>
      </w:rPr>
    </w:lvl>
    <w:lvl w:ilvl="3" w:tplc="433A7C62">
      <w:numFmt w:val="bullet"/>
      <w:lvlText w:val="•"/>
      <w:lvlJc w:val="left"/>
      <w:pPr>
        <w:ind w:left="8098" w:hanging="163"/>
      </w:pPr>
      <w:rPr>
        <w:rFonts w:hint="default"/>
        <w:lang w:val="en-US" w:eastAsia="en-US" w:bidi="ar-SA"/>
      </w:rPr>
    </w:lvl>
    <w:lvl w:ilvl="4" w:tplc="52F03A02">
      <w:numFmt w:val="bullet"/>
      <w:lvlText w:val="•"/>
      <w:lvlJc w:val="left"/>
      <w:pPr>
        <w:ind w:left="8759" w:hanging="163"/>
      </w:pPr>
      <w:rPr>
        <w:rFonts w:hint="default"/>
        <w:lang w:val="en-US" w:eastAsia="en-US" w:bidi="ar-SA"/>
      </w:rPr>
    </w:lvl>
    <w:lvl w:ilvl="5" w:tplc="D3167C80">
      <w:numFmt w:val="bullet"/>
      <w:lvlText w:val="•"/>
      <w:lvlJc w:val="left"/>
      <w:pPr>
        <w:ind w:left="9421" w:hanging="163"/>
      </w:pPr>
      <w:rPr>
        <w:rFonts w:hint="default"/>
        <w:lang w:val="en-US" w:eastAsia="en-US" w:bidi="ar-SA"/>
      </w:rPr>
    </w:lvl>
    <w:lvl w:ilvl="6" w:tplc="D2C8DCBA">
      <w:numFmt w:val="bullet"/>
      <w:lvlText w:val="•"/>
      <w:lvlJc w:val="left"/>
      <w:pPr>
        <w:ind w:left="10082" w:hanging="163"/>
      </w:pPr>
      <w:rPr>
        <w:rFonts w:hint="default"/>
        <w:lang w:val="en-US" w:eastAsia="en-US" w:bidi="ar-SA"/>
      </w:rPr>
    </w:lvl>
    <w:lvl w:ilvl="7" w:tplc="771CCA64">
      <w:numFmt w:val="bullet"/>
      <w:lvlText w:val="•"/>
      <w:lvlJc w:val="left"/>
      <w:pPr>
        <w:ind w:left="10744" w:hanging="163"/>
      </w:pPr>
      <w:rPr>
        <w:rFonts w:hint="default"/>
        <w:lang w:val="en-US" w:eastAsia="en-US" w:bidi="ar-SA"/>
      </w:rPr>
    </w:lvl>
    <w:lvl w:ilvl="8" w:tplc="E6A0410A">
      <w:numFmt w:val="bullet"/>
      <w:lvlText w:val="•"/>
      <w:lvlJc w:val="left"/>
      <w:pPr>
        <w:ind w:left="11405" w:hanging="163"/>
      </w:pPr>
      <w:rPr>
        <w:rFonts w:hint="default"/>
        <w:lang w:val="en-US" w:eastAsia="en-US" w:bidi="ar-SA"/>
      </w:rPr>
    </w:lvl>
  </w:abstractNum>
  <w:abstractNum w:abstractNumId="2" w15:restartNumberingAfterBreak="0">
    <w:nsid w:val="0CF71804"/>
    <w:multiLevelType w:val="hybridMultilevel"/>
    <w:tmpl w:val="D49C0A46"/>
    <w:lvl w:ilvl="0" w:tplc="9A8A3DD0">
      <w:start w:val="5"/>
      <w:numFmt w:val="decimal"/>
      <w:lvlText w:val="%1."/>
      <w:lvlJc w:val="left"/>
      <w:pPr>
        <w:ind w:left="305" w:hanging="360"/>
      </w:pPr>
      <w:rPr>
        <w:rFonts w:hint="default"/>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3" w15:restartNumberingAfterBreak="0">
    <w:nsid w:val="0E1B473C"/>
    <w:multiLevelType w:val="hybridMultilevel"/>
    <w:tmpl w:val="59A8180E"/>
    <w:lvl w:ilvl="0" w:tplc="1C5A047C">
      <w:start w:val="1"/>
      <w:numFmt w:val="lowerLetter"/>
      <w:lvlText w:val="%1."/>
      <w:lvlJc w:val="left"/>
      <w:pPr>
        <w:ind w:left="381" w:hanging="151"/>
      </w:pPr>
      <w:rPr>
        <w:rFonts w:ascii="Calibri" w:eastAsia="Times New Roman" w:hAnsi="Calibri" w:cs="Calibri" w:hint="default"/>
        <w:b w:val="0"/>
        <w:bCs w:val="0"/>
        <w:i w:val="0"/>
        <w:iCs w:val="0"/>
        <w:spacing w:val="-2"/>
        <w:w w:val="100"/>
        <w:sz w:val="16"/>
        <w:szCs w:val="16"/>
        <w:lang w:val="en-US" w:eastAsia="en-US" w:bidi="ar-SA"/>
      </w:rPr>
    </w:lvl>
    <w:lvl w:ilvl="1" w:tplc="B6DED246">
      <w:start w:val="1"/>
      <w:numFmt w:val="decimal"/>
      <w:lvlText w:val="%2."/>
      <w:lvlJc w:val="left"/>
      <w:pPr>
        <w:ind w:left="828" w:hanging="240"/>
      </w:pPr>
      <w:rPr>
        <w:rFonts w:ascii="Times New Roman" w:eastAsia="Times New Roman" w:hAnsi="Times New Roman" w:cs="Times New Roman" w:hint="default"/>
        <w:b w:val="0"/>
        <w:bCs w:val="0"/>
        <w:i w:val="0"/>
        <w:iCs w:val="0"/>
        <w:spacing w:val="0"/>
        <w:w w:val="100"/>
        <w:sz w:val="16"/>
        <w:szCs w:val="16"/>
        <w:lang w:val="en-US" w:eastAsia="en-US" w:bidi="ar-SA"/>
      </w:rPr>
    </w:lvl>
    <w:lvl w:ilvl="2" w:tplc="6986D3E2">
      <w:numFmt w:val="bullet"/>
      <w:lvlText w:val="•"/>
      <w:lvlJc w:val="left"/>
      <w:pPr>
        <w:ind w:left="1855" w:hanging="240"/>
      </w:pPr>
      <w:rPr>
        <w:rFonts w:hint="default"/>
        <w:lang w:val="en-US" w:eastAsia="en-US" w:bidi="ar-SA"/>
      </w:rPr>
    </w:lvl>
    <w:lvl w:ilvl="3" w:tplc="3BE8AF8A">
      <w:numFmt w:val="bullet"/>
      <w:lvlText w:val="•"/>
      <w:lvlJc w:val="left"/>
      <w:pPr>
        <w:ind w:left="2890" w:hanging="240"/>
      </w:pPr>
      <w:rPr>
        <w:rFonts w:hint="default"/>
        <w:lang w:val="en-US" w:eastAsia="en-US" w:bidi="ar-SA"/>
      </w:rPr>
    </w:lvl>
    <w:lvl w:ilvl="4" w:tplc="E95C2970">
      <w:numFmt w:val="bullet"/>
      <w:lvlText w:val="•"/>
      <w:lvlJc w:val="left"/>
      <w:pPr>
        <w:ind w:left="3926" w:hanging="240"/>
      </w:pPr>
      <w:rPr>
        <w:rFonts w:hint="default"/>
        <w:lang w:val="en-US" w:eastAsia="en-US" w:bidi="ar-SA"/>
      </w:rPr>
    </w:lvl>
    <w:lvl w:ilvl="5" w:tplc="0CB49B88">
      <w:numFmt w:val="bullet"/>
      <w:lvlText w:val="•"/>
      <w:lvlJc w:val="left"/>
      <w:pPr>
        <w:ind w:left="4961" w:hanging="240"/>
      </w:pPr>
      <w:rPr>
        <w:rFonts w:hint="default"/>
        <w:lang w:val="en-US" w:eastAsia="en-US" w:bidi="ar-SA"/>
      </w:rPr>
    </w:lvl>
    <w:lvl w:ilvl="6" w:tplc="43AED3FA">
      <w:numFmt w:val="bullet"/>
      <w:lvlText w:val="•"/>
      <w:lvlJc w:val="left"/>
      <w:pPr>
        <w:ind w:left="5996" w:hanging="240"/>
      </w:pPr>
      <w:rPr>
        <w:rFonts w:hint="default"/>
        <w:lang w:val="en-US" w:eastAsia="en-US" w:bidi="ar-SA"/>
      </w:rPr>
    </w:lvl>
    <w:lvl w:ilvl="7" w:tplc="9F227454">
      <w:numFmt w:val="bullet"/>
      <w:lvlText w:val="•"/>
      <w:lvlJc w:val="left"/>
      <w:pPr>
        <w:ind w:left="7032" w:hanging="240"/>
      </w:pPr>
      <w:rPr>
        <w:rFonts w:hint="default"/>
        <w:lang w:val="en-US" w:eastAsia="en-US" w:bidi="ar-SA"/>
      </w:rPr>
    </w:lvl>
    <w:lvl w:ilvl="8" w:tplc="28C09934">
      <w:numFmt w:val="bullet"/>
      <w:lvlText w:val="•"/>
      <w:lvlJc w:val="left"/>
      <w:pPr>
        <w:ind w:left="8067" w:hanging="240"/>
      </w:pPr>
      <w:rPr>
        <w:rFonts w:hint="default"/>
        <w:lang w:val="en-US" w:eastAsia="en-US" w:bidi="ar-SA"/>
      </w:rPr>
    </w:lvl>
  </w:abstractNum>
  <w:abstractNum w:abstractNumId="4" w15:restartNumberingAfterBreak="0">
    <w:nsid w:val="1D2A78C3"/>
    <w:multiLevelType w:val="hybridMultilevel"/>
    <w:tmpl w:val="93D60A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B4DBE"/>
    <w:multiLevelType w:val="multilevel"/>
    <w:tmpl w:val="79AADFC6"/>
    <w:lvl w:ilvl="0">
      <w:start w:val="3"/>
      <w:numFmt w:val="decimal"/>
      <w:lvlText w:val="%1."/>
      <w:lvlJc w:val="left"/>
      <w:pPr>
        <w:ind w:left="108"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1">
      <w:start w:val="1"/>
      <w:numFmt w:val="decimal"/>
      <w:lvlText w:val="%1.%2."/>
      <w:lvlJc w:val="left"/>
      <w:pPr>
        <w:ind w:left="1111" w:hanging="283"/>
      </w:pPr>
      <w:rPr>
        <w:rFonts w:ascii="Times New Roman" w:eastAsia="Times New Roman" w:hAnsi="Times New Roman" w:cs="Times New Roman" w:hint="default"/>
        <w:b w:val="0"/>
        <w:bCs w:val="0"/>
        <w:i w:val="0"/>
        <w:iCs w:val="0"/>
        <w:spacing w:val="-2"/>
        <w:w w:val="100"/>
        <w:sz w:val="16"/>
        <w:szCs w:val="16"/>
        <w:lang w:val="en-US" w:eastAsia="en-US" w:bidi="ar-SA"/>
      </w:rPr>
    </w:lvl>
    <w:lvl w:ilvl="2">
      <w:numFmt w:val="bullet"/>
      <w:lvlText w:val="•"/>
      <w:lvlJc w:val="left"/>
      <w:pPr>
        <w:ind w:left="1761" w:hanging="283"/>
      </w:pPr>
      <w:rPr>
        <w:rFonts w:hint="default"/>
        <w:lang w:val="en-US" w:eastAsia="en-US" w:bidi="ar-SA"/>
      </w:rPr>
    </w:lvl>
    <w:lvl w:ilvl="3">
      <w:numFmt w:val="bullet"/>
      <w:lvlText w:val="•"/>
      <w:lvlJc w:val="left"/>
      <w:pPr>
        <w:ind w:left="2402" w:hanging="283"/>
      </w:pPr>
      <w:rPr>
        <w:rFonts w:hint="default"/>
        <w:lang w:val="en-US" w:eastAsia="en-US" w:bidi="ar-SA"/>
      </w:rPr>
    </w:lvl>
    <w:lvl w:ilvl="4">
      <w:numFmt w:val="bullet"/>
      <w:lvlText w:val="•"/>
      <w:lvlJc w:val="left"/>
      <w:pPr>
        <w:ind w:left="3044" w:hanging="283"/>
      </w:pPr>
      <w:rPr>
        <w:rFonts w:hint="default"/>
        <w:lang w:val="en-US" w:eastAsia="en-US" w:bidi="ar-SA"/>
      </w:rPr>
    </w:lvl>
    <w:lvl w:ilvl="5">
      <w:numFmt w:val="bullet"/>
      <w:lvlText w:val="•"/>
      <w:lvlJc w:val="left"/>
      <w:pPr>
        <w:ind w:left="3685" w:hanging="283"/>
      </w:pPr>
      <w:rPr>
        <w:rFonts w:hint="default"/>
        <w:lang w:val="en-US" w:eastAsia="en-US" w:bidi="ar-SA"/>
      </w:rPr>
    </w:lvl>
    <w:lvl w:ilvl="6">
      <w:numFmt w:val="bullet"/>
      <w:lvlText w:val="•"/>
      <w:lvlJc w:val="left"/>
      <w:pPr>
        <w:ind w:left="4326" w:hanging="283"/>
      </w:pPr>
      <w:rPr>
        <w:rFonts w:hint="default"/>
        <w:lang w:val="en-US" w:eastAsia="en-US" w:bidi="ar-SA"/>
      </w:rPr>
    </w:lvl>
    <w:lvl w:ilvl="7">
      <w:numFmt w:val="bullet"/>
      <w:lvlText w:val="•"/>
      <w:lvlJc w:val="left"/>
      <w:pPr>
        <w:ind w:left="4968" w:hanging="283"/>
      </w:pPr>
      <w:rPr>
        <w:rFonts w:hint="default"/>
        <w:lang w:val="en-US" w:eastAsia="en-US" w:bidi="ar-SA"/>
      </w:rPr>
    </w:lvl>
    <w:lvl w:ilvl="8">
      <w:numFmt w:val="bullet"/>
      <w:lvlText w:val="•"/>
      <w:lvlJc w:val="left"/>
      <w:pPr>
        <w:ind w:left="5609" w:hanging="283"/>
      </w:pPr>
      <w:rPr>
        <w:rFonts w:hint="default"/>
        <w:lang w:val="en-US" w:eastAsia="en-US" w:bidi="ar-SA"/>
      </w:rPr>
    </w:lvl>
  </w:abstractNum>
  <w:abstractNum w:abstractNumId="6" w15:restartNumberingAfterBreak="0">
    <w:nsid w:val="2B767B30"/>
    <w:multiLevelType w:val="hybridMultilevel"/>
    <w:tmpl w:val="4DB8F636"/>
    <w:lvl w:ilvl="0" w:tplc="389E6482">
      <w:start w:val="1"/>
      <w:numFmt w:val="lowerLetter"/>
      <w:lvlText w:val="%1."/>
      <w:lvlJc w:val="left"/>
      <w:pPr>
        <w:ind w:left="268" w:hanging="154"/>
      </w:pPr>
      <w:rPr>
        <w:rFonts w:ascii="Times New Roman" w:eastAsia="Times New Roman" w:hAnsi="Times New Roman" w:cs="Times New Roman" w:hint="default"/>
        <w:b w:val="0"/>
        <w:bCs w:val="0"/>
        <w:i w:val="0"/>
        <w:iCs w:val="0"/>
        <w:spacing w:val="0"/>
        <w:w w:val="100"/>
        <w:sz w:val="16"/>
        <w:szCs w:val="16"/>
        <w:lang w:val="en-US" w:eastAsia="en-US" w:bidi="ar-SA"/>
      </w:rPr>
    </w:lvl>
    <w:lvl w:ilvl="1" w:tplc="514E85A0">
      <w:numFmt w:val="bullet"/>
      <w:lvlText w:val="•"/>
      <w:lvlJc w:val="left"/>
      <w:pPr>
        <w:ind w:left="1275" w:hanging="154"/>
      </w:pPr>
      <w:rPr>
        <w:rFonts w:hint="default"/>
        <w:lang w:val="en-US" w:eastAsia="en-US" w:bidi="ar-SA"/>
      </w:rPr>
    </w:lvl>
    <w:lvl w:ilvl="2" w:tplc="E548BCBA">
      <w:numFmt w:val="bullet"/>
      <w:lvlText w:val="•"/>
      <w:lvlJc w:val="left"/>
      <w:pPr>
        <w:ind w:left="2291" w:hanging="154"/>
      </w:pPr>
      <w:rPr>
        <w:rFonts w:hint="default"/>
        <w:lang w:val="en-US" w:eastAsia="en-US" w:bidi="ar-SA"/>
      </w:rPr>
    </w:lvl>
    <w:lvl w:ilvl="3" w:tplc="D6EA78BE">
      <w:numFmt w:val="bullet"/>
      <w:lvlText w:val="•"/>
      <w:lvlJc w:val="left"/>
      <w:pPr>
        <w:ind w:left="3307" w:hanging="154"/>
      </w:pPr>
      <w:rPr>
        <w:rFonts w:hint="default"/>
        <w:lang w:val="en-US" w:eastAsia="en-US" w:bidi="ar-SA"/>
      </w:rPr>
    </w:lvl>
    <w:lvl w:ilvl="4" w:tplc="6D783790">
      <w:numFmt w:val="bullet"/>
      <w:lvlText w:val="•"/>
      <w:lvlJc w:val="left"/>
      <w:pPr>
        <w:ind w:left="4323" w:hanging="154"/>
      </w:pPr>
      <w:rPr>
        <w:rFonts w:hint="default"/>
        <w:lang w:val="en-US" w:eastAsia="en-US" w:bidi="ar-SA"/>
      </w:rPr>
    </w:lvl>
    <w:lvl w:ilvl="5" w:tplc="10807246">
      <w:numFmt w:val="bullet"/>
      <w:lvlText w:val="•"/>
      <w:lvlJc w:val="left"/>
      <w:pPr>
        <w:ind w:left="5339" w:hanging="154"/>
      </w:pPr>
      <w:rPr>
        <w:rFonts w:hint="default"/>
        <w:lang w:val="en-US" w:eastAsia="en-US" w:bidi="ar-SA"/>
      </w:rPr>
    </w:lvl>
    <w:lvl w:ilvl="6" w:tplc="8B9209A0">
      <w:numFmt w:val="bullet"/>
      <w:lvlText w:val="•"/>
      <w:lvlJc w:val="left"/>
      <w:pPr>
        <w:ind w:left="6354" w:hanging="154"/>
      </w:pPr>
      <w:rPr>
        <w:rFonts w:hint="default"/>
        <w:lang w:val="en-US" w:eastAsia="en-US" w:bidi="ar-SA"/>
      </w:rPr>
    </w:lvl>
    <w:lvl w:ilvl="7" w:tplc="B808B99E">
      <w:numFmt w:val="bullet"/>
      <w:lvlText w:val="•"/>
      <w:lvlJc w:val="left"/>
      <w:pPr>
        <w:ind w:left="7370" w:hanging="154"/>
      </w:pPr>
      <w:rPr>
        <w:rFonts w:hint="default"/>
        <w:lang w:val="en-US" w:eastAsia="en-US" w:bidi="ar-SA"/>
      </w:rPr>
    </w:lvl>
    <w:lvl w:ilvl="8" w:tplc="71C61A4A">
      <w:numFmt w:val="bullet"/>
      <w:lvlText w:val="•"/>
      <w:lvlJc w:val="left"/>
      <w:pPr>
        <w:ind w:left="8386" w:hanging="154"/>
      </w:pPr>
      <w:rPr>
        <w:rFonts w:hint="default"/>
        <w:lang w:val="en-US" w:eastAsia="en-US" w:bidi="ar-SA"/>
      </w:rPr>
    </w:lvl>
  </w:abstractNum>
  <w:abstractNum w:abstractNumId="7" w15:restartNumberingAfterBreak="0">
    <w:nsid w:val="2F034262"/>
    <w:multiLevelType w:val="hybridMultilevel"/>
    <w:tmpl w:val="DF9C1C4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2F631E71"/>
    <w:multiLevelType w:val="hybridMultilevel"/>
    <w:tmpl w:val="56FC86B2"/>
    <w:lvl w:ilvl="0" w:tplc="F0A8E65E">
      <w:start w:val="1"/>
      <w:numFmt w:val="lowerLetter"/>
      <w:lvlText w:val="%1."/>
      <w:lvlJc w:val="left"/>
      <w:pPr>
        <w:ind w:left="319" w:hanging="212"/>
      </w:pPr>
      <w:rPr>
        <w:rFonts w:ascii="Calibri" w:eastAsia="Times New Roman" w:hAnsi="Calibri" w:cs="Calibri" w:hint="default"/>
        <w:b w:val="0"/>
        <w:bCs w:val="0"/>
        <w:i w:val="0"/>
        <w:iCs w:val="0"/>
        <w:spacing w:val="0"/>
        <w:w w:val="100"/>
        <w:sz w:val="16"/>
        <w:szCs w:val="16"/>
        <w:lang w:val="en-US" w:eastAsia="en-US" w:bidi="ar-SA"/>
      </w:rPr>
    </w:lvl>
    <w:lvl w:ilvl="1" w:tplc="E2928F0C">
      <w:numFmt w:val="bullet"/>
      <w:lvlText w:val="•"/>
      <w:lvlJc w:val="left"/>
      <w:pPr>
        <w:ind w:left="977" w:hanging="212"/>
      </w:pPr>
      <w:rPr>
        <w:rFonts w:hint="default"/>
        <w:lang w:val="en-US" w:eastAsia="en-US" w:bidi="ar-SA"/>
      </w:rPr>
    </w:lvl>
    <w:lvl w:ilvl="2" w:tplc="35AC6A0E">
      <w:numFmt w:val="bullet"/>
      <w:lvlText w:val="•"/>
      <w:lvlJc w:val="left"/>
      <w:pPr>
        <w:ind w:left="1634" w:hanging="212"/>
      </w:pPr>
      <w:rPr>
        <w:rFonts w:hint="default"/>
        <w:lang w:val="en-US" w:eastAsia="en-US" w:bidi="ar-SA"/>
      </w:rPr>
    </w:lvl>
    <w:lvl w:ilvl="3" w:tplc="03960044">
      <w:numFmt w:val="bullet"/>
      <w:lvlText w:val="•"/>
      <w:lvlJc w:val="left"/>
      <w:pPr>
        <w:ind w:left="2291" w:hanging="212"/>
      </w:pPr>
      <w:rPr>
        <w:rFonts w:hint="default"/>
        <w:lang w:val="en-US" w:eastAsia="en-US" w:bidi="ar-SA"/>
      </w:rPr>
    </w:lvl>
    <w:lvl w:ilvl="4" w:tplc="9BE669DA">
      <w:numFmt w:val="bullet"/>
      <w:lvlText w:val="•"/>
      <w:lvlJc w:val="left"/>
      <w:pPr>
        <w:ind w:left="2948" w:hanging="212"/>
      </w:pPr>
      <w:rPr>
        <w:rFonts w:hint="default"/>
        <w:lang w:val="en-US" w:eastAsia="en-US" w:bidi="ar-SA"/>
      </w:rPr>
    </w:lvl>
    <w:lvl w:ilvl="5" w:tplc="49F80328">
      <w:numFmt w:val="bullet"/>
      <w:lvlText w:val="•"/>
      <w:lvlJc w:val="left"/>
      <w:pPr>
        <w:ind w:left="3606" w:hanging="212"/>
      </w:pPr>
      <w:rPr>
        <w:rFonts w:hint="default"/>
        <w:lang w:val="en-US" w:eastAsia="en-US" w:bidi="ar-SA"/>
      </w:rPr>
    </w:lvl>
    <w:lvl w:ilvl="6" w:tplc="8E2CB48E">
      <w:numFmt w:val="bullet"/>
      <w:lvlText w:val="•"/>
      <w:lvlJc w:val="left"/>
      <w:pPr>
        <w:ind w:left="4263" w:hanging="212"/>
      </w:pPr>
      <w:rPr>
        <w:rFonts w:hint="default"/>
        <w:lang w:val="en-US" w:eastAsia="en-US" w:bidi="ar-SA"/>
      </w:rPr>
    </w:lvl>
    <w:lvl w:ilvl="7" w:tplc="1B445B0E">
      <w:numFmt w:val="bullet"/>
      <w:lvlText w:val="•"/>
      <w:lvlJc w:val="left"/>
      <w:pPr>
        <w:ind w:left="4920" w:hanging="212"/>
      </w:pPr>
      <w:rPr>
        <w:rFonts w:hint="default"/>
        <w:lang w:val="en-US" w:eastAsia="en-US" w:bidi="ar-SA"/>
      </w:rPr>
    </w:lvl>
    <w:lvl w:ilvl="8" w:tplc="AFD6393C">
      <w:numFmt w:val="bullet"/>
      <w:lvlText w:val="•"/>
      <w:lvlJc w:val="left"/>
      <w:pPr>
        <w:ind w:left="5577" w:hanging="212"/>
      </w:pPr>
      <w:rPr>
        <w:rFonts w:hint="default"/>
        <w:lang w:val="en-US" w:eastAsia="en-US" w:bidi="ar-SA"/>
      </w:rPr>
    </w:lvl>
  </w:abstractNum>
  <w:abstractNum w:abstractNumId="9" w15:restartNumberingAfterBreak="0">
    <w:nsid w:val="33E33FA1"/>
    <w:multiLevelType w:val="hybridMultilevel"/>
    <w:tmpl w:val="853CAD16"/>
    <w:lvl w:ilvl="0" w:tplc="7D0494EC">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36732B36"/>
    <w:multiLevelType w:val="singleLevel"/>
    <w:tmpl w:val="96FA9F1C"/>
    <w:lvl w:ilvl="0">
      <w:start w:val="5363"/>
      <w:numFmt w:val="decimal"/>
      <w:pStyle w:val="Level2"/>
      <w:lvlText w:val="%1"/>
      <w:lvlJc w:val="left"/>
      <w:pPr>
        <w:tabs>
          <w:tab w:val="num" w:pos="600"/>
        </w:tabs>
        <w:ind w:left="600" w:hanging="600"/>
      </w:pPr>
      <w:rPr>
        <w:rFonts w:hint="default"/>
      </w:rPr>
    </w:lvl>
  </w:abstractNum>
  <w:abstractNum w:abstractNumId="11"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F3C299A"/>
    <w:multiLevelType w:val="hybridMultilevel"/>
    <w:tmpl w:val="6A801920"/>
    <w:lvl w:ilvl="0" w:tplc="2FE60674">
      <w:numFmt w:val="decimal"/>
      <w:lvlText w:val="%1"/>
      <w:lvlJc w:val="left"/>
      <w:pPr>
        <w:ind w:left="1730" w:hanging="891"/>
        <w:jc w:val="right"/>
      </w:pPr>
      <w:rPr>
        <w:rFonts w:ascii="Times New Roman" w:eastAsia="Times New Roman" w:hAnsi="Times New Roman" w:cs="Times New Roman" w:hint="default"/>
        <w:b w:val="0"/>
        <w:bCs w:val="0"/>
        <w:i w:val="0"/>
        <w:iCs w:val="0"/>
        <w:spacing w:val="0"/>
        <w:w w:val="100"/>
        <w:sz w:val="16"/>
        <w:szCs w:val="16"/>
        <w:lang w:val="en-US" w:eastAsia="en-US" w:bidi="ar-SA"/>
      </w:rPr>
    </w:lvl>
    <w:lvl w:ilvl="1" w:tplc="0A32896E">
      <w:numFmt w:val="bullet"/>
      <w:lvlText w:val="•"/>
      <w:lvlJc w:val="left"/>
      <w:pPr>
        <w:ind w:left="1801" w:hanging="891"/>
      </w:pPr>
      <w:rPr>
        <w:rFonts w:hint="default"/>
        <w:lang w:val="en-US" w:eastAsia="en-US" w:bidi="ar-SA"/>
      </w:rPr>
    </w:lvl>
    <w:lvl w:ilvl="2" w:tplc="EA7C1518">
      <w:numFmt w:val="bullet"/>
      <w:lvlText w:val="•"/>
      <w:lvlJc w:val="left"/>
      <w:pPr>
        <w:ind w:left="1862" w:hanging="891"/>
      </w:pPr>
      <w:rPr>
        <w:rFonts w:hint="default"/>
        <w:lang w:val="en-US" w:eastAsia="en-US" w:bidi="ar-SA"/>
      </w:rPr>
    </w:lvl>
    <w:lvl w:ilvl="3" w:tplc="B540E388">
      <w:numFmt w:val="bullet"/>
      <w:lvlText w:val="•"/>
      <w:lvlJc w:val="left"/>
      <w:pPr>
        <w:ind w:left="1924" w:hanging="891"/>
      </w:pPr>
      <w:rPr>
        <w:rFonts w:hint="default"/>
        <w:lang w:val="en-US" w:eastAsia="en-US" w:bidi="ar-SA"/>
      </w:rPr>
    </w:lvl>
    <w:lvl w:ilvl="4" w:tplc="5D3C582E">
      <w:numFmt w:val="bullet"/>
      <w:lvlText w:val="•"/>
      <w:lvlJc w:val="left"/>
      <w:pPr>
        <w:ind w:left="1985" w:hanging="891"/>
      </w:pPr>
      <w:rPr>
        <w:rFonts w:hint="default"/>
        <w:lang w:val="en-US" w:eastAsia="en-US" w:bidi="ar-SA"/>
      </w:rPr>
    </w:lvl>
    <w:lvl w:ilvl="5" w:tplc="48E4A516">
      <w:numFmt w:val="bullet"/>
      <w:lvlText w:val="•"/>
      <w:lvlJc w:val="left"/>
      <w:pPr>
        <w:ind w:left="2046" w:hanging="891"/>
      </w:pPr>
      <w:rPr>
        <w:rFonts w:hint="default"/>
        <w:lang w:val="en-US" w:eastAsia="en-US" w:bidi="ar-SA"/>
      </w:rPr>
    </w:lvl>
    <w:lvl w:ilvl="6" w:tplc="ADC4BF4C">
      <w:numFmt w:val="bullet"/>
      <w:lvlText w:val="•"/>
      <w:lvlJc w:val="left"/>
      <w:pPr>
        <w:ind w:left="2108" w:hanging="891"/>
      </w:pPr>
      <w:rPr>
        <w:rFonts w:hint="default"/>
        <w:lang w:val="en-US" w:eastAsia="en-US" w:bidi="ar-SA"/>
      </w:rPr>
    </w:lvl>
    <w:lvl w:ilvl="7" w:tplc="6B423146">
      <w:numFmt w:val="bullet"/>
      <w:lvlText w:val="•"/>
      <w:lvlJc w:val="left"/>
      <w:pPr>
        <w:ind w:left="2169" w:hanging="891"/>
      </w:pPr>
      <w:rPr>
        <w:rFonts w:hint="default"/>
        <w:lang w:val="en-US" w:eastAsia="en-US" w:bidi="ar-SA"/>
      </w:rPr>
    </w:lvl>
    <w:lvl w:ilvl="8" w:tplc="D7FA2C86">
      <w:numFmt w:val="bullet"/>
      <w:lvlText w:val="•"/>
      <w:lvlJc w:val="left"/>
      <w:pPr>
        <w:ind w:left="2230" w:hanging="891"/>
      </w:pPr>
      <w:rPr>
        <w:rFonts w:hint="default"/>
        <w:lang w:val="en-US" w:eastAsia="en-US" w:bidi="ar-SA"/>
      </w:rPr>
    </w:lvl>
  </w:abstractNum>
  <w:abstractNum w:abstractNumId="13" w15:restartNumberingAfterBreak="0">
    <w:nsid w:val="40996AA5"/>
    <w:multiLevelType w:val="hybridMultilevel"/>
    <w:tmpl w:val="4C164912"/>
    <w:lvl w:ilvl="0" w:tplc="C5B2C4BE">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4" w15:restartNumberingAfterBreak="0">
    <w:nsid w:val="43F727C1"/>
    <w:multiLevelType w:val="hybridMultilevel"/>
    <w:tmpl w:val="9FF4D590"/>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4987033A"/>
    <w:multiLevelType w:val="multilevel"/>
    <w:tmpl w:val="094AB402"/>
    <w:lvl w:ilvl="0">
      <w:start w:val="1"/>
      <w:numFmt w:val="upperLetter"/>
      <w:lvlText w:val="%1."/>
      <w:lvlJc w:val="left"/>
      <w:pPr>
        <w:ind w:left="144" w:hanging="353"/>
      </w:pPr>
      <w:rPr>
        <w:rFonts w:ascii="Times New Roman" w:eastAsia="Times New Roman" w:hAnsi="Times New Roman" w:cs="Times New Roman" w:hint="default"/>
        <w:b w:val="0"/>
        <w:bCs w:val="0"/>
        <w:i w:val="0"/>
        <w:iCs w:val="0"/>
        <w:spacing w:val="-3"/>
        <w:w w:val="99"/>
        <w:sz w:val="20"/>
        <w:szCs w:val="20"/>
        <w:lang w:val="en-US" w:eastAsia="en-US" w:bidi="ar-SA"/>
      </w:rPr>
    </w:lvl>
    <w:lvl w:ilvl="1">
      <w:start w:val="1"/>
      <w:numFmt w:val="decimal"/>
      <w:lvlText w:val="%1.%2."/>
      <w:lvlJc w:val="left"/>
      <w:pPr>
        <w:ind w:left="144" w:hanging="444"/>
      </w:pPr>
      <w:rPr>
        <w:rFonts w:ascii="Times New Roman" w:eastAsia="Times New Roman" w:hAnsi="Times New Roman" w:cs="Times New Roman" w:hint="default"/>
        <w:b w:val="0"/>
        <w:bCs w:val="0"/>
        <w:i w:val="0"/>
        <w:iCs w:val="0"/>
        <w:spacing w:val="-3"/>
        <w:w w:val="99"/>
        <w:sz w:val="20"/>
        <w:szCs w:val="20"/>
        <w:lang w:val="en-US" w:eastAsia="en-US" w:bidi="ar-SA"/>
      </w:rPr>
    </w:lvl>
    <w:lvl w:ilvl="2">
      <w:numFmt w:val="bullet"/>
      <w:lvlText w:val="•"/>
      <w:lvlJc w:val="left"/>
      <w:pPr>
        <w:ind w:left="1148" w:hanging="444"/>
      </w:pPr>
      <w:rPr>
        <w:rFonts w:hint="default"/>
        <w:lang w:val="en-US" w:eastAsia="en-US" w:bidi="ar-SA"/>
      </w:rPr>
    </w:lvl>
    <w:lvl w:ilvl="3">
      <w:numFmt w:val="bullet"/>
      <w:lvlText w:val="•"/>
      <w:lvlJc w:val="left"/>
      <w:pPr>
        <w:ind w:left="1652" w:hanging="444"/>
      </w:pPr>
      <w:rPr>
        <w:rFonts w:hint="default"/>
        <w:lang w:val="en-US" w:eastAsia="en-US" w:bidi="ar-SA"/>
      </w:rPr>
    </w:lvl>
    <w:lvl w:ilvl="4">
      <w:numFmt w:val="bullet"/>
      <w:lvlText w:val="•"/>
      <w:lvlJc w:val="left"/>
      <w:pPr>
        <w:ind w:left="2157" w:hanging="444"/>
      </w:pPr>
      <w:rPr>
        <w:rFonts w:hint="default"/>
        <w:lang w:val="en-US" w:eastAsia="en-US" w:bidi="ar-SA"/>
      </w:rPr>
    </w:lvl>
    <w:lvl w:ilvl="5">
      <w:numFmt w:val="bullet"/>
      <w:lvlText w:val="•"/>
      <w:lvlJc w:val="left"/>
      <w:pPr>
        <w:ind w:left="2661" w:hanging="444"/>
      </w:pPr>
      <w:rPr>
        <w:rFonts w:hint="default"/>
        <w:lang w:val="en-US" w:eastAsia="en-US" w:bidi="ar-SA"/>
      </w:rPr>
    </w:lvl>
    <w:lvl w:ilvl="6">
      <w:numFmt w:val="bullet"/>
      <w:lvlText w:val="•"/>
      <w:lvlJc w:val="left"/>
      <w:pPr>
        <w:ind w:left="3165" w:hanging="444"/>
      </w:pPr>
      <w:rPr>
        <w:rFonts w:hint="default"/>
        <w:lang w:val="en-US" w:eastAsia="en-US" w:bidi="ar-SA"/>
      </w:rPr>
    </w:lvl>
    <w:lvl w:ilvl="7">
      <w:numFmt w:val="bullet"/>
      <w:lvlText w:val="•"/>
      <w:lvlJc w:val="left"/>
      <w:pPr>
        <w:ind w:left="3669" w:hanging="444"/>
      </w:pPr>
      <w:rPr>
        <w:rFonts w:hint="default"/>
        <w:lang w:val="en-US" w:eastAsia="en-US" w:bidi="ar-SA"/>
      </w:rPr>
    </w:lvl>
    <w:lvl w:ilvl="8">
      <w:numFmt w:val="bullet"/>
      <w:lvlText w:val="•"/>
      <w:lvlJc w:val="left"/>
      <w:pPr>
        <w:ind w:left="4174" w:hanging="444"/>
      </w:pPr>
      <w:rPr>
        <w:rFonts w:hint="default"/>
        <w:lang w:val="en-US" w:eastAsia="en-US" w:bidi="ar-SA"/>
      </w:rPr>
    </w:lvl>
  </w:abstractNum>
  <w:abstractNum w:abstractNumId="16" w15:restartNumberingAfterBreak="0">
    <w:nsid w:val="50F461B5"/>
    <w:multiLevelType w:val="hybridMultilevel"/>
    <w:tmpl w:val="73CA691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7" w15:restartNumberingAfterBreak="0">
    <w:nsid w:val="51770F19"/>
    <w:multiLevelType w:val="hybridMultilevel"/>
    <w:tmpl w:val="AD04179E"/>
    <w:lvl w:ilvl="0" w:tplc="762ABE30">
      <w:start w:val="3"/>
      <w:numFmt w:val="lowerLetter"/>
      <w:lvlText w:val="%1."/>
      <w:lvlJc w:val="left"/>
      <w:pPr>
        <w:ind w:left="268" w:hanging="154"/>
      </w:pPr>
      <w:rPr>
        <w:rFonts w:ascii="Times New Roman" w:eastAsia="Times New Roman" w:hAnsi="Times New Roman" w:cs="Times New Roman" w:hint="default"/>
        <w:b w:val="0"/>
        <w:bCs w:val="0"/>
        <w:i w:val="0"/>
        <w:iCs w:val="0"/>
        <w:spacing w:val="0"/>
        <w:w w:val="100"/>
        <w:sz w:val="16"/>
        <w:szCs w:val="16"/>
        <w:lang w:val="en-US" w:eastAsia="en-US" w:bidi="ar-SA"/>
      </w:rPr>
    </w:lvl>
    <w:lvl w:ilvl="1" w:tplc="E19A669E">
      <w:start w:val="1"/>
      <w:numFmt w:val="decimal"/>
      <w:lvlText w:val="%2."/>
      <w:lvlJc w:val="left"/>
      <w:pPr>
        <w:ind w:left="397"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2" w:tplc="1DBACFFA">
      <w:numFmt w:val="bullet"/>
      <w:lvlText w:val="•"/>
      <w:lvlJc w:val="left"/>
      <w:pPr>
        <w:ind w:left="1513" w:hanging="163"/>
      </w:pPr>
      <w:rPr>
        <w:rFonts w:hint="default"/>
        <w:lang w:val="en-US" w:eastAsia="en-US" w:bidi="ar-SA"/>
      </w:rPr>
    </w:lvl>
    <w:lvl w:ilvl="3" w:tplc="5E0EA696">
      <w:numFmt w:val="bullet"/>
      <w:lvlText w:val="•"/>
      <w:lvlJc w:val="left"/>
      <w:pPr>
        <w:ind w:left="2626" w:hanging="163"/>
      </w:pPr>
      <w:rPr>
        <w:rFonts w:hint="default"/>
        <w:lang w:val="en-US" w:eastAsia="en-US" w:bidi="ar-SA"/>
      </w:rPr>
    </w:lvl>
    <w:lvl w:ilvl="4" w:tplc="4FB2CB14">
      <w:numFmt w:val="bullet"/>
      <w:lvlText w:val="•"/>
      <w:lvlJc w:val="left"/>
      <w:pPr>
        <w:ind w:left="3739" w:hanging="163"/>
      </w:pPr>
      <w:rPr>
        <w:rFonts w:hint="default"/>
        <w:lang w:val="en-US" w:eastAsia="en-US" w:bidi="ar-SA"/>
      </w:rPr>
    </w:lvl>
    <w:lvl w:ilvl="5" w:tplc="5C6647A4">
      <w:numFmt w:val="bullet"/>
      <w:lvlText w:val="•"/>
      <w:lvlJc w:val="left"/>
      <w:pPr>
        <w:ind w:left="4852" w:hanging="163"/>
      </w:pPr>
      <w:rPr>
        <w:rFonts w:hint="default"/>
        <w:lang w:val="en-US" w:eastAsia="en-US" w:bidi="ar-SA"/>
      </w:rPr>
    </w:lvl>
    <w:lvl w:ilvl="6" w:tplc="B590F800">
      <w:numFmt w:val="bullet"/>
      <w:lvlText w:val="•"/>
      <w:lvlJc w:val="left"/>
      <w:pPr>
        <w:ind w:left="5965" w:hanging="163"/>
      </w:pPr>
      <w:rPr>
        <w:rFonts w:hint="default"/>
        <w:lang w:val="en-US" w:eastAsia="en-US" w:bidi="ar-SA"/>
      </w:rPr>
    </w:lvl>
    <w:lvl w:ilvl="7" w:tplc="BDC82D6C">
      <w:numFmt w:val="bullet"/>
      <w:lvlText w:val="•"/>
      <w:lvlJc w:val="left"/>
      <w:pPr>
        <w:ind w:left="7078" w:hanging="163"/>
      </w:pPr>
      <w:rPr>
        <w:rFonts w:hint="default"/>
        <w:lang w:val="en-US" w:eastAsia="en-US" w:bidi="ar-SA"/>
      </w:rPr>
    </w:lvl>
    <w:lvl w:ilvl="8" w:tplc="D7E068B2">
      <w:numFmt w:val="bullet"/>
      <w:lvlText w:val="•"/>
      <w:lvlJc w:val="left"/>
      <w:pPr>
        <w:ind w:left="8191" w:hanging="163"/>
      </w:pPr>
      <w:rPr>
        <w:rFonts w:hint="default"/>
        <w:lang w:val="en-US" w:eastAsia="en-US" w:bidi="ar-SA"/>
      </w:rPr>
    </w:lvl>
  </w:abstractNum>
  <w:abstractNum w:abstractNumId="18" w15:restartNumberingAfterBreak="0">
    <w:nsid w:val="5500311A"/>
    <w:multiLevelType w:val="hybridMultilevel"/>
    <w:tmpl w:val="72C0CCCA"/>
    <w:lvl w:ilvl="0" w:tplc="EA0A07A0">
      <w:start w:val="1"/>
      <w:numFmt w:val="lowerLetter"/>
      <w:lvlText w:val="%1."/>
      <w:lvlJc w:val="left"/>
      <w:pPr>
        <w:ind w:left="108" w:hanging="233"/>
      </w:pPr>
      <w:rPr>
        <w:rFonts w:ascii="Calibri" w:eastAsia="Times New Roman" w:hAnsi="Calibri" w:cs="Calibri" w:hint="default"/>
        <w:b w:val="0"/>
        <w:bCs w:val="0"/>
        <w:i w:val="0"/>
        <w:iCs w:val="0"/>
        <w:spacing w:val="0"/>
        <w:w w:val="100"/>
        <w:sz w:val="16"/>
        <w:szCs w:val="16"/>
        <w:lang w:val="en-US" w:eastAsia="en-US" w:bidi="ar-SA"/>
      </w:rPr>
    </w:lvl>
    <w:lvl w:ilvl="1" w:tplc="A72E2DCA">
      <w:numFmt w:val="bullet"/>
      <w:lvlText w:val="•"/>
      <w:lvlJc w:val="left"/>
      <w:pPr>
        <w:ind w:left="779" w:hanging="233"/>
      </w:pPr>
      <w:rPr>
        <w:rFonts w:hint="default"/>
        <w:lang w:val="en-US" w:eastAsia="en-US" w:bidi="ar-SA"/>
      </w:rPr>
    </w:lvl>
    <w:lvl w:ilvl="2" w:tplc="2C3C55A8">
      <w:numFmt w:val="bullet"/>
      <w:lvlText w:val="•"/>
      <w:lvlJc w:val="left"/>
      <w:pPr>
        <w:ind w:left="1458" w:hanging="233"/>
      </w:pPr>
      <w:rPr>
        <w:rFonts w:hint="default"/>
        <w:lang w:val="en-US" w:eastAsia="en-US" w:bidi="ar-SA"/>
      </w:rPr>
    </w:lvl>
    <w:lvl w:ilvl="3" w:tplc="74C63888">
      <w:numFmt w:val="bullet"/>
      <w:lvlText w:val="•"/>
      <w:lvlJc w:val="left"/>
      <w:pPr>
        <w:ind w:left="2137" w:hanging="233"/>
      </w:pPr>
      <w:rPr>
        <w:rFonts w:hint="default"/>
        <w:lang w:val="en-US" w:eastAsia="en-US" w:bidi="ar-SA"/>
      </w:rPr>
    </w:lvl>
    <w:lvl w:ilvl="4" w:tplc="107E1AAA">
      <w:numFmt w:val="bullet"/>
      <w:lvlText w:val="•"/>
      <w:lvlJc w:val="left"/>
      <w:pPr>
        <w:ind w:left="2816" w:hanging="233"/>
      </w:pPr>
      <w:rPr>
        <w:rFonts w:hint="default"/>
        <w:lang w:val="en-US" w:eastAsia="en-US" w:bidi="ar-SA"/>
      </w:rPr>
    </w:lvl>
    <w:lvl w:ilvl="5" w:tplc="73CAB1A8">
      <w:numFmt w:val="bullet"/>
      <w:lvlText w:val="•"/>
      <w:lvlJc w:val="left"/>
      <w:pPr>
        <w:ind w:left="3496" w:hanging="233"/>
      </w:pPr>
      <w:rPr>
        <w:rFonts w:hint="default"/>
        <w:lang w:val="en-US" w:eastAsia="en-US" w:bidi="ar-SA"/>
      </w:rPr>
    </w:lvl>
    <w:lvl w:ilvl="6" w:tplc="047206B2">
      <w:numFmt w:val="bullet"/>
      <w:lvlText w:val="•"/>
      <w:lvlJc w:val="left"/>
      <w:pPr>
        <w:ind w:left="4175" w:hanging="233"/>
      </w:pPr>
      <w:rPr>
        <w:rFonts w:hint="default"/>
        <w:lang w:val="en-US" w:eastAsia="en-US" w:bidi="ar-SA"/>
      </w:rPr>
    </w:lvl>
    <w:lvl w:ilvl="7" w:tplc="2954CFAE">
      <w:numFmt w:val="bullet"/>
      <w:lvlText w:val="•"/>
      <w:lvlJc w:val="left"/>
      <w:pPr>
        <w:ind w:left="4854" w:hanging="233"/>
      </w:pPr>
      <w:rPr>
        <w:rFonts w:hint="default"/>
        <w:lang w:val="en-US" w:eastAsia="en-US" w:bidi="ar-SA"/>
      </w:rPr>
    </w:lvl>
    <w:lvl w:ilvl="8" w:tplc="EF286A98">
      <w:numFmt w:val="bullet"/>
      <w:lvlText w:val="•"/>
      <w:lvlJc w:val="left"/>
      <w:pPr>
        <w:ind w:left="5533" w:hanging="233"/>
      </w:pPr>
      <w:rPr>
        <w:rFonts w:hint="default"/>
        <w:lang w:val="en-US" w:eastAsia="en-US" w:bidi="ar-SA"/>
      </w:rPr>
    </w:lvl>
  </w:abstractNum>
  <w:abstractNum w:abstractNumId="19" w15:restartNumberingAfterBreak="0">
    <w:nsid w:val="58090B4E"/>
    <w:multiLevelType w:val="hybridMultilevel"/>
    <w:tmpl w:val="A3603E6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0" w15:restartNumberingAfterBreak="0">
    <w:nsid w:val="5A2F073F"/>
    <w:multiLevelType w:val="hybridMultilevel"/>
    <w:tmpl w:val="5130056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1" w15:restartNumberingAfterBreak="0">
    <w:nsid w:val="5CC53541"/>
    <w:multiLevelType w:val="hybridMultilevel"/>
    <w:tmpl w:val="7D245E2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2" w15:restartNumberingAfterBreak="0">
    <w:nsid w:val="5D4A2EC1"/>
    <w:multiLevelType w:val="hybridMultilevel"/>
    <w:tmpl w:val="BC9401D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3" w15:restartNumberingAfterBreak="0">
    <w:nsid w:val="5DB24DC3"/>
    <w:multiLevelType w:val="hybridMultilevel"/>
    <w:tmpl w:val="EC949482"/>
    <w:lvl w:ilvl="0" w:tplc="A678BAF0">
      <w:start w:val="1"/>
      <w:numFmt w:val="decimal"/>
      <w:lvlText w:val="%1."/>
      <w:lvlJc w:val="left"/>
      <w:pPr>
        <w:ind w:left="423"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1" w:tplc="20B04EEC">
      <w:numFmt w:val="bullet"/>
      <w:lvlText w:val="•"/>
      <w:lvlJc w:val="left"/>
      <w:pPr>
        <w:ind w:left="1035" w:hanging="163"/>
      </w:pPr>
      <w:rPr>
        <w:rFonts w:hint="default"/>
        <w:lang w:val="en-US" w:eastAsia="en-US" w:bidi="ar-SA"/>
      </w:rPr>
    </w:lvl>
    <w:lvl w:ilvl="2" w:tplc="02585146">
      <w:numFmt w:val="bullet"/>
      <w:lvlText w:val="•"/>
      <w:lvlJc w:val="left"/>
      <w:pPr>
        <w:ind w:left="1651" w:hanging="163"/>
      </w:pPr>
      <w:rPr>
        <w:rFonts w:hint="default"/>
        <w:lang w:val="en-US" w:eastAsia="en-US" w:bidi="ar-SA"/>
      </w:rPr>
    </w:lvl>
    <w:lvl w:ilvl="3" w:tplc="71BE0FEE">
      <w:numFmt w:val="bullet"/>
      <w:lvlText w:val="•"/>
      <w:lvlJc w:val="left"/>
      <w:pPr>
        <w:ind w:left="2267" w:hanging="163"/>
      </w:pPr>
      <w:rPr>
        <w:rFonts w:hint="default"/>
        <w:lang w:val="en-US" w:eastAsia="en-US" w:bidi="ar-SA"/>
      </w:rPr>
    </w:lvl>
    <w:lvl w:ilvl="4" w:tplc="910622B8">
      <w:numFmt w:val="bullet"/>
      <w:lvlText w:val="•"/>
      <w:lvlJc w:val="left"/>
      <w:pPr>
        <w:ind w:left="2883" w:hanging="163"/>
      </w:pPr>
      <w:rPr>
        <w:rFonts w:hint="default"/>
        <w:lang w:val="en-US" w:eastAsia="en-US" w:bidi="ar-SA"/>
      </w:rPr>
    </w:lvl>
    <w:lvl w:ilvl="5" w:tplc="3B8CF57E">
      <w:numFmt w:val="bullet"/>
      <w:lvlText w:val="•"/>
      <w:lvlJc w:val="left"/>
      <w:pPr>
        <w:ind w:left="3499" w:hanging="163"/>
      </w:pPr>
      <w:rPr>
        <w:rFonts w:hint="default"/>
        <w:lang w:val="en-US" w:eastAsia="en-US" w:bidi="ar-SA"/>
      </w:rPr>
    </w:lvl>
    <w:lvl w:ilvl="6" w:tplc="849E23A2">
      <w:numFmt w:val="bullet"/>
      <w:lvlText w:val="•"/>
      <w:lvlJc w:val="left"/>
      <w:pPr>
        <w:ind w:left="4115" w:hanging="163"/>
      </w:pPr>
      <w:rPr>
        <w:rFonts w:hint="default"/>
        <w:lang w:val="en-US" w:eastAsia="en-US" w:bidi="ar-SA"/>
      </w:rPr>
    </w:lvl>
    <w:lvl w:ilvl="7" w:tplc="4CD61BC0">
      <w:numFmt w:val="bullet"/>
      <w:lvlText w:val="•"/>
      <w:lvlJc w:val="left"/>
      <w:pPr>
        <w:ind w:left="4731" w:hanging="163"/>
      </w:pPr>
      <w:rPr>
        <w:rFonts w:hint="default"/>
        <w:lang w:val="en-US" w:eastAsia="en-US" w:bidi="ar-SA"/>
      </w:rPr>
    </w:lvl>
    <w:lvl w:ilvl="8" w:tplc="D90C3CCC">
      <w:numFmt w:val="bullet"/>
      <w:lvlText w:val="•"/>
      <w:lvlJc w:val="left"/>
      <w:pPr>
        <w:ind w:left="5347" w:hanging="163"/>
      </w:pPr>
      <w:rPr>
        <w:rFonts w:hint="default"/>
        <w:lang w:val="en-US" w:eastAsia="en-US" w:bidi="ar-SA"/>
      </w:rPr>
    </w:lvl>
  </w:abstractNum>
  <w:abstractNum w:abstractNumId="24" w15:restartNumberingAfterBreak="0">
    <w:nsid w:val="72F44826"/>
    <w:multiLevelType w:val="multilevel"/>
    <w:tmpl w:val="46C4439E"/>
    <w:lvl w:ilvl="0">
      <w:start w:val="3"/>
      <w:numFmt w:val="decimal"/>
      <w:lvlText w:val="%1"/>
      <w:lvlJc w:val="left"/>
      <w:pPr>
        <w:ind w:left="360" w:hanging="360"/>
      </w:pPr>
      <w:rPr>
        <w:rFonts w:hint="default"/>
      </w:rPr>
    </w:lvl>
    <w:lvl w:ilvl="1">
      <w:start w:val="1"/>
      <w:numFmt w:val="decimal"/>
      <w:lvlText w:val="%1.%2"/>
      <w:lvlJc w:val="left"/>
      <w:pPr>
        <w:ind w:left="1188" w:hanging="360"/>
      </w:pPr>
      <w:rPr>
        <w:rFonts w:hint="default"/>
      </w:rPr>
    </w:lvl>
    <w:lvl w:ilvl="2">
      <w:start w:val="1"/>
      <w:numFmt w:val="decimal"/>
      <w:lvlText w:val="%1.%2.%3"/>
      <w:lvlJc w:val="left"/>
      <w:pPr>
        <w:ind w:left="2016" w:hanging="36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032" w:hanging="720"/>
      </w:pPr>
      <w:rPr>
        <w:rFonts w:hint="default"/>
      </w:rPr>
    </w:lvl>
    <w:lvl w:ilvl="5">
      <w:start w:val="1"/>
      <w:numFmt w:val="decimal"/>
      <w:lvlText w:val="%1.%2.%3.%4.%5.%6"/>
      <w:lvlJc w:val="left"/>
      <w:pPr>
        <w:ind w:left="4860" w:hanging="720"/>
      </w:pPr>
      <w:rPr>
        <w:rFonts w:hint="default"/>
      </w:rPr>
    </w:lvl>
    <w:lvl w:ilvl="6">
      <w:start w:val="1"/>
      <w:numFmt w:val="decimal"/>
      <w:lvlText w:val="%1.%2.%3.%4.%5.%6.%7"/>
      <w:lvlJc w:val="left"/>
      <w:pPr>
        <w:ind w:left="6048" w:hanging="1080"/>
      </w:pPr>
      <w:rPr>
        <w:rFonts w:hint="default"/>
      </w:rPr>
    </w:lvl>
    <w:lvl w:ilvl="7">
      <w:start w:val="1"/>
      <w:numFmt w:val="decimal"/>
      <w:lvlText w:val="%1.%2.%3.%4.%5.%6.%7.%8"/>
      <w:lvlJc w:val="left"/>
      <w:pPr>
        <w:ind w:left="6876" w:hanging="1080"/>
      </w:pPr>
      <w:rPr>
        <w:rFonts w:hint="default"/>
      </w:rPr>
    </w:lvl>
    <w:lvl w:ilvl="8">
      <w:start w:val="1"/>
      <w:numFmt w:val="decimal"/>
      <w:lvlText w:val="%1.%2.%3.%4.%5.%6.%7.%8.%9"/>
      <w:lvlJc w:val="left"/>
      <w:pPr>
        <w:ind w:left="7704" w:hanging="1080"/>
      </w:pPr>
      <w:rPr>
        <w:rFonts w:hint="default"/>
      </w:rPr>
    </w:lvl>
  </w:abstractNum>
  <w:abstractNum w:abstractNumId="25" w15:restartNumberingAfterBreak="0">
    <w:nsid w:val="78CC7C12"/>
    <w:multiLevelType w:val="hybridMultilevel"/>
    <w:tmpl w:val="C6BCAE68"/>
    <w:lvl w:ilvl="0" w:tplc="BE44AC4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870C4C"/>
    <w:multiLevelType w:val="hybridMultilevel"/>
    <w:tmpl w:val="D414969E"/>
    <w:lvl w:ilvl="0" w:tplc="B6EAAABE">
      <w:start w:val="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798D63BE"/>
    <w:multiLevelType w:val="hybridMultilevel"/>
    <w:tmpl w:val="898420BA"/>
    <w:lvl w:ilvl="0" w:tplc="AD042224">
      <w:start w:val="1"/>
      <w:numFmt w:val="decimal"/>
      <w:lvlText w:val="%1"/>
      <w:lvlJc w:val="left"/>
      <w:pPr>
        <w:ind w:left="215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A90AAD"/>
    <w:multiLevelType w:val="hybridMultilevel"/>
    <w:tmpl w:val="830CE684"/>
    <w:lvl w:ilvl="0" w:tplc="03B6BDBC">
      <w:start w:val="1"/>
      <w:numFmt w:val="lowerLetter"/>
      <w:lvlText w:val="%1."/>
      <w:lvlJc w:val="left"/>
      <w:pPr>
        <w:ind w:left="114" w:hanging="151"/>
      </w:pPr>
      <w:rPr>
        <w:rFonts w:ascii="Times New Roman" w:eastAsia="Times New Roman" w:hAnsi="Times New Roman" w:cs="Times New Roman" w:hint="default"/>
        <w:b w:val="0"/>
        <w:bCs w:val="0"/>
        <w:i w:val="0"/>
        <w:iCs w:val="0"/>
        <w:spacing w:val="0"/>
        <w:w w:val="100"/>
        <w:sz w:val="16"/>
        <w:szCs w:val="16"/>
        <w:lang w:val="en-US" w:eastAsia="en-US" w:bidi="ar-SA"/>
      </w:rPr>
    </w:lvl>
    <w:lvl w:ilvl="1" w:tplc="8342EE72">
      <w:start w:val="1"/>
      <w:numFmt w:val="decimal"/>
      <w:lvlText w:val="%2."/>
      <w:lvlJc w:val="left"/>
      <w:pPr>
        <w:ind w:left="597" w:hanging="161"/>
      </w:pPr>
      <w:rPr>
        <w:rFonts w:ascii="Times New Roman" w:eastAsia="Times New Roman" w:hAnsi="Times New Roman" w:cs="Times New Roman" w:hint="default"/>
        <w:b w:val="0"/>
        <w:bCs w:val="0"/>
        <w:i w:val="0"/>
        <w:iCs w:val="0"/>
        <w:spacing w:val="-2"/>
        <w:w w:val="100"/>
        <w:sz w:val="16"/>
        <w:szCs w:val="16"/>
        <w:lang w:val="en-US" w:eastAsia="en-US" w:bidi="ar-SA"/>
      </w:rPr>
    </w:lvl>
    <w:lvl w:ilvl="2" w:tplc="32D44B22">
      <w:numFmt w:val="bullet"/>
      <w:lvlText w:val="•"/>
      <w:lvlJc w:val="left"/>
      <w:pPr>
        <w:ind w:left="1690" w:hanging="161"/>
      </w:pPr>
      <w:rPr>
        <w:rFonts w:hint="default"/>
        <w:lang w:val="en-US" w:eastAsia="en-US" w:bidi="ar-SA"/>
      </w:rPr>
    </w:lvl>
    <w:lvl w:ilvl="3" w:tplc="E758CF74">
      <w:numFmt w:val="bullet"/>
      <w:lvlText w:val="•"/>
      <w:lvlJc w:val="left"/>
      <w:pPr>
        <w:ind w:left="2781" w:hanging="161"/>
      </w:pPr>
      <w:rPr>
        <w:rFonts w:hint="default"/>
        <w:lang w:val="en-US" w:eastAsia="en-US" w:bidi="ar-SA"/>
      </w:rPr>
    </w:lvl>
    <w:lvl w:ilvl="4" w:tplc="0BE471C6">
      <w:numFmt w:val="bullet"/>
      <w:lvlText w:val="•"/>
      <w:lvlJc w:val="left"/>
      <w:pPr>
        <w:ind w:left="3872" w:hanging="161"/>
      </w:pPr>
      <w:rPr>
        <w:rFonts w:hint="default"/>
        <w:lang w:val="en-US" w:eastAsia="en-US" w:bidi="ar-SA"/>
      </w:rPr>
    </w:lvl>
    <w:lvl w:ilvl="5" w:tplc="1D12C090">
      <w:numFmt w:val="bullet"/>
      <w:lvlText w:val="•"/>
      <w:lvlJc w:val="left"/>
      <w:pPr>
        <w:ind w:left="4963" w:hanging="161"/>
      </w:pPr>
      <w:rPr>
        <w:rFonts w:hint="default"/>
        <w:lang w:val="en-US" w:eastAsia="en-US" w:bidi="ar-SA"/>
      </w:rPr>
    </w:lvl>
    <w:lvl w:ilvl="6" w:tplc="EDE8993E">
      <w:numFmt w:val="bullet"/>
      <w:lvlText w:val="•"/>
      <w:lvlJc w:val="left"/>
      <w:pPr>
        <w:ind w:left="6054" w:hanging="161"/>
      </w:pPr>
      <w:rPr>
        <w:rFonts w:hint="default"/>
        <w:lang w:val="en-US" w:eastAsia="en-US" w:bidi="ar-SA"/>
      </w:rPr>
    </w:lvl>
    <w:lvl w:ilvl="7" w:tplc="8CA04E06">
      <w:numFmt w:val="bullet"/>
      <w:lvlText w:val="•"/>
      <w:lvlJc w:val="left"/>
      <w:pPr>
        <w:ind w:left="7145" w:hanging="161"/>
      </w:pPr>
      <w:rPr>
        <w:rFonts w:hint="default"/>
        <w:lang w:val="en-US" w:eastAsia="en-US" w:bidi="ar-SA"/>
      </w:rPr>
    </w:lvl>
    <w:lvl w:ilvl="8" w:tplc="AD80B646">
      <w:numFmt w:val="bullet"/>
      <w:lvlText w:val="•"/>
      <w:lvlJc w:val="left"/>
      <w:pPr>
        <w:ind w:left="8236" w:hanging="161"/>
      </w:pPr>
      <w:rPr>
        <w:rFonts w:hint="default"/>
        <w:lang w:val="en-US" w:eastAsia="en-US" w:bidi="ar-SA"/>
      </w:rPr>
    </w:lvl>
  </w:abstractNum>
  <w:abstractNum w:abstractNumId="29" w15:restartNumberingAfterBreak="0">
    <w:nsid w:val="7B5E0907"/>
    <w:multiLevelType w:val="hybridMultilevel"/>
    <w:tmpl w:val="F24E228C"/>
    <w:lvl w:ilvl="0" w:tplc="BFF469D6">
      <w:start w:val="4"/>
      <w:numFmt w:val="decimal"/>
      <w:lvlText w:val="%1"/>
      <w:lvlJc w:val="left"/>
      <w:pPr>
        <w:ind w:left="885" w:hanging="111"/>
        <w:jc w:val="right"/>
      </w:pPr>
      <w:rPr>
        <w:rFonts w:ascii="Times New Roman" w:eastAsia="Times New Roman" w:hAnsi="Times New Roman" w:cs="Times New Roman" w:hint="default"/>
        <w:b w:val="0"/>
        <w:bCs w:val="0"/>
        <w:i w:val="0"/>
        <w:iCs w:val="0"/>
        <w:spacing w:val="0"/>
        <w:w w:val="100"/>
        <w:sz w:val="16"/>
        <w:szCs w:val="16"/>
        <w:lang w:val="en-US" w:eastAsia="en-US" w:bidi="ar-SA"/>
      </w:rPr>
    </w:lvl>
    <w:lvl w:ilvl="1" w:tplc="CC545D8C">
      <w:numFmt w:val="bullet"/>
      <w:lvlText w:val="•"/>
      <w:lvlJc w:val="left"/>
      <w:pPr>
        <w:ind w:left="1833" w:hanging="111"/>
      </w:pPr>
      <w:rPr>
        <w:rFonts w:hint="default"/>
        <w:lang w:val="en-US" w:eastAsia="en-US" w:bidi="ar-SA"/>
      </w:rPr>
    </w:lvl>
    <w:lvl w:ilvl="2" w:tplc="4FB40F88">
      <w:numFmt w:val="bullet"/>
      <w:lvlText w:val="•"/>
      <w:lvlJc w:val="left"/>
      <w:pPr>
        <w:ind w:left="2787" w:hanging="111"/>
      </w:pPr>
      <w:rPr>
        <w:rFonts w:hint="default"/>
        <w:lang w:val="en-US" w:eastAsia="en-US" w:bidi="ar-SA"/>
      </w:rPr>
    </w:lvl>
    <w:lvl w:ilvl="3" w:tplc="47F6043E">
      <w:numFmt w:val="bullet"/>
      <w:lvlText w:val="•"/>
      <w:lvlJc w:val="left"/>
      <w:pPr>
        <w:ind w:left="3741" w:hanging="111"/>
      </w:pPr>
      <w:rPr>
        <w:rFonts w:hint="default"/>
        <w:lang w:val="en-US" w:eastAsia="en-US" w:bidi="ar-SA"/>
      </w:rPr>
    </w:lvl>
    <w:lvl w:ilvl="4" w:tplc="349A49C4">
      <w:numFmt w:val="bullet"/>
      <w:lvlText w:val="•"/>
      <w:lvlJc w:val="left"/>
      <w:pPr>
        <w:ind w:left="4695" w:hanging="111"/>
      </w:pPr>
      <w:rPr>
        <w:rFonts w:hint="default"/>
        <w:lang w:val="en-US" w:eastAsia="en-US" w:bidi="ar-SA"/>
      </w:rPr>
    </w:lvl>
    <w:lvl w:ilvl="5" w:tplc="325E9928">
      <w:numFmt w:val="bullet"/>
      <w:lvlText w:val="•"/>
      <w:lvlJc w:val="left"/>
      <w:pPr>
        <w:ind w:left="5649" w:hanging="111"/>
      </w:pPr>
      <w:rPr>
        <w:rFonts w:hint="default"/>
        <w:lang w:val="en-US" w:eastAsia="en-US" w:bidi="ar-SA"/>
      </w:rPr>
    </w:lvl>
    <w:lvl w:ilvl="6" w:tplc="FA7E7166">
      <w:numFmt w:val="bullet"/>
      <w:lvlText w:val="•"/>
      <w:lvlJc w:val="left"/>
      <w:pPr>
        <w:ind w:left="6602" w:hanging="111"/>
      </w:pPr>
      <w:rPr>
        <w:rFonts w:hint="default"/>
        <w:lang w:val="en-US" w:eastAsia="en-US" w:bidi="ar-SA"/>
      </w:rPr>
    </w:lvl>
    <w:lvl w:ilvl="7" w:tplc="CAA234A2">
      <w:numFmt w:val="bullet"/>
      <w:lvlText w:val="•"/>
      <w:lvlJc w:val="left"/>
      <w:pPr>
        <w:ind w:left="7556" w:hanging="111"/>
      </w:pPr>
      <w:rPr>
        <w:rFonts w:hint="default"/>
        <w:lang w:val="en-US" w:eastAsia="en-US" w:bidi="ar-SA"/>
      </w:rPr>
    </w:lvl>
    <w:lvl w:ilvl="8" w:tplc="B93CDCD4">
      <w:numFmt w:val="bullet"/>
      <w:lvlText w:val="•"/>
      <w:lvlJc w:val="left"/>
      <w:pPr>
        <w:ind w:left="8510" w:hanging="111"/>
      </w:pPr>
      <w:rPr>
        <w:rFonts w:hint="default"/>
        <w:lang w:val="en-US" w:eastAsia="en-US" w:bidi="ar-SA"/>
      </w:rPr>
    </w:lvl>
  </w:abstractNum>
  <w:abstractNum w:abstractNumId="30" w15:restartNumberingAfterBreak="0">
    <w:nsid w:val="7E0F5240"/>
    <w:multiLevelType w:val="hybridMultilevel"/>
    <w:tmpl w:val="6B3A26B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15:restartNumberingAfterBreak="0">
    <w:nsid w:val="7E8767EF"/>
    <w:multiLevelType w:val="hybridMultilevel"/>
    <w:tmpl w:val="53D20FEA"/>
    <w:lvl w:ilvl="0" w:tplc="E5F8ECE2">
      <w:start w:val="1"/>
      <w:numFmt w:val="lowerLetter"/>
      <w:lvlText w:val="%1."/>
      <w:lvlJc w:val="left"/>
      <w:pPr>
        <w:ind w:left="107" w:hanging="181"/>
      </w:pPr>
      <w:rPr>
        <w:rFonts w:ascii="Calibri" w:eastAsia="Times New Roman" w:hAnsi="Calibri" w:cs="Calibri" w:hint="default"/>
        <w:b w:val="0"/>
        <w:bCs w:val="0"/>
        <w:i w:val="0"/>
        <w:iCs w:val="0"/>
        <w:spacing w:val="0"/>
        <w:w w:val="100"/>
        <w:sz w:val="16"/>
        <w:szCs w:val="16"/>
        <w:lang w:val="en-US" w:eastAsia="en-US" w:bidi="ar-SA"/>
      </w:rPr>
    </w:lvl>
    <w:lvl w:ilvl="1" w:tplc="986CFCB6">
      <w:start w:val="1"/>
      <w:numFmt w:val="decimal"/>
      <w:lvlText w:val="%2."/>
      <w:lvlJc w:val="left"/>
      <w:pPr>
        <w:ind w:left="424" w:hanging="248"/>
      </w:pPr>
      <w:rPr>
        <w:rFonts w:ascii="Calibri" w:eastAsia="Times New Roman" w:hAnsi="Calibri" w:cs="Calibri" w:hint="default"/>
        <w:b w:val="0"/>
        <w:bCs w:val="0"/>
        <w:i w:val="0"/>
        <w:iCs w:val="0"/>
        <w:spacing w:val="0"/>
        <w:w w:val="100"/>
        <w:sz w:val="16"/>
        <w:szCs w:val="16"/>
        <w:lang w:val="en-US" w:eastAsia="en-US" w:bidi="ar-SA"/>
      </w:rPr>
    </w:lvl>
    <w:lvl w:ilvl="2" w:tplc="129E7C22">
      <w:numFmt w:val="bullet"/>
      <w:lvlText w:val="•"/>
      <w:lvlJc w:val="left"/>
      <w:pPr>
        <w:ind w:left="1499" w:hanging="248"/>
      </w:pPr>
      <w:rPr>
        <w:rFonts w:hint="default"/>
        <w:lang w:val="en-US" w:eastAsia="en-US" w:bidi="ar-SA"/>
      </w:rPr>
    </w:lvl>
    <w:lvl w:ilvl="3" w:tplc="83EEB24A">
      <w:numFmt w:val="bullet"/>
      <w:lvlText w:val="•"/>
      <w:lvlJc w:val="left"/>
      <w:pPr>
        <w:ind w:left="2579" w:hanging="248"/>
      </w:pPr>
      <w:rPr>
        <w:rFonts w:hint="default"/>
        <w:lang w:val="en-US" w:eastAsia="en-US" w:bidi="ar-SA"/>
      </w:rPr>
    </w:lvl>
    <w:lvl w:ilvl="4" w:tplc="425C584C">
      <w:numFmt w:val="bullet"/>
      <w:lvlText w:val="•"/>
      <w:lvlJc w:val="left"/>
      <w:pPr>
        <w:ind w:left="3659" w:hanging="248"/>
      </w:pPr>
      <w:rPr>
        <w:rFonts w:hint="default"/>
        <w:lang w:val="en-US" w:eastAsia="en-US" w:bidi="ar-SA"/>
      </w:rPr>
    </w:lvl>
    <w:lvl w:ilvl="5" w:tplc="D13A47FE">
      <w:numFmt w:val="bullet"/>
      <w:lvlText w:val="•"/>
      <w:lvlJc w:val="left"/>
      <w:pPr>
        <w:ind w:left="4739" w:hanging="248"/>
      </w:pPr>
      <w:rPr>
        <w:rFonts w:hint="default"/>
        <w:lang w:val="en-US" w:eastAsia="en-US" w:bidi="ar-SA"/>
      </w:rPr>
    </w:lvl>
    <w:lvl w:ilvl="6" w:tplc="6AC8F1A8">
      <w:numFmt w:val="bullet"/>
      <w:lvlText w:val="•"/>
      <w:lvlJc w:val="left"/>
      <w:pPr>
        <w:ind w:left="5819" w:hanging="248"/>
      </w:pPr>
      <w:rPr>
        <w:rFonts w:hint="default"/>
        <w:lang w:val="en-US" w:eastAsia="en-US" w:bidi="ar-SA"/>
      </w:rPr>
    </w:lvl>
    <w:lvl w:ilvl="7" w:tplc="457AC706">
      <w:numFmt w:val="bullet"/>
      <w:lvlText w:val="•"/>
      <w:lvlJc w:val="left"/>
      <w:pPr>
        <w:ind w:left="6899" w:hanging="248"/>
      </w:pPr>
      <w:rPr>
        <w:rFonts w:hint="default"/>
        <w:lang w:val="en-US" w:eastAsia="en-US" w:bidi="ar-SA"/>
      </w:rPr>
    </w:lvl>
    <w:lvl w:ilvl="8" w:tplc="E1367AD2">
      <w:numFmt w:val="bullet"/>
      <w:lvlText w:val="•"/>
      <w:lvlJc w:val="left"/>
      <w:pPr>
        <w:ind w:left="7979" w:hanging="248"/>
      </w:pPr>
      <w:rPr>
        <w:rFonts w:hint="default"/>
        <w:lang w:val="en-US" w:eastAsia="en-US" w:bidi="ar-SA"/>
      </w:rPr>
    </w:lvl>
  </w:abstractNum>
  <w:num w:numId="1" w16cid:durableId="1845705063">
    <w:abstractNumId w:val="26"/>
  </w:num>
  <w:num w:numId="2" w16cid:durableId="1663309820">
    <w:abstractNumId w:val="25"/>
  </w:num>
  <w:num w:numId="3" w16cid:durableId="564796859">
    <w:abstractNumId w:val="4"/>
  </w:num>
  <w:num w:numId="4" w16cid:durableId="1345861413">
    <w:abstractNumId w:val="9"/>
  </w:num>
  <w:num w:numId="5" w16cid:durableId="745420110">
    <w:abstractNumId w:val="5"/>
  </w:num>
  <w:num w:numId="6" w16cid:durableId="731121911">
    <w:abstractNumId w:val="18"/>
  </w:num>
  <w:num w:numId="7" w16cid:durableId="1546912533">
    <w:abstractNumId w:val="8"/>
  </w:num>
  <w:num w:numId="8" w16cid:durableId="924218988">
    <w:abstractNumId w:val="12"/>
  </w:num>
  <w:num w:numId="9" w16cid:durableId="705445323">
    <w:abstractNumId w:val="3"/>
  </w:num>
  <w:num w:numId="10" w16cid:durableId="1089043585">
    <w:abstractNumId w:val="31"/>
  </w:num>
  <w:num w:numId="11" w16cid:durableId="161120197">
    <w:abstractNumId w:val="1"/>
  </w:num>
  <w:num w:numId="12" w16cid:durableId="513766861">
    <w:abstractNumId w:val="23"/>
  </w:num>
  <w:num w:numId="13" w16cid:durableId="1910799734">
    <w:abstractNumId w:val="28"/>
  </w:num>
  <w:num w:numId="14" w16cid:durableId="1757314945">
    <w:abstractNumId w:val="17"/>
  </w:num>
  <w:num w:numId="15" w16cid:durableId="355427992">
    <w:abstractNumId w:val="6"/>
  </w:num>
  <w:num w:numId="16" w16cid:durableId="773088688">
    <w:abstractNumId w:val="29"/>
  </w:num>
  <w:num w:numId="17" w16cid:durableId="589891628">
    <w:abstractNumId w:val="15"/>
  </w:num>
  <w:num w:numId="18" w16cid:durableId="1080130796">
    <w:abstractNumId w:val="2"/>
  </w:num>
  <w:num w:numId="19" w16cid:durableId="706876093">
    <w:abstractNumId w:val="24"/>
  </w:num>
  <w:num w:numId="20" w16cid:durableId="1311324843">
    <w:abstractNumId w:val="13"/>
  </w:num>
  <w:num w:numId="21" w16cid:durableId="10424920">
    <w:abstractNumId w:val="27"/>
  </w:num>
  <w:num w:numId="22" w16cid:durableId="864638019">
    <w:abstractNumId w:val="20"/>
  </w:num>
  <w:num w:numId="23" w16cid:durableId="595098725">
    <w:abstractNumId w:val="30"/>
  </w:num>
  <w:num w:numId="24" w16cid:durableId="985166956">
    <w:abstractNumId w:val="7"/>
  </w:num>
  <w:num w:numId="25" w16cid:durableId="1517231076">
    <w:abstractNumId w:val="11"/>
  </w:num>
  <w:num w:numId="26" w16cid:durableId="1952197992">
    <w:abstractNumId w:val="0"/>
  </w:num>
  <w:num w:numId="27" w16cid:durableId="2131629366">
    <w:abstractNumId w:val="10"/>
  </w:num>
  <w:num w:numId="28" w16cid:durableId="540558685">
    <w:abstractNumId w:val="14"/>
  </w:num>
  <w:num w:numId="29" w16cid:durableId="1958247998">
    <w:abstractNumId w:val="19"/>
  </w:num>
  <w:num w:numId="30" w16cid:durableId="272176637">
    <w:abstractNumId w:val="16"/>
  </w:num>
  <w:num w:numId="31" w16cid:durableId="1049260685">
    <w:abstractNumId w:val="22"/>
  </w:num>
  <w:num w:numId="32" w16cid:durableId="10009346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mirrorMargins/>
  <w:activeWritingStyle w:appName="MSWord" w:lang="en-US" w:vendorID="8" w:dllVersion="513" w:checkStyle="1"/>
  <w:attachedTemplate r:id="rId1"/>
  <w:documentProtection w:edit="readOnly" w:enforcement="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osenDepartment" w:val="Chosen Department"/>
    <w:docVar w:name="ChosenSubDepartment" w:val="Chosen SubDepartment"/>
    <w:docVar w:name="CreationDate" w:val="4/18/99 11:13:16 PM"/>
    <w:docVar w:name="Dept(0)" w:val="Agriculture and Forestry, Department of%%%(none)@@@Department of Agriculture and Forestry"/>
    <w:docVar w:name="Dept(1)" w:val="Civil Service, Department of%%%(none)@@@Department of Civil Service"/>
    <w:docVar w:name="Dept(10)" w:val="Justice, Department of%%%(none)@@@Department of Justice"/>
    <w:docVar w:name="Dept(100)" w:val="State, Department of%%%Division of Archives, Records Management and History@@@Department of the State"/>
    <w:docVar w:name="Dept(101)" w:val="Division of Administration%%%Office of State Purchasing@@@Office of the Governor  Division of Administration"/>
    <w:docVar w:name="Dept(102)" w:val="Agriculture and Forestry, Department of%%%Office of the Commissioner@@@Department of Agriculture and Forestry"/>
    <w:docVar w:name="Dept(103)" w:val="Governor, Office of the%%%Board of Certified Public Accountants of Louisiana@@@Office of the Governor"/>
    <w:docVar w:name="Dept(104)" w:val="River Port Pilot Commissioners%%%Board of River Port Pilot Commissioners@@@Office of the Governor"/>
    <w:docVar w:name="Dept(105)" w:val="River Port Pilot Commissioners%%%Board of River Port Pilot Commissioners@@@Office of the Governor"/>
    <w:docVar w:name="Dept(106)" w:val="River Port Pilot Commissioners and Examiners%%%Board of River Port Pilot Commissioners@@@Office of the Governor"/>
    <w:docVar w:name="Dept(107)" w:val="Division of Administration%%%Office of State Travel@@@Office of the Governor  Division of Administration"/>
    <w:docVar w:name="Dept(108)" w:val="Bar Pilots%%%(none)@@@Board of River Port Pilot Commissioners"/>
    <w:docVar w:name="Dept(109)" w:val="Health and Hospitals, Department of%%%Board of Electrolysis Examiners@@@Department of Health and Hospitals"/>
    <w:docVar w:name="Dept(11)" w:val="Governor, Office of%%%Division of Administration@@@Office of the Governor"/>
    <w:docVar w:name="Dept(110)" w:val="Health and Hospitals, Department of%%%Board of Certified Social Work Examiners@@@Department of Health and Hospitals"/>
    <w:docVar w:name="Dept(111)" w:val="Health and Hospitals, Department of%%%Board of Pharmacy@@@Department of Health and Hospitals"/>
    <w:docVar w:name="Dept(112)" w:val="Environmental Quality, Department of%%%Office of Environmental Assessment    Environmental  Planning Division@@@Department of Environmental Quality"/>
    <w:docVar w:name="Dept(113)" w:val="Bar Pilots%%%Board of Examiners of Bar Pilots for the Port of New Orleans@@@Associated Branch Pilots"/>
    <w:docVar w:name="Dept(114)" w:val="Agriculture and Forestry, Department of%%%Office of Forestry@@@Department of Agriculture and Forestry"/>
    <w:docVar w:name="Dept(115)" w:val="LSU Health Sciences Center%%%Health Care Services Division@@@LSU Health Sciences Center"/>
    <w:docVar w:name="Dept(116)" w:val="Revenue, Department of%%%Office of Charitable Gaming@@@Department of Revenue"/>
    <w:docVar w:name="Dept(117)" w:val="Division of Administration%%%Racing Commission@@@Office of the Governor  Division of Administration"/>
    <w:docVar w:name="Dept(118)" w:val="Agriculture and Forestry, Department of%%%Horticulture Commission@@@Department of Agriculture and Forestry"/>
    <w:docVar w:name="Dept(119)" w:val="Health and Hospitals, Department of%%%Board of Examiners for Sanitarians@@@Department of Health and Hospitals"/>
    <w:docVar w:name="Dept(12)" w:val="Health and Hospitals, Department of%%%Board of Veterinary Medicine@@@Department of Health and Hospitals"/>
    <w:docVar w:name="Dept(120)" w:val="Health and Hospitals, Department of%%%Board of Dentistry@@@Department of Health and Hospitals"/>
    <w:docVar w:name="Dept(121)" w:val="Governor, Office of the%%%Commission on Law Enforcement and Administration of Criminal Justice@@@Office of the Governor"/>
    <w:docVar w:name="Dept(122)" w:val="Transportation and Development, Department of%%%Office of Weights and Measures@@@Department of Transportation and Development"/>
    <w:docVar w:name="Dept(123)" w:val="Governor, Office of the%%%Racing Commisison@@@Office of the Govenor  Division of Administration"/>
    <w:docVar w:name="Dept(124)" w:val="Treasury, Department of%%%Board of Trustees of the Louisiana State Employees' Retirement System@@@Department of Treasury"/>
    <w:docVar w:name="Dept(125)" w:val="Regents%%%Office of Student Financial Assistance@@@Board of Regents"/>
    <w:docVar w:name="Dept(126)" w:val="Workforce Commission%%%Office of Workers' Compensation@@@Workforce Commission"/>
    <w:docVar w:name="Dept(127)" w:val="Governor, Office of the%%%Boxing and Wrestling Commission@@@Office of the Governor"/>
    <w:docVar w:name="Dept(128)" w:val="Children and Family Services%%%Licensing Section@@@Department of Children and Family Services"/>
    <w:docVar w:name="Dept(129)" w:val="Governor, Office of the%%%Patient's Compensation Fund Oversight Board@@@Office of the Governor"/>
    <w:docVar w:name="Dept(13)" w:val="Agriculture and Forestry, Department of%%%Office of Animal Health Services@@@Department of Agriculture and Forestry"/>
    <w:docVar w:name="Dept(130)" w:val="State, Department of%%%(none)@@@Department of State"/>
    <w:docVar w:name="Dept(131)" w:val="Workforce Commission%%%Rehabilitation Services@@@Workforce Commission"/>
    <w:docVar w:name="Dept(132)" w:val="Children and Family Services%%%Economic Stability Section@@@Children and Family Services"/>
    <w:docVar w:name="Dept(133)" w:val="Health and Hospitals, Department of%%%Board of Optometry Examiners@@@Health and Hospitals, Department of"/>
    <w:docVar w:name="Dept(134)" w:val="Environmental Quality, Department of%%%Legal Affairs and Criminal Investigations Division@@@Department of Environmental Quality"/>
    <w:docVar w:name="Dept(135)" w:val="Health and Hospitals, Department of%%%(none)@@@Behavior Analyst Board"/>
    <w:docVar w:name="Dept(136)" w:val="Governor, Office of the%%%Office of Financial Institutions@@@Governor, Office of the"/>
    <w:docVar w:name="Dept(137)" w:val="Governor, Office of the%%%Division of Administration/Office of State Uniform Payroll@@@Governor, Office of the"/>
    <w:docVar w:name="Dept(138)" w:val="Culture and Recreation, Department of%%%Office of State Parks@@@Culture and Recreation, Department of"/>
    <w:docVar w:name="Dept(139)" w:val="Health and Hospitals, Department of%%%Health Standards Section@@@Health and Hospitals, Department of"/>
    <w:docVar w:name="Dept(14)" w:val="Natural Resources, Department of%%%Office of Conservation@@@Department of Natural Resources"/>
    <w:docVar w:name="Dept(140)" w:val="Governor, Office of the%%%Capital Area Groundwater Conservation Commission@@@Governor, Office of the"/>
    <w:docVar w:name="Dept(141)" w:val="Department of Public Safety and Corrections %%%State Police/Emergency Services Unit@@@Department of Public Safety and Corrections "/>
    <w:docVar w:name="Dept(142)" w:val="Agriculture and Forestry, Department of%%%Office of Animal Health and Food Safety@@@Agriculture and Forestry, Department of"/>
    <w:docVar w:name="Dept(143)" w:val="Department of Health%%%Board of Medical Examiners@@@Department of Health"/>
    <w:docVar w:name="Dept(144)" w:val="Agriculture and Forestry, Department of%%%Board of Veterinary Medicine@@@Agriculture and Forestry, Department of"/>
    <w:docVar w:name="Dept(145)" w:val="Children and Family Services%%%Family Support/Economic Stability@@@Children and Family Services"/>
    <w:docVar w:name="Dept(146)" w:val="Governor, Office of the%%%Division of Administration Tax Commission@@@Governor, Office of the"/>
    <w:docVar w:name="Dept(147)" w:val="Coastal Protection and Restoration Authority%%%(none)@@@Coastal Protection and Restoration Authority"/>
    <w:docVar w:name="Dept(148)" w:val="Revenue, Department of%%%Tax Policy and Planning Division@@@Revenue, Department of"/>
    <w:docVar w:name="Dept(149)" w:val="Department of Revenue%%%(none)@@@Department of Revenue"/>
    <w:docVar w:name="Dept(15)" w:val="Civil Service, Department of%%%Board of Ethics@@@Department of Civil Service"/>
    <w:docVar w:name="Dept(150)" w:val="Department of Public Safety and Corrections %%%Louisiana State Police/Emergency Services Unit@@@Department of Public Safety and Corrections "/>
    <w:docVar w:name="Dept(151)" w:val="Department of Public Safety and Corrections %%%Office of State Police@@@Department of Public Safety and Corrections "/>
    <w:docVar w:name="Dept(152)" w:val="Department of Health%%%Board of Pharmacy@@@Department of Health"/>
    <w:docVar w:name="Dept(153)" w:val="Transportation and Development, Department of%%%Professional Engineering and Land Surveying Board@@@Transportation and Development, Department of"/>
    <w:docVar w:name="Dept(154)" w:val="Department of Health%%%Board of Examiners of Psychologists@@@Department of Health"/>
    <w:docVar w:name="Dept(155)" w:val="Department of Health%%%Bureau of Health Services Financing@@@Department of Health"/>
    <w:docVar w:name="Dept(156)" w:val="Governor, Office of the%%%Division of Administration/Office of Broadband Development and Connectivity@@@Governor, Office of the"/>
    <w:docVar w:name="Dept(157)" w:val="Children and Family Services%%%Child Welfare@@@Children and Family Services"/>
    <w:docVar w:name="Dept(158)" w:val="Department of Health%%%Licensed Professional Counselors Board of Examiners@@@Department of Health"/>
    <w:docVar w:name="Dept(159)" w:val="Department of Energy and Natural Resources%%%Office of Conservation@@@Department of Energy and Natural Resources"/>
    <w:docVar w:name="Dept(16)" w:val="Economic Development, Department of%%%Board of Architectural Examiners@@@Department of Economic Development"/>
    <w:docVar w:name="Dept(160)" w:val="Department of Education%%%Special School District Board@@@Department of Education"/>
    <w:docVar w:name="Dept(161)" w:val="Justice, Department of%%%(none)@@@LADOJ"/>
    <w:docVar w:name="Dept(162)" w:val="Justice, Department of%%%LADOJ@@@Justice, Department of"/>
    <w:docVar w:name="Dept(163)" w:val="Governor, Office of the%%%Board of Home Inspectors@@@Governor, Office of the"/>
    <w:docVar w:name="Dept(164)" w:val="Department of Health%%%Board of Social Work Examiners@@@Department of Health"/>
    <w:docVar w:name="Dept(165)" w:val="Department of Health%%%Office of Public Health@@@Department of Health"/>
    <w:docVar w:name="Dept(166)" w:val="Department of Health%%%(none)@@@Health Standards Section"/>
    <w:docVar w:name="Dept(167)" w:val="Department of Health%%%Health Standards Section@@@Department of Health"/>
    <w:docVar w:name="Dept(168)" w:val="Department of Health%%%Radiologic Technology Board of Examiners@@@Department of Health"/>
    <w:docVar w:name="Dept(169)" w:val="Insurance, Department of%%%Office of Health, Life, and Annuity@@@Insurance, Department of"/>
    <w:docVar w:name="Dept(17)" w:val="Education, Department of%%%Office of Secretary@@@Department of Education"/>
    <w:docVar w:name="Dept(170)" w:val="Division of Administration%%%Office of Broadband Development and Connectivity@@@Division of Administration"/>
    <w:docVar w:name="Dept(171)" w:val="Department of Revenue%%%Tax Policy and Planning Division@@@Department of Revenue"/>
    <w:docVar w:name="Dept(172)" w:val="Office of the Governor%%%Division of Administration, Racing Commission@@@Office of the Governor"/>
    <w:docVar w:name="Dept(173)" w:val="Workforce Commission%%%Office of Workers' Compensation Administration@@@Workforce Commission"/>
    <w:docVar w:name="Dept(174)" w:val="Louisiana Works%%%Office of the Secretary@@@Louisiana Works"/>
    <w:docVar w:name="Dept(175)" w:val="Louisiana Works%%%Office of Unemployment Insurance Administration@@@Louisiana Works"/>
    <w:docVar w:name="Dept(176)" w:val="Governor, Office of the%%%Uniform Construction Code Council@@@Governor, Office of the"/>
    <w:docVar w:name="Dept(177)" w:val="Transportation and Development, Department of%%%Office of the Secretary@@@Transportation and Development, Department of"/>
    <w:docVar w:name="Dept(178)" w:val="Department of Conservation and Energy%%%Office of Conservation@@@Department of Conservation and Energy"/>
    <w:docVar w:name="Dept(179)" w:val="Department of Conservation and Energy%%%Office of Permitting and Compliance@@@Department of Conservation and Energy"/>
    <w:docVar w:name="Dept(18)" w:val="Student Financial Assistance Commission%%%Office of Student Financial Assistance@@@Student Financial Assistance Commission"/>
    <w:docVar w:name="Dept(180)" w:val="Division of Administration%%%(none)@@@Office of Facility Planning and Control"/>
    <w:docVar w:name="Dept(181)" w:val="Division of Administration%%%Office of Facility Planning and Control@@@Division of Administration"/>
    <w:docVar w:name="Dept(182)" w:val="Governor, Office of the%%%Division of Administration Racing Division@@@Governor, Office of the"/>
    <w:docVar w:name="Dept(183)" w:val="Louisiana Works%%%Office of Workers' Compensation Administration@@@Louisiana Works"/>
    <w:docVar w:name="Dept(184)" w:val="Department of Conservation and Energy%%%Office of Enforcement@@@Department of Conservation and Energy"/>
    <w:docVar w:name="Dept(185)" w:val="Department of State Civil Service%%%Division of Administrative Law@@@Department of State Civil Service"/>
    <w:docVar w:name="Dept(186)" w:val="Department of Conservation and Energy%%%Office of Enforcement@@@Department of Conservation and Energy"/>
    <w:docVar w:name="Dept(187)" w:val="Governor, Office of the%%%State Board of Examiners of Interior Designers@@@Governor, Office of the"/>
    <w:docVar w:name="Dept(188)" w:val="Louisiana Works%%%Louisiana Rehabilitation Services@@@Louisiana Works"/>
    <w:docVar w:name="Dept(189)" w:val="Governor, Office of the%%%Auctioneers Licensing Board@@@Governor, Office of the"/>
    <w:docVar w:name="Dept(19)" w:val="Culture and Recreation, Department of%%%New Office of Something@@@Department of Culture and Recreation"/>
    <w:docVar w:name="Dept(190)" w:val="Department of Public Safety and Corrections %%%Office of State Fire Marshal@@@Department of Public Safety and Corrections "/>
    <w:docVar w:name="Dept(191)" w:val="zzzblank"/>
    <w:docVar w:name="Dept(192)" w:val="zzzblank"/>
    <w:docVar w:name="Dept(193)" w:val="zzzblank"/>
    <w:docVar w:name="Dept(194)" w:val="zzzblank"/>
    <w:docVar w:name="Dept(195)" w:val="zzzblank"/>
    <w:docVar w:name="Dept(196)" w:val="zzzblank"/>
    <w:docVar w:name="Dept(197)" w:val="zzzblank"/>
    <w:docVar w:name="Dept(198)" w:val="zzzblank"/>
    <w:docVar w:name="Dept(199)" w:val="zzzblank"/>
    <w:docVar w:name="Dept(2)" w:val="Culture and Recreation, Department of%%%(none)@@@Department of Culture and Recreation"/>
    <w:docVar w:name="Dept(20)" w:val="Education, Department of%%%Board of Elementary and Secondary Education@@@Department of Education"/>
    <w:docVar w:name="Dept(200)" w:val="zzzblank"/>
    <w:docVar w:name="Dept(201)" w:val="zzzblank"/>
    <w:docVar w:name="Dept(202)" w:val="zzzblank"/>
    <w:docVar w:name="Dept(203)" w:val="zzzblank"/>
    <w:docVar w:name="Dept(204)" w:val="zzzblank"/>
    <w:docVar w:name="Dept(205)" w:val="zzzblank"/>
    <w:docVar w:name="Dept(206)" w:val="zzzblank"/>
    <w:docVar w:name="Dept(207)" w:val="zzzblank"/>
    <w:docVar w:name="Dept(208)" w:val="zzzblank"/>
    <w:docVar w:name="Dept(209)" w:val="zzzblank"/>
    <w:docVar w:name="Dept(21)" w:val="Revenue, Department of%%%Corporation Income and Franchise Taxes Division@@@Department of Revenue"/>
    <w:docVar w:name="Dept(210)" w:val="zzzblank"/>
    <w:docVar w:name="Dept(211)" w:val="zzzblank"/>
    <w:docVar w:name="Dept(212)" w:val="zzzblank"/>
    <w:docVar w:name="Dept(213)" w:val="zzzblank"/>
    <w:docVar w:name="Dept(214)" w:val="zzzblank"/>
    <w:docVar w:name="Dept(215)" w:val="zzzblank"/>
    <w:docVar w:name="Dept(216)" w:val="zzzblank"/>
    <w:docVar w:name="Dept(217)" w:val="zzzblank"/>
    <w:docVar w:name="Dept(218)" w:val="zzzblank"/>
    <w:docVar w:name="Dept(219)" w:val="zzzblank"/>
    <w:docVar w:name="Dept(22)" w:val="Civil Service, Department of%%%Civil Service Commission@@@Department of Civil Service"/>
    <w:docVar w:name="Dept(220)" w:val="zzzblank"/>
    <w:docVar w:name="Dept(221)" w:val="zzzblank"/>
    <w:docVar w:name="Dept(222)" w:val="zzzblank"/>
    <w:docVar w:name="Dept(223)" w:val="zzzblank"/>
    <w:docVar w:name="Dept(224)" w:val="zzzblank"/>
    <w:docVar w:name="Dept(225)" w:val="zzzblank"/>
    <w:docVar w:name="Dept(226)" w:val="zzzblank"/>
    <w:docVar w:name="Dept(227)" w:val="zzzblank"/>
    <w:docVar w:name="Dept(228)" w:val="zzzblank"/>
    <w:docVar w:name="Dept(229)" w:val="zzzblank"/>
    <w:docVar w:name="Dept(23)" w:val="Economic Development, Department of%%%Racing Commission@@@Department of Economic Development"/>
    <w:docVar w:name="Dept(230)" w:val="zzzblank"/>
    <w:docVar w:name="Dept(231)" w:val="zzzblank"/>
    <w:docVar w:name="Dept(232)" w:val="zzzblank"/>
    <w:docVar w:name="Dept(233)" w:val="zzzblank"/>
    <w:docVar w:name="Dept(234)" w:val="zzzblank"/>
    <w:docVar w:name="Dept(235)" w:val="zzzblank"/>
    <w:docVar w:name="Dept(236)" w:val="zzzblank"/>
    <w:docVar w:name="Dept(237)" w:val="zzzblank"/>
    <w:docVar w:name="Dept(238)" w:val="zzzblank"/>
    <w:docVar w:name="Dept(239)" w:val="zzzblank"/>
    <w:docVar w:name="Dept(24)" w:val="Agriculture and Forestry, Department of%%%Office of Agriculture and Environmental Sciences@@@Department of Agriculture and Environmental Sciences"/>
    <w:docVar w:name="Dept(240)" w:val="zzzblank"/>
    <w:docVar w:name="Dept(241)" w:val="zzzblank"/>
    <w:docVar w:name="Dept(242)" w:val="zzzblank"/>
    <w:docVar w:name="Dept(243)" w:val="zzzblank"/>
    <w:docVar w:name="Dept(244)" w:val="zzzblank"/>
    <w:docVar w:name="Dept(245)" w:val="zzzblank"/>
    <w:docVar w:name="Dept(246)" w:val="zzzblank"/>
    <w:docVar w:name="Dept(247)" w:val="zzzblank"/>
    <w:docVar w:name="Dept(248)" w:val="zzzblank"/>
    <w:docVar w:name="Dept(249)" w:val="zzzblank"/>
    <w:docVar w:name="Dept(25)" w:val="Agriculture and Forestry, Department of%%%Structural Pest Control Commission@@@Department of Agriculture and Forestry"/>
    <w:docVar w:name="Dept(250)" w:val="zzzblank"/>
    <w:docVar w:name="Dept(251)" w:val="zzzblank"/>
    <w:docVar w:name="Dept(252)" w:val="zzzblank"/>
    <w:docVar w:name="Dept(253)" w:val="zzzblank"/>
    <w:docVar w:name="Dept(254)" w:val="zzzblank"/>
    <w:docVar w:name="Dept(255)" w:val="zzzblank"/>
    <w:docVar w:name="Dept(256)" w:val="zzzblank"/>
    <w:docVar w:name="Dept(257)" w:val="zzzblank"/>
    <w:docVar w:name="Dept(258)" w:val="zzzblank"/>
    <w:docVar w:name="Dept(259)" w:val="zzzblank"/>
    <w:docVar w:name="Dept(26)" w:val="Environmental Quality, Department of%%%Office of Waste Services Hazardous Waste Division@@@Department of Environmental Quality"/>
    <w:docVar w:name="Dept(260)" w:val="zzzblank"/>
    <w:docVar w:name="Dept(261)" w:val="zzzblank"/>
    <w:docVar w:name="Dept(262)" w:val="zzzblank"/>
    <w:docVar w:name="Dept(263)" w:val="zzzblank"/>
    <w:docVar w:name="Dept(264)" w:val="zzzblank"/>
    <w:docVar w:name="Dept(265)" w:val="zzzblank"/>
    <w:docVar w:name="Dept(266)" w:val="zzzblank"/>
    <w:docVar w:name="Dept(267)" w:val="zzzblank"/>
    <w:docVar w:name="Dept(268)" w:val="zzzblank"/>
    <w:docVar w:name="Dept(269)" w:val="zzzblank"/>
    <w:docVar w:name="Dept(27)" w:val="Public Safety, Office of%%%Gaming Control Board@@@Office of Public Safety"/>
    <w:docVar w:name="Dept(270)" w:val="zzzblank"/>
    <w:docVar w:name="Dept(271)" w:val="zzzblank"/>
    <w:docVar w:name="Dept(272)" w:val="zzzblank"/>
    <w:docVar w:name="Dept(273)" w:val="zzzblank"/>
    <w:docVar w:name="Dept(274)" w:val="zzzblank"/>
    <w:docVar w:name="Dept(275)" w:val="zzzblank"/>
    <w:docVar w:name="Dept(276)" w:val="zzzblank"/>
    <w:docVar w:name="Dept(277)" w:val="zzzblank"/>
    <w:docVar w:name="Dept(278)" w:val="zzzblank"/>
    <w:docVar w:name="Dept(279)" w:val="zzzblank"/>
    <w:docVar w:name="Dept(28)" w:val="Labor, Department of%%%Office of Workers' Compensation@@@Department of Labor"/>
    <w:docVar w:name="Dept(280)" w:val="zzzblank"/>
    <w:docVar w:name="Dept(281)" w:val="zzzblank"/>
    <w:docVar w:name="Dept(282)" w:val="zzzblank"/>
    <w:docVar w:name="Dept(283)" w:val="zzzblank"/>
    <w:docVar w:name="Dept(284)" w:val="zzzblank"/>
    <w:docVar w:name="Dept(285)" w:val="zzzblank"/>
    <w:docVar w:name="Dept(286)" w:val="zzzblank"/>
    <w:docVar w:name="Dept(287)" w:val="zzzblank"/>
    <w:docVar w:name="Dept(288)" w:val="zzzblank"/>
    <w:docVar w:name="Dept(289)" w:val="zzzblank"/>
    <w:docVar w:name="Dept(29)" w:val="Insurance, Department of%%%Office of the Commissioner@@@Department of Insurance"/>
    <w:docVar w:name="Dept(290)" w:val="zzzblank"/>
    <w:docVar w:name="Dept(291)" w:val="zzzblank"/>
    <w:docVar w:name="Dept(292)" w:val="zzzblank"/>
    <w:docVar w:name="Dept(293)" w:val="zzzblank"/>
    <w:docVar w:name="Dept(294)" w:val="zzzblank"/>
    <w:docVar w:name="Dept(295)" w:val="zzzblank"/>
    <w:docVar w:name="Dept(296)" w:val="zzzblank"/>
    <w:docVar w:name="Dept(297)" w:val="zzzblank"/>
    <w:docVar w:name="Dept(298)" w:val="zzzblank"/>
    <w:docVar w:name="Dept(299)" w:val="zzzblank"/>
    <w:docVar w:name="Dept(3)" w:val="Economic Development, Department of%%%(none)@@@Department of Economic Development"/>
    <w:docVar w:name="Dept(30)" w:val="Social Services, Department of%%%Office of Family Support@@@Department of Social Services"/>
    <w:docVar w:name="Dept(300)" w:val="zzzblank"/>
    <w:docVar w:name="Dept(31)" w:val="Transportation and Development, Office of%%%Office of the Secretary@@@Department of Transportation and Development"/>
    <w:docVar w:name="Dept(32)" w:val="Treasury, Department of%%%Teachers' Retirement System@@@Department of Treasury"/>
    <w:docVar w:name="Dept(33)" w:val="Senate Committe on Health and Welfare%%%(none)@@@Senate Committe on Health and Welfare"/>
    <w:docVar w:name="Dept(34)" w:val="Wildlife and Fisheries, Department of%%%Wildlife and Fisheries Commission@@@Department of Wildlife and Fisheries"/>
    <w:docVar w:name="Dept(35)" w:val="Public Safety, Office of%%%Department of Public Safety and Corrections  Corrections Services@@@Office of Public Safety"/>
    <w:docVar w:name="Dept(36)" w:val="Governor, Office of the%%%Oil Spill Coordinator's Office@@@Office of the Governor"/>
    <w:docVar w:name="Dept(37)" w:val="Economic Development%%%Office Financial Institutions@@@Economic Development"/>
    <w:docVar w:name="Dept(38)" w:val="Economic Development, Department of%%%Office of the Secretary@@@Department of Economic Development"/>
    <w:docVar w:name="Dept(39)" w:val="Environmental Quality, Department of%%%Office of Environmental Assessment@@@Department of Environmental Quality"/>
    <w:docVar w:name="Dept(4)" w:val="Education, Department of%%%(none)@@@Department of Education"/>
    <w:docVar w:name="Dept(40)" w:val="Governor, Office of the%%%Office of Veterans Affairs@@@Office of the Governor"/>
    <w:docVar w:name="Dept(41)" w:val="Public Safety, Department  of%%%Office of State Police@@@Department of Public Safety"/>
    <w:docVar w:name="Dept(42)" w:val="BESE%%%(none)@@@Board of Elementary and Secondary Education"/>
    <w:docVar w:name="Dept(43)" w:val="Public Safety, Department  of%%%Corrections Services@@@Department of Public Safety and Corrections"/>
    <w:docVar w:name="Dept(44)" w:val="Public Safety, Department  of%%%Gaming Control Board@@@Department of Public Safety and Corrections"/>
    <w:docVar w:name="Dept(45)" w:val="Natural Resources, Department of%%%Office of Mineral Resources@@@Department of Natural Resources"/>
    <w:docVar w:name="Dept(46)" w:val="Governor, Office of the%%%Board of the Trustees of the State Employees Group Benefits Program@@@Office of the Governor"/>
    <w:docVar w:name="Dept(47)" w:val="Labor, Department of%%%Board of Barber Examiners@@@Department of Labor"/>
    <w:docVar w:name="Dept(48)" w:val="Governor, Office of the%%%Division of Administration    Office of Facility Planning And Control@@@Office of the Governor"/>
    <w:docVar w:name="Dept(49)" w:val="Economic Development%%%Racing Commission@@@Department of Economic Development"/>
    <w:docVar w:name="Dept(5)" w:val="Elections and Registration, Department of%%%(none)@@@Department of Elections and Registration"/>
    <w:docVar w:name="Dept(50)" w:val="LOSFA%%%Office of Student Finanical Assistance@@@Student Financial Assistance Commission"/>
    <w:docVar w:name="Dept(51)" w:val="Transportation and Development, Office of%%%Office-Premise Changeable Message Signs@@@Department of Transportation and Development"/>
    <w:docVar w:name="Dept(52)" w:val="Health and Hospitals, Department of%%%Board of Examiners for Speech-Language Pathology and Audiology@@@Department of Health and Hospitals"/>
    <w:docVar w:name="Dept(53)" w:val="Bar Pilots%%%(none)@@@Board of Examiners of Bar Pilots for the Port of New Orleans"/>
    <w:docVar w:name="Dept(54)" w:val="Division of Administrative Law%%%(none)@@@Division of Administrative Law"/>
    <w:docVar w:name="Dept(55)" w:val="Transportation and Development, Office of%%%Cresent City Connection Division@@@Office of Transportation and Development  Office of the Secretary"/>
    <w:docVar w:name="Dept(56)" w:val="Tuition Trust Authority%%%Office of Student Financial Assistance@@@Tuition Trust Authority"/>
    <w:docVar w:name="Dept(57)" w:val="Health and Hospitals, Department of%%%Licensed Professional Vocational Rehabilitation Counselors Board of Examiners@@@Department of Health and Hospitals"/>
    <w:docVar w:name="Dept(58)" w:val="Health and Hospitals, Department of%%%Office of Public Health@@@Department of Health and Hospitals"/>
    <w:docVar w:name="Dept(59)" w:val="Public Safety, Department  of%%%Office of the State Fire Marshal@@@Department of Public Safety and Corrections"/>
    <w:docVar w:name="Dept(6)" w:val="Environmental Quality, Department of%%%(none)@@@Department of Environmental Quality"/>
    <w:docVar w:name="Dept(60)" w:val="Health and Hospitals, Department of%%%Board of Certification for Substance Abuse Counselors@@@Department of Health and Hospitals"/>
    <w:docVar w:name="Dept(61)" w:val="Health and Hospitals, Department of%%%Bureau of  Health Services Financing@@@Department of Health and Hospitals"/>
    <w:docVar w:name="Dept(62)" w:val="Governor, Office of the%%%Office of Women's Services@@@Office of the Governor"/>
    <w:docVar w:name="Dept(63)" w:val="Committee on Administration of Criminal Justice%%%Committee on Administration of Criminal Justice @@@House of Representatives"/>
    <w:docVar w:name="Dept(64)" w:val="Division of Administration%%%Office of State Uniform Payroll@@@Office of the Governor Division of Administration"/>
    <w:docVar w:name="Dept(65)" w:val="LOSFA%%%Tuition Trust Authority@@@Office of Student Financial Assistance"/>
    <w:docVar w:name="Dept(66)" w:val="State Legislature%%%2001 Regular Session@@@State Legislature  "/>
    <w:docVar w:name="Dept(67)" w:val="Division of Administration%%%Office of Group Benefits@@@Division of Administration"/>
    <w:docVar w:name="Dept(68)" w:val="Governor, Office of the%%%Office of Group Benefits@@@Office of the Governor, Division of Administration"/>
    <w:docVar w:name="Dept(69)" w:val="Revenue, Department of%%%Policy Services Division@@@Department of Revenue"/>
    <w:docVar w:name="Dept(7)" w:val="Governor, Office of the%%%(none)@@@Office of the Governor"/>
    <w:docVar w:name="Dept(70)" w:val="Revenue, Department of%%%Office of Alcohol and Tobacco Control@@@Department of Revenue"/>
    <w:docVar w:name="Dept(71)" w:val="River Port Pilot Commissioners and Examiners%%%Calcasieu River Waterway@@@Board of River Port Pilot Commissioners and Examiners"/>
    <w:docVar w:name="Dept(72)" w:val="Treasury, Department of%%%Deferred Compensation Commission@@@Department of Treasury"/>
    <w:docVar w:name="Dept(73)" w:val="Governor, Office of the%%%Office of Indian Affairs@@@Office of the Governor"/>
    <w:docVar w:name="Dept(74)" w:val="Health and Hospitals, Department of%%%Office of the Secretary@@@Department of Health and Hospitals"/>
    <w:docVar w:name="Dept(75)" w:val="Health and Hospitals, Department of%%%Board of Nursing@@@Department of Health and Hospitals"/>
    <w:docVar w:name="Dept(76)" w:val="Subcommittee on Oversight of the House Committee on Commerce%%%(none)@@@Subcommittee on Oversight of the House Committee on Commerce"/>
    <w:docVar w:name="Dept(77)" w:val="Governor, Office of the%%%Division of Administration  Office of Statewide Reporting Accounting Policy@@@Office of the Governor"/>
    <w:docVar w:name="Dept(78)" w:val="Environmental Quality, Department of%%%Office of the Secretary@@@Department of Environmental Quality"/>
    <w:docVar w:name="Dept(79)" w:val="Insurance, Department of%%%Property and Casualty Division@@@Department of Insurance"/>
    <w:docVar w:name="Dept(8)" w:val="Health and Hospitals, Department of%%%(none)@@@Department of Health and Hospitals"/>
    <w:docVar w:name="Dept(80)" w:val="Agriculture and Forestry, Department of%%%Office of Agro Consumer Services@@@Department of Agriculture and Forestry"/>
    <w:docVar w:name="Dept(81)" w:val="Health and Hospitals, Department of%%%Office of the Secretary  Bureau of Community Supports and Services@@@Department of Health and Hospitals"/>
    <w:docVar w:name="Dept(82)" w:val="Economic Development%%%Office of Business Development@@@Department of Economic Development"/>
    <w:docVar w:name="Dept(83)" w:val="Economic Development%%%Business Retention and Assistance Services@@@Department of Economic Development"/>
    <w:docVar w:name="Dept(84)" w:val="Governor's Letter to House Committee on Administration of Criminal Justice%%%Committee Chairman@@@Governor's Letter to House Committee on Administration of Criminal Justice"/>
    <w:docVar w:name="Dept(85)" w:val="House of Representatives%%%Committee on Health and Welfare@@@House of Representatives"/>
    <w:docVar w:name="Dept(86)" w:val="Health and Hospitals, Department of%%%Board of Examiners for Licensed Professional Counselors@@@Department of Health and Hospitals"/>
    <w:docVar w:name="Dept(87)" w:val="Wildlife and Fisheries, Department of%%%Office of Fisheries@@@Depart of Wildlife and Fisheries"/>
    <w:docVar w:name="Dept(88)" w:val="Governor, Office of the%%%Board of Architectural Examiners@@@Office of the Governor"/>
    <w:docVar w:name="Dept(89)" w:val="Social Services, Department of%%%Vocational Rehabilitation Services@@@Department of Social Services"/>
    <w:docVar w:name="Dept(9)" w:val="Insurance, Department of%%%(none)@@@Department of Insurance"/>
    <w:docVar w:name="Dept(90)" w:val="Health and Hospitals, Department of%%%Board of Practical Nurse Examiners@@@Department of Health and Hospitals"/>
    <w:docVar w:name="Dept(91)" w:val="Division of Administration%%%Board of Cosmetology@@@Office of the Governor  Division of Administration"/>
    <w:docVar w:name="Dept(92)" w:val="Governor, Office of the%%%Used Motor Vehicle and Parts Commission@@@Office of the Governor"/>
    <w:docVar w:name="Dept(93)" w:val="Revenue, Department of%%%Tax Commission@@@Department of Revenue"/>
    <w:docVar w:name="Dept(94)" w:val="Transportation and Development, Department of%%%Office of Purchasing@@@Department of Transportation and Development"/>
    <w:docVar w:name="Dept(95)" w:val="Governor, Office of the%%%Division of Administration  Office of the Commissioner@@@Office of the Governor"/>
    <w:docVar w:name="Dept(96)" w:val="Social Services, Department of%%%Office of Community Services@@@Department of Social Services"/>
    <w:docVar w:name="Dept(97)" w:val="Health and Hospitals, Department of%%%Board of Medical Examiners@@@Department of Health and Hospitals"/>
    <w:docVar w:name="Dept(98)" w:val="Treasury, Department of%%%Office of the Treasurer@@@Department of Treasury"/>
    <w:docVar w:name="Dept(99)" w:val="Governor, Office of the%%%Division of Administration  Office of State Purchasing@@@Office of the Governor"/>
    <w:docVar w:name="DocTitle" w:val="Flags at Half-Staff—J. Stanley “Skip” Bertman "/>
    <w:docVar w:name="DocType" w:val="Template"/>
    <w:docVar w:name="ExoSeq" w:val="xx"/>
    <w:docVar w:name="FootnotesPresent" w:val="False"/>
    <w:docVar w:name="GovernorName" w:val="Jeff Landry"/>
    <w:docVar w:name="GovInitials" w:val="JML"/>
    <w:docVar w:name="LogInMonth" w:val="09"/>
    <w:docVar w:name="LogInSeq" w:val="xx"/>
    <w:docVar w:name="LogInYear" w:val="26"/>
    <w:docVar w:name="PubDate" w:val="September 20, 2026"/>
    <w:docVar w:name="RegNumber" w:val="9"/>
    <w:docVar w:name="RegVolume" w:val="52"/>
    <w:docVar w:name="SecOfStateName" w:val="Nancy Landry"/>
    <w:docVar w:name="StartPageNumber" w:val="1466"/>
    <w:docVar w:name="UserInitials" w:val="FH"/>
  </w:docVars>
  <w:rsids>
    <w:rsidRoot w:val="00E61A9D"/>
    <w:rsid w:val="00004CF8"/>
    <w:rsid w:val="000062B1"/>
    <w:rsid w:val="0001034C"/>
    <w:rsid w:val="00012018"/>
    <w:rsid w:val="00020089"/>
    <w:rsid w:val="00021232"/>
    <w:rsid w:val="00025E22"/>
    <w:rsid w:val="00027626"/>
    <w:rsid w:val="000341A6"/>
    <w:rsid w:val="00034A59"/>
    <w:rsid w:val="00037FE6"/>
    <w:rsid w:val="0004017D"/>
    <w:rsid w:val="00042686"/>
    <w:rsid w:val="00043219"/>
    <w:rsid w:val="00043DBD"/>
    <w:rsid w:val="000450BF"/>
    <w:rsid w:val="0004516E"/>
    <w:rsid w:val="00054C5E"/>
    <w:rsid w:val="00063D86"/>
    <w:rsid w:val="00065397"/>
    <w:rsid w:val="00071533"/>
    <w:rsid w:val="000721BE"/>
    <w:rsid w:val="00090ACE"/>
    <w:rsid w:val="000A3ACC"/>
    <w:rsid w:val="000A3CED"/>
    <w:rsid w:val="000B0F05"/>
    <w:rsid w:val="000B1E1B"/>
    <w:rsid w:val="000B23E4"/>
    <w:rsid w:val="000B3BFA"/>
    <w:rsid w:val="000B71E7"/>
    <w:rsid w:val="000C0944"/>
    <w:rsid w:val="000C3A02"/>
    <w:rsid w:val="000D04F7"/>
    <w:rsid w:val="000D0E94"/>
    <w:rsid w:val="000D10A3"/>
    <w:rsid w:val="000D319A"/>
    <w:rsid w:val="000D4060"/>
    <w:rsid w:val="000D7FE6"/>
    <w:rsid w:val="000E4997"/>
    <w:rsid w:val="000E613D"/>
    <w:rsid w:val="000F03F7"/>
    <w:rsid w:val="000F1068"/>
    <w:rsid w:val="000F1FFE"/>
    <w:rsid w:val="00101FFC"/>
    <w:rsid w:val="001104A1"/>
    <w:rsid w:val="00110E22"/>
    <w:rsid w:val="00125B25"/>
    <w:rsid w:val="00136013"/>
    <w:rsid w:val="00147308"/>
    <w:rsid w:val="001516A7"/>
    <w:rsid w:val="001566AC"/>
    <w:rsid w:val="00156A5C"/>
    <w:rsid w:val="00156ED1"/>
    <w:rsid w:val="00164E4E"/>
    <w:rsid w:val="00174E02"/>
    <w:rsid w:val="0017552B"/>
    <w:rsid w:val="00182C7C"/>
    <w:rsid w:val="00186189"/>
    <w:rsid w:val="00186CC2"/>
    <w:rsid w:val="00195B9D"/>
    <w:rsid w:val="0019712D"/>
    <w:rsid w:val="001A1C79"/>
    <w:rsid w:val="001A5F25"/>
    <w:rsid w:val="001B5C4A"/>
    <w:rsid w:val="001C4179"/>
    <w:rsid w:val="001C7601"/>
    <w:rsid w:val="001D0D37"/>
    <w:rsid w:val="001D0F83"/>
    <w:rsid w:val="001D21AB"/>
    <w:rsid w:val="001D28DB"/>
    <w:rsid w:val="001D3124"/>
    <w:rsid w:val="001E30AA"/>
    <w:rsid w:val="001E51F9"/>
    <w:rsid w:val="001E6F79"/>
    <w:rsid w:val="001E7D4C"/>
    <w:rsid w:val="001F3D10"/>
    <w:rsid w:val="001F5066"/>
    <w:rsid w:val="001F66DE"/>
    <w:rsid w:val="001F7A3F"/>
    <w:rsid w:val="00203012"/>
    <w:rsid w:val="002114CD"/>
    <w:rsid w:val="00213649"/>
    <w:rsid w:val="00214DAA"/>
    <w:rsid w:val="00221CFD"/>
    <w:rsid w:val="00222E9D"/>
    <w:rsid w:val="00224270"/>
    <w:rsid w:val="00233BA5"/>
    <w:rsid w:val="00234F60"/>
    <w:rsid w:val="0025668A"/>
    <w:rsid w:val="00256C59"/>
    <w:rsid w:val="0026110B"/>
    <w:rsid w:val="00266CBB"/>
    <w:rsid w:val="00270EC7"/>
    <w:rsid w:val="00271311"/>
    <w:rsid w:val="0028519F"/>
    <w:rsid w:val="00287EA0"/>
    <w:rsid w:val="00291C1A"/>
    <w:rsid w:val="00292BEB"/>
    <w:rsid w:val="002942E4"/>
    <w:rsid w:val="002B4097"/>
    <w:rsid w:val="002B7BCD"/>
    <w:rsid w:val="002C0318"/>
    <w:rsid w:val="002C16C3"/>
    <w:rsid w:val="002C27B5"/>
    <w:rsid w:val="002D65F3"/>
    <w:rsid w:val="002E1FC8"/>
    <w:rsid w:val="002E3817"/>
    <w:rsid w:val="002F2099"/>
    <w:rsid w:val="002F2449"/>
    <w:rsid w:val="003026BE"/>
    <w:rsid w:val="00303A99"/>
    <w:rsid w:val="00305F2A"/>
    <w:rsid w:val="00317392"/>
    <w:rsid w:val="00323BC3"/>
    <w:rsid w:val="003243E2"/>
    <w:rsid w:val="0033184A"/>
    <w:rsid w:val="00334C77"/>
    <w:rsid w:val="0034220B"/>
    <w:rsid w:val="003434B6"/>
    <w:rsid w:val="00345948"/>
    <w:rsid w:val="0034687F"/>
    <w:rsid w:val="00347686"/>
    <w:rsid w:val="0036355E"/>
    <w:rsid w:val="00382C58"/>
    <w:rsid w:val="003845C9"/>
    <w:rsid w:val="00387EC3"/>
    <w:rsid w:val="003A77C6"/>
    <w:rsid w:val="003B1AF7"/>
    <w:rsid w:val="003B1C6E"/>
    <w:rsid w:val="003B6129"/>
    <w:rsid w:val="003B6F57"/>
    <w:rsid w:val="003C73C5"/>
    <w:rsid w:val="003D11E7"/>
    <w:rsid w:val="003D1B71"/>
    <w:rsid w:val="003D3C4D"/>
    <w:rsid w:val="003D6AB5"/>
    <w:rsid w:val="003D7EB4"/>
    <w:rsid w:val="003E0FBC"/>
    <w:rsid w:val="003E1D26"/>
    <w:rsid w:val="003E5250"/>
    <w:rsid w:val="003E57C8"/>
    <w:rsid w:val="003F1997"/>
    <w:rsid w:val="003F1A48"/>
    <w:rsid w:val="004003A7"/>
    <w:rsid w:val="004003DF"/>
    <w:rsid w:val="00404DAF"/>
    <w:rsid w:val="004051D4"/>
    <w:rsid w:val="00405E86"/>
    <w:rsid w:val="004161F7"/>
    <w:rsid w:val="00416282"/>
    <w:rsid w:val="0041697D"/>
    <w:rsid w:val="0041729F"/>
    <w:rsid w:val="00420735"/>
    <w:rsid w:val="00424D71"/>
    <w:rsid w:val="00433BC2"/>
    <w:rsid w:val="004348E6"/>
    <w:rsid w:val="00436B5B"/>
    <w:rsid w:val="004374BB"/>
    <w:rsid w:val="00443C5D"/>
    <w:rsid w:val="00443E43"/>
    <w:rsid w:val="00447B96"/>
    <w:rsid w:val="00454537"/>
    <w:rsid w:val="00455402"/>
    <w:rsid w:val="0046400D"/>
    <w:rsid w:val="00477732"/>
    <w:rsid w:val="00481C27"/>
    <w:rsid w:val="00481C72"/>
    <w:rsid w:val="00481DE1"/>
    <w:rsid w:val="00482DC7"/>
    <w:rsid w:val="004873CB"/>
    <w:rsid w:val="0048773A"/>
    <w:rsid w:val="00491E7E"/>
    <w:rsid w:val="00492AC5"/>
    <w:rsid w:val="0049459F"/>
    <w:rsid w:val="004A19DC"/>
    <w:rsid w:val="004A349B"/>
    <w:rsid w:val="004A3DA9"/>
    <w:rsid w:val="004A7FAF"/>
    <w:rsid w:val="004B0B46"/>
    <w:rsid w:val="004B3908"/>
    <w:rsid w:val="004D5C79"/>
    <w:rsid w:val="004E0E1F"/>
    <w:rsid w:val="004F3950"/>
    <w:rsid w:val="004F3F18"/>
    <w:rsid w:val="00501105"/>
    <w:rsid w:val="00506A2C"/>
    <w:rsid w:val="005116F9"/>
    <w:rsid w:val="00521D1E"/>
    <w:rsid w:val="00522E5C"/>
    <w:rsid w:val="005238E0"/>
    <w:rsid w:val="005258E3"/>
    <w:rsid w:val="00527FB1"/>
    <w:rsid w:val="0053093B"/>
    <w:rsid w:val="00531791"/>
    <w:rsid w:val="00542B5D"/>
    <w:rsid w:val="00550B81"/>
    <w:rsid w:val="00553BF9"/>
    <w:rsid w:val="00561BA6"/>
    <w:rsid w:val="00580F53"/>
    <w:rsid w:val="00585E38"/>
    <w:rsid w:val="00586010"/>
    <w:rsid w:val="005861CE"/>
    <w:rsid w:val="0059625F"/>
    <w:rsid w:val="005A6B68"/>
    <w:rsid w:val="005B1E1A"/>
    <w:rsid w:val="005C05A8"/>
    <w:rsid w:val="005C1523"/>
    <w:rsid w:val="005D218F"/>
    <w:rsid w:val="005D425E"/>
    <w:rsid w:val="005E5FC8"/>
    <w:rsid w:val="005F5A1C"/>
    <w:rsid w:val="006031EE"/>
    <w:rsid w:val="006040B7"/>
    <w:rsid w:val="00610312"/>
    <w:rsid w:val="00610CB3"/>
    <w:rsid w:val="00614CCA"/>
    <w:rsid w:val="00615BC7"/>
    <w:rsid w:val="006167E4"/>
    <w:rsid w:val="0062123A"/>
    <w:rsid w:val="006214BD"/>
    <w:rsid w:val="006308E5"/>
    <w:rsid w:val="0063264F"/>
    <w:rsid w:val="006368CA"/>
    <w:rsid w:val="00640BF7"/>
    <w:rsid w:val="0065287B"/>
    <w:rsid w:val="00652960"/>
    <w:rsid w:val="00655CB7"/>
    <w:rsid w:val="0066588C"/>
    <w:rsid w:val="00665BBA"/>
    <w:rsid w:val="0067246E"/>
    <w:rsid w:val="006751F1"/>
    <w:rsid w:val="00676A6B"/>
    <w:rsid w:val="006778B5"/>
    <w:rsid w:val="00683893"/>
    <w:rsid w:val="00696883"/>
    <w:rsid w:val="006A234E"/>
    <w:rsid w:val="006B03AA"/>
    <w:rsid w:val="006B209E"/>
    <w:rsid w:val="006C5F42"/>
    <w:rsid w:val="006D4385"/>
    <w:rsid w:val="006E3679"/>
    <w:rsid w:val="006E50FF"/>
    <w:rsid w:val="006E61BF"/>
    <w:rsid w:val="006F2A77"/>
    <w:rsid w:val="006F4308"/>
    <w:rsid w:val="00700A7A"/>
    <w:rsid w:val="00701E93"/>
    <w:rsid w:val="00702EAB"/>
    <w:rsid w:val="007105CE"/>
    <w:rsid w:val="0071274D"/>
    <w:rsid w:val="00712E2E"/>
    <w:rsid w:val="00714625"/>
    <w:rsid w:val="00716B09"/>
    <w:rsid w:val="00720905"/>
    <w:rsid w:val="007226F6"/>
    <w:rsid w:val="00724E40"/>
    <w:rsid w:val="00726B25"/>
    <w:rsid w:val="00734C93"/>
    <w:rsid w:val="00755753"/>
    <w:rsid w:val="00760677"/>
    <w:rsid w:val="00773E18"/>
    <w:rsid w:val="0079021E"/>
    <w:rsid w:val="007B0A97"/>
    <w:rsid w:val="007C2706"/>
    <w:rsid w:val="007D401C"/>
    <w:rsid w:val="007E2B58"/>
    <w:rsid w:val="007E6B81"/>
    <w:rsid w:val="007F2468"/>
    <w:rsid w:val="007F41CB"/>
    <w:rsid w:val="00807CAA"/>
    <w:rsid w:val="0081480C"/>
    <w:rsid w:val="00815E22"/>
    <w:rsid w:val="00820EE0"/>
    <w:rsid w:val="00826AE8"/>
    <w:rsid w:val="00831329"/>
    <w:rsid w:val="0083241F"/>
    <w:rsid w:val="0083338B"/>
    <w:rsid w:val="00842FBD"/>
    <w:rsid w:val="0084616A"/>
    <w:rsid w:val="00850683"/>
    <w:rsid w:val="00857C02"/>
    <w:rsid w:val="00860658"/>
    <w:rsid w:val="00866B03"/>
    <w:rsid w:val="00871798"/>
    <w:rsid w:val="008745D4"/>
    <w:rsid w:val="00874DB3"/>
    <w:rsid w:val="0088451C"/>
    <w:rsid w:val="00884FCD"/>
    <w:rsid w:val="00892E43"/>
    <w:rsid w:val="00897D30"/>
    <w:rsid w:val="008A074A"/>
    <w:rsid w:val="008A1892"/>
    <w:rsid w:val="008A22A9"/>
    <w:rsid w:val="008A61B0"/>
    <w:rsid w:val="008A724A"/>
    <w:rsid w:val="008B046A"/>
    <w:rsid w:val="008B2992"/>
    <w:rsid w:val="008C1C14"/>
    <w:rsid w:val="008D53C1"/>
    <w:rsid w:val="008F698D"/>
    <w:rsid w:val="008F7B55"/>
    <w:rsid w:val="00915AB6"/>
    <w:rsid w:val="009243D2"/>
    <w:rsid w:val="00930BE8"/>
    <w:rsid w:val="009327AD"/>
    <w:rsid w:val="00935843"/>
    <w:rsid w:val="00935872"/>
    <w:rsid w:val="00942A7F"/>
    <w:rsid w:val="0095186C"/>
    <w:rsid w:val="0095261E"/>
    <w:rsid w:val="00952B11"/>
    <w:rsid w:val="0095419C"/>
    <w:rsid w:val="009564F7"/>
    <w:rsid w:val="009643A8"/>
    <w:rsid w:val="00964806"/>
    <w:rsid w:val="009665BA"/>
    <w:rsid w:val="00980BBB"/>
    <w:rsid w:val="00983CF6"/>
    <w:rsid w:val="0098411E"/>
    <w:rsid w:val="00984986"/>
    <w:rsid w:val="009852A7"/>
    <w:rsid w:val="00991231"/>
    <w:rsid w:val="0099311F"/>
    <w:rsid w:val="009951F4"/>
    <w:rsid w:val="009976E6"/>
    <w:rsid w:val="009A1597"/>
    <w:rsid w:val="009A3DF1"/>
    <w:rsid w:val="009C03D6"/>
    <w:rsid w:val="009C5B67"/>
    <w:rsid w:val="009D26DB"/>
    <w:rsid w:val="009E20AE"/>
    <w:rsid w:val="009E5DB3"/>
    <w:rsid w:val="009F08CE"/>
    <w:rsid w:val="009F54F6"/>
    <w:rsid w:val="009F649D"/>
    <w:rsid w:val="009F654F"/>
    <w:rsid w:val="00A022DD"/>
    <w:rsid w:val="00A02EDC"/>
    <w:rsid w:val="00A10430"/>
    <w:rsid w:val="00A15750"/>
    <w:rsid w:val="00A23614"/>
    <w:rsid w:val="00A27597"/>
    <w:rsid w:val="00A370CC"/>
    <w:rsid w:val="00A43BCA"/>
    <w:rsid w:val="00A50CCF"/>
    <w:rsid w:val="00A5144E"/>
    <w:rsid w:val="00A638D6"/>
    <w:rsid w:val="00A64A77"/>
    <w:rsid w:val="00A66BD6"/>
    <w:rsid w:val="00A66D7E"/>
    <w:rsid w:val="00A77A5A"/>
    <w:rsid w:val="00A77F6C"/>
    <w:rsid w:val="00A824FE"/>
    <w:rsid w:val="00A875D8"/>
    <w:rsid w:val="00A95F81"/>
    <w:rsid w:val="00A96B43"/>
    <w:rsid w:val="00A96E45"/>
    <w:rsid w:val="00A9781F"/>
    <w:rsid w:val="00AA0B01"/>
    <w:rsid w:val="00AA743B"/>
    <w:rsid w:val="00AB6C18"/>
    <w:rsid w:val="00AC263A"/>
    <w:rsid w:val="00AC3692"/>
    <w:rsid w:val="00AC3CA7"/>
    <w:rsid w:val="00AD59B9"/>
    <w:rsid w:val="00AD5A3E"/>
    <w:rsid w:val="00AD7F89"/>
    <w:rsid w:val="00AE09B4"/>
    <w:rsid w:val="00AF0F76"/>
    <w:rsid w:val="00AF6163"/>
    <w:rsid w:val="00AF7ADD"/>
    <w:rsid w:val="00B11278"/>
    <w:rsid w:val="00B13D24"/>
    <w:rsid w:val="00B14027"/>
    <w:rsid w:val="00B2119D"/>
    <w:rsid w:val="00B30DB6"/>
    <w:rsid w:val="00B3171F"/>
    <w:rsid w:val="00B32DAA"/>
    <w:rsid w:val="00B332ED"/>
    <w:rsid w:val="00B377E7"/>
    <w:rsid w:val="00B4256B"/>
    <w:rsid w:val="00B42913"/>
    <w:rsid w:val="00B50B61"/>
    <w:rsid w:val="00B53100"/>
    <w:rsid w:val="00B55EBA"/>
    <w:rsid w:val="00B603BC"/>
    <w:rsid w:val="00B63CBB"/>
    <w:rsid w:val="00B67AD5"/>
    <w:rsid w:val="00B7199F"/>
    <w:rsid w:val="00B75EE4"/>
    <w:rsid w:val="00B76C31"/>
    <w:rsid w:val="00B802AE"/>
    <w:rsid w:val="00B852FC"/>
    <w:rsid w:val="00BA0380"/>
    <w:rsid w:val="00BA4AFD"/>
    <w:rsid w:val="00BB3EE3"/>
    <w:rsid w:val="00BC152C"/>
    <w:rsid w:val="00BC1EBF"/>
    <w:rsid w:val="00BC3AD6"/>
    <w:rsid w:val="00BE1FDA"/>
    <w:rsid w:val="00BE7D1D"/>
    <w:rsid w:val="00BF3C92"/>
    <w:rsid w:val="00BF71F9"/>
    <w:rsid w:val="00C075D1"/>
    <w:rsid w:val="00C11013"/>
    <w:rsid w:val="00C14E09"/>
    <w:rsid w:val="00C17394"/>
    <w:rsid w:val="00C17CE4"/>
    <w:rsid w:val="00C269FF"/>
    <w:rsid w:val="00C33FC5"/>
    <w:rsid w:val="00C34C2E"/>
    <w:rsid w:val="00C374F8"/>
    <w:rsid w:val="00C427D6"/>
    <w:rsid w:val="00C50AE8"/>
    <w:rsid w:val="00C532A7"/>
    <w:rsid w:val="00C61878"/>
    <w:rsid w:val="00C61C9E"/>
    <w:rsid w:val="00C635A2"/>
    <w:rsid w:val="00C64CC6"/>
    <w:rsid w:val="00C65B0B"/>
    <w:rsid w:val="00C66C5C"/>
    <w:rsid w:val="00C748F4"/>
    <w:rsid w:val="00C74CAD"/>
    <w:rsid w:val="00C81CB6"/>
    <w:rsid w:val="00C93669"/>
    <w:rsid w:val="00CA0BE0"/>
    <w:rsid w:val="00CA1160"/>
    <w:rsid w:val="00CA6530"/>
    <w:rsid w:val="00CA6D3E"/>
    <w:rsid w:val="00CB24DD"/>
    <w:rsid w:val="00CB316F"/>
    <w:rsid w:val="00CC1204"/>
    <w:rsid w:val="00CD03B3"/>
    <w:rsid w:val="00CD092A"/>
    <w:rsid w:val="00CD0F15"/>
    <w:rsid w:val="00CD53B2"/>
    <w:rsid w:val="00CD7714"/>
    <w:rsid w:val="00CE5E84"/>
    <w:rsid w:val="00CF12FD"/>
    <w:rsid w:val="00CF2F2E"/>
    <w:rsid w:val="00CF52B9"/>
    <w:rsid w:val="00CF7D75"/>
    <w:rsid w:val="00D12098"/>
    <w:rsid w:val="00D20414"/>
    <w:rsid w:val="00D22513"/>
    <w:rsid w:val="00D2762A"/>
    <w:rsid w:val="00D276DC"/>
    <w:rsid w:val="00D33232"/>
    <w:rsid w:val="00D34468"/>
    <w:rsid w:val="00D4546D"/>
    <w:rsid w:val="00D46C44"/>
    <w:rsid w:val="00D50B22"/>
    <w:rsid w:val="00D53678"/>
    <w:rsid w:val="00D6285D"/>
    <w:rsid w:val="00D715C9"/>
    <w:rsid w:val="00D7366F"/>
    <w:rsid w:val="00D75AF8"/>
    <w:rsid w:val="00D77F81"/>
    <w:rsid w:val="00D84D23"/>
    <w:rsid w:val="00D85EE2"/>
    <w:rsid w:val="00D879FE"/>
    <w:rsid w:val="00D87C59"/>
    <w:rsid w:val="00D90020"/>
    <w:rsid w:val="00D94FF9"/>
    <w:rsid w:val="00D95464"/>
    <w:rsid w:val="00D95FF8"/>
    <w:rsid w:val="00DA7D07"/>
    <w:rsid w:val="00DC0914"/>
    <w:rsid w:val="00DC1AC8"/>
    <w:rsid w:val="00DC7E3D"/>
    <w:rsid w:val="00DD3470"/>
    <w:rsid w:val="00DE32FF"/>
    <w:rsid w:val="00DE3F24"/>
    <w:rsid w:val="00DE63CD"/>
    <w:rsid w:val="00DE68AC"/>
    <w:rsid w:val="00DF61F7"/>
    <w:rsid w:val="00DF6833"/>
    <w:rsid w:val="00E02DF6"/>
    <w:rsid w:val="00E05373"/>
    <w:rsid w:val="00E057D6"/>
    <w:rsid w:val="00E060C4"/>
    <w:rsid w:val="00E07A6F"/>
    <w:rsid w:val="00E1040A"/>
    <w:rsid w:val="00E23907"/>
    <w:rsid w:val="00E25735"/>
    <w:rsid w:val="00E3721A"/>
    <w:rsid w:val="00E44379"/>
    <w:rsid w:val="00E455D4"/>
    <w:rsid w:val="00E4726C"/>
    <w:rsid w:val="00E56443"/>
    <w:rsid w:val="00E56790"/>
    <w:rsid w:val="00E61A9D"/>
    <w:rsid w:val="00E63DBD"/>
    <w:rsid w:val="00E7451D"/>
    <w:rsid w:val="00E74C25"/>
    <w:rsid w:val="00E82BC5"/>
    <w:rsid w:val="00E87D6F"/>
    <w:rsid w:val="00EA0DF8"/>
    <w:rsid w:val="00EA3B33"/>
    <w:rsid w:val="00EA4A1A"/>
    <w:rsid w:val="00EA7111"/>
    <w:rsid w:val="00EB0159"/>
    <w:rsid w:val="00EB18AD"/>
    <w:rsid w:val="00EB2647"/>
    <w:rsid w:val="00EB2965"/>
    <w:rsid w:val="00EB53C8"/>
    <w:rsid w:val="00EC17AD"/>
    <w:rsid w:val="00ED0E39"/>
    <w:rsid w:val="00ED1B8A"/>
    <w:rsid w:val="00ED7D9B"/>
    <w:rsid w:val="00EE5399"/>
    <w:rsid w:val="00EF0CAC"/>
    <w:rsid w:val="00EF17D8"/>
    <w:rsid w:val="00EF24FE"/>
    <w:rsid w:val="00EF763F"/>
    <w:rsid w:val="00F003B2"/>
    <w:rsid w:val="00F0059B"/>
    <w:rsid w:val="00F05C53"/>
    <w:rsid w:val="00F16882"/>
    <w:rsid w:val="00F213E6"/>
    <w:rsid w:val="00F24A53"/>
    <w:rsid w:val="00F24E75"/>
    <w:rsid w:val="00F33857"/>
    <w:rsid w:val="00F40496"/>
    <w:rsid w:val="00F42167"/>
    <w:rsid w:val="00F42742"/>
    <w:rsid w:val="00F46D22"/>
    <w:rsid w:val="00F52005"/>
    <w:rsid w:val="00F55E94"/>
    <w:rsid w:val="00F604C4"/>
    <w:rsid w:val="00F65A42"/>
    <w:rsid w:val="00F77A91"/>
    <w:rsid w:val="00F86ADB"/>
    <w:rsid w:val="00F9000E"/>
    <w:rsid w:val="00F94FB7"/>
    <w:rsid w:val="00F951F6"/>
    <w:rsid w:val="00FA0F48"/>
    <w:rsid w:val="00FA1EB7"/>
    <w:rsid w:val="00FA4696"/>
    <w:rsid w:val="00FA5103"/>
    <w:rsid w:val="00FA5480"/>
    <w:rsid w:val="00FA710C"/>
    <w:rsid w:val="00FB56D1"/>
    <w:rsid w:val="00FB68F0"/>
    <w:rsid w:val="00FC243B"/>
    <w:rsid w:val="00FC321F"/>
    <w:rsid w:val="00FC32EE"/>
    <w:rsid w:val="00FC5A43"/>
    <w:rsid w:val="00FC7F70"/>
    <w:rsid w:val="00FD39E5"/>
    <w:rsid w:val="00FE3214"/>
    <w:rsid w:val="00FF1A5E"/>
    <w:rsid w:val="00FF33D5"/>
    <w:rsid w:val="00FF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09612A1"/>
  <w15:chartTrackingRefBased/>
  <w15:docId w15:val="{3EF0A4C4-30E9-4D4F-B59D-0D7039D6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vanish/>
    </w:rPr>
  </w:style>
  <w:style w:type="paragraph" w:styleId="Heading2">
    <w:name w:val="heading 2"/>
    <w:basedOn w:val="Normal"/>
    <w:next w:val="Normal"/>
    <w:link w:val="Heading2Char"/>
    <w:uiPriority w:val="9"/>
    <w:unhideWhenUsed/>
    <w:qFormat/>
    <w:rsid w:val="006E50FF"/>
    <w:pPr>
      <w:keepNext/>
      <w:keepLines/>
      <w:spacing w:before="160" w:after="80" w:line="259" w:lineRule="auto"/>
      <w:outlineLvl w:val="1"/>
    </w:pPr>
    <w:rPr>
      <w:rFonts w:ascii="Calibri Light" w:hAnsi="Calibri Light"/>
      <w:color w:val="2E74B5"/>
      <w:sz w:val="32"/>
      <w:szCs w:val="32"/>
    </w:rPr>
  </w:style>
  <w:style w:type="paragraph" w:styleId="Heading3">
    <w:name w:val="heading 3"/>
    <w:basedOn w:val="Normal"/>
    <w:next w:val="Normal"/>
    <w:link w:val="Heading3Char"/>
    <w:uiPriority w:val="9"/>
    <w:unhideWhenUsed/>
    <w:qFormat/>
    <w:rsid w:val="006E50FF"/>
    <w:pPr>
      <w:keepNext/>
      <w:keepLines/>
      <w:spacing w:before="160" w:after="80" w:line="259" w:lineRule="auto"/>
      <w:outlineLvl w:val="2"/>
    </w:pPr>
    <w:rPr>
      <w:rFonts w:ascii="Calibri" w:hAnsi="Calibri"/>
      <w:color w:val="2E74B5"/>
      <w:sz w:val="28"/>
      <w:szCs w:val="28"/>
    </w:rPr>
  </w:style>
  <w:style w:type="paragraph" w:styleId="Heading4">
    <w:name w:val="heading 4"/>
    <w:basedOn w:val="Normal"/>
    <w:next w:val="Normal"/>
    <w:link w:val="Heading4Char"/>
    <w:uiPriority w:val="9"/>
    <w:unhideWhenUsed/>
    <w:qFormat/>
    <w:rsid w:val="006E50FF"/>
    <w:pPr>
      <w:keepNext/>
      <w:keepLines/>
      <w:spacing w:before="80" w:after="40" w:line="259" w:lineRule="auto"/>
      <w:outlineLvl w:val="3"/>
    </w:pPr>
    <w:rPr>
      <w:rFonts w:ascii="Calibri" w:hAnsi="Calibri"/>
      <w:i/>
      <w:iCs/>
      <w:color w:val="2E74B5"/>
      <w:sz w:val="22"/>
      <w:szCs w:val="22"/>
    </w:rPr>
  </w:style>
  <w:style w:type="paragraph" w:styleId="Heading5">
    <w:name w:val="heading 5"/>
    <w:basedOn w:val="Normal"/>
    <w:next w:val="Normal"/>
    <w:link w:val="Heading5Char"/>
    <w:uiPriority w:val="9"/>
    <w:unhideWhenUsed/>
    <w:qFormat/>
    <w:rsid w:val="006E50FF"/>
    <w:pPr>
      <w:keepNext/>
      <w:keepLines/>
      <w:spacing w:before="80" w:after="40" w:line="259" w:lineRule="auto"/>
      <w:outlineLvl w:val="4"/>
    </w:pPr>
    <w:rPr>
      <w:rFonts w:ascii="Calibri" w:hAnsi="Calibri"/>
      <w:color w:val="2E74B5"/>
      <w:sz w:val="22"/>
      <w:szCs w:val="22"/>
    </w:rPr>
  </w:style>
  <w:style w:type="paragraph" w:styleId="Heading6">
    <w:name w:val="heading 6"/>
    <w:basedOn w:val="Normal"/>
    <w:next w:val="Normal"/>
    <w:link w:val="Heading6Char"/>
    <w:uiPriority w:val="9"/>
    <w:unhideWhenUsed/>
    <w:qFormat/>
    <w:rsid w:val="006E50FF"/>
    <w:pPr>
      <w:keepNext/>
      <w:keepLines/>
      <w:spacing w:before="40" w:after="160" w:line="259" w:lineRule="auto"/>
      <w:outlineLvl w:val="5"/>
    </w:pPr>
    <w:rPr>
      <w:rFonts w:ascii="Calibri" w:hAnsi="Calibri"/>
      <w:i/>
      <w:iCs/>
      <w:color w:val="595959"/>
      <w:sz w:val="22"/>
      <w:szCs w:val="22"/>
    </w:rPr>
  </w:style>
  <w:style w:type="paragraph" w:styleId="Heading7">
    <w:name w:val="heading 7"/>
    <w:basedOn w:val="Normal"/>
    <w:next w:val="Normal"/>
    <w:link w:val="Heading7Char"/>
    <w:unhideWhenUsed/>
    <w:qFormat/>
    <w:rsid w:val="006E50FF"/>
    <w:pPr>
      <w:keepNext/>
      <w:keepLines/>
      <w:spacing w:before="40" w:after="160" w:line="259" w:lineRule="auto"/>
      <w:outlineLvl w:val="6"/>
    </w:pPr>
    <w:rPr>
      <w:rFonts w:ascii="Calibri" w:hAnsi="Calibri"/>
      <w:color w:val="595959"/>
      <w:sz w:val="22"/>
      <w:szCs w:val="22"/>
    </w:rPr>
  </w:style>
  <w:style w:type="paragraph" w:styleId="Heading8">
    <w:name w:val="heading 8"/>
    <w:basedOn w:val="Normal"/>
    <w:next w:val="Normal"/>
    <w:link w:val="Heading8Char"/>
    <w:uiPriority w:val="9"/>
    <w:unhideWhenUsed/>
    <w:qFormat/>
    <w:rsid w:val="006E50FF"/>
    <w:pPr>
      <w:keepNext/>
      <w:keepLines/>
      <w:spacing w:after="160" w:line="259" w:lineRule="auto"/>
      <w:outlineLvl w:val="7"/>
    </w:pPr>
    <w:rPr>
      <w:rFonts w:ascii="Calibri" w:hAnsi="Calibri"/>
      <w:i/>
      <w:iCs/>
      <w:color w:val="272727"/>
      <w:sz w:val="22"/>
      <w:szCs w:val="22"/>
    </w:rPr>
  </w:style>
  <w:style w:type="paragraph" w:styleId="Heading9">
    <w:name w:val="heading 9"/>
    <w:basedOn w:val="Normal"/>
    <w:next w:val="Normal"/>
    <w:link w:val="Heading9Char"/>
    <w:uiPriority w:val="9"/>
    <w:unhideWhenUsed/>
    <w:qFormat/>
    <w:rsid w:val="006E50FF"/>
    <w:pPr>
      <w:keepNext/>
      <w:keepLines/>
      <w:spacing w:after="160" w:line="259" w:lineRule="auto"/>
      <w:outlineLvl w:val="8"/>
    </w:pPr>
    <w:rPr>
      <w:rFonts w:ascii="Calibri" w:hAnsi="Calibr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aliases w:val="f"/>
    <w:basedOn w:val="Normal"/>
    <w:link w:val="FooterChar"/>
    <w:uiPriority w:val="99"/>
    <w:pPr>
      <w:tabs>
        <w:tab w:val="center" w:pos="4320"/>
        <w:tab w:val="right" w:pos="8640"/>
      </w:tabs>
    </w:pPr>
  </w:style>
  <w:style w:type="paragraph" w:customStyle="1" w:styleId="a">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1267"/>
        <w:tab w:val="left" w:pos="4500"/>
        <w:tab w:val="left" w:pos="4860"/>
        <w:tab w:val="left" w:pos="5040"/>
        <w:tab w:val="left" w:pos="7200"/>
      </w:tabs>
      <w:spacing w:line="240" w:lineRule="auto"/>
      <w:ind w:firstLine="907"/>
      <w:outlineLvl w:val="7"/>
    </w:pPr>
  </w:style>
  <w:style w:type="paragraph" w:customStyle="1" w:styleId="Text">
    <w:name w:val="Text"/>
    <w:basedOn w:val="Normal"/>
    <w:link w:val="Text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pPr>
    <w:rPr>
      <w:kern w:val="2"/>
    </w:rPr>
  </w:style>
  <w:style w:type="paragraph" w:customStyle="1" w:styleId="i">
    <w:name w:val="(i)."/>
    <w:basedOn w:val="Normal"/>
    <w:pPr>
      <w:tabs>
        <w:tab w:val="decimal" w:pos="1440"/>
        <w:tab w:val="left" w:pos="1728"/>
      </w:tabs>
      <w:jc w:val="both"/>
      <w:outlineLvl w:val="8"/>
    </w:pPr>
    <w:rPr>
      <w:kern w:val="2"/>
    </w:rPr>
  </w:style>
  <w:style w:type="paragraph" w:customStyle="1" w:styleId="1">
    <w:name w:val="1."/>
    <w:basedOn w:val="Normal"/>
    <w:link w:val="1Char"/>
    <w:qFormat/>
    <w:pPr>
      <w:tabs>
        <w:tab w:val="left" w:pos="720"/>
        <w:tab w:val="left" w:pos="979"/>
        <w:tab w:val="left" w:pos="1152"/>
      </w:tabs>
      <w:ind w:firstLine="360"/>
      <w:jc w:val="both"/>
      <w:outlineLvl w:val="4"/>
    </w:pPr>
    <w:rPr>
      <w:kern w:val="2"/>
    </w:rPr>
  </w:style>
  <w:style w:type="paragraph" w:customStyle="1" w:styleId="A0">
    <w:name w:val="A."/>
    <w:basedOn w:val="Normal"/>
    <w:link w:val="AChar"/>
    <w:pPr>
      <w:tabs>
        <w:tab w:val="left" w:pos="144"/>
        <w:tab w:val="left" w:pos="187"/>
        <w:tab w:val="left" w:pos="540"/>
        <w:tab w:val="left" w:pos="907"/>
        <w:tab w:val="left" w:pos="1080"/>
      </w:tabs>
      <w:ind w:firstLine="187"/>
      <w:jc w:val="both"/>
      <w:outlineLvl w:val="3"/>
    </w:pPr>
    <w:rPr>
      <w:kern w:val="2"/>
    </w:rPr>
  </w:style>
  <w:style w:type="paragraph" w:customStyle="1" w:styleId="a1">
    <w:name w:val="a."/>
    <w:basedOn w:val="Normal"/>
    <w:link w:val="aChar0"/>
    <w:pPr>
      <w:tabs>
        <w:tab w:val="left" w:pos="907"/>
      </w:tabs>
      <w:ind w:firstLine="547"/>
      <w:jc w:val="both"/>
      <w:outlineLvl w:val="5"/>
    </w:pPr>
    <w:rPr>
      <w:kern w:val="2"/>
    </w:rPr>
  </w:style>
  <w:style w:type="paragraph" w:customStyle="1" w:styleId="AuthorityNote">
    <w:name w:val="Authority Note"/>
    <w:basedOn w:val="Normal"/>
    <w:link w:val="AuthorityNote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Chapter">
    <w:name w:val="Chapter"/>
    <w:basedOn w:val="Normal"/>
    <w:link w:val="ChapterChar"/>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pPr>
    <w:rPr>
      <w:b/>
      <w:kern w:val="2"/>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FooterOdd">
    <w:name w:val="FooterOdd"/>
    <w:basedOn w:val="Footer"/>
    <w:pPr>
      <w:tabs>
        <w:tab w:val="clear" w:pos="4320"/>
        <w:tab w:val="clear" w:pos="8640"/>
        <w:tab w:val="left" w:pos="6030"/>
        <w:tab w:val="right" w:pos="10440"/>
      </w:tabs>
      <w:spacing w:before="60"/>
      <w:jc w:val="right"/>
    </w:pPr>
    <w:rPr>
      <w:rFonts w:ascii="Arial" w:hAnsi="Arial"/>
      <w:i/>
      <w:sz w:val="16"/>
    </w:rPr>
  </w:style>
  <w:style w:type="paragraph" w:customStyle="1" w:styleId="HistoricalNote">
    <w:name w:val="Historical Note"/>
    <w:basedOn w:val="Normal"/>
    <w:link w:val="HistoricalNote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i0">
    <w:name w:val="i."/>
    <w:basedOn w:val="Text"/>
    <w:pPr>
      <w:tabs>
        <w:tab w:val="clear" w:pos="0"/>
        <w:tab w:val="clear" w:pos="180"/>
        <w:tab w:val="clear" w:pos="360"/>
        <w:tab w:val="clear" w:pos="540"/>
        <w:tab w:val="clear" w:pos="72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decimal" w:pos="806"/>
        <w:tab w:val="left" w:pos="4500"/>
        <w:tab w:val="left" w:pos="4860"/>
        <w:tab w:val="left" w:pos="5040"/>
        <w:tab w:val="left" w:pos="7200"/>
      </w:tabs>
      <w:spacing w:line="240" w:lineRule="auto"/>
      <w:ind w:firstLine="0"/>
      <w:outlineLvl w:val="5"/>
    </w:pPr>
  </w:style>
  <w:style w:type="paragraph" w:customStyle="1" w:styleId="LACNote">
    <w:name w:val="LACNote"/>
    <w:basedOn w:val="Normal"/>
    <w:link w:val="LACNoteChar"/>
    <w:pPr>
      <w:spacing w:after="120"/>
      <w:ind w:firstLine="187"/>
      <w:jc w:val="both"/>
    </w:pPr>
    <w:rPr>
      <w:kern w:val="2"/>
      <w:sz w:val="16"/>
    </w:rPr>
  </w:style>
  <w:style w:type="character" w:styleId="PageNumber">
    <w:name w:val="page number"/>
    <w:rPr>
      <w:rFonts w:ascii="Times New Roman" w:hAnsi="Times New Roman"/>
      <w:dstrike w:val="0"/>
      <w:color w:val="auto"/>
      <w:sz w:val="20"/>
      <w:vertAlign w:val="baseline"/>
    </w:rPr>
  </w:style>
  <w:style w:type="paragraph" w:customStyle="1" w:styleId="RegCodePart">
    <w:name w:val="Reg Code Part"/>
    <w:pPr>
      <w:keepNext/>
      <w:jc w:val="center"/>
    </w:pPr>
    <w:rPr>
      <w:b/>
      <w:noProof/>
    </w:rPr>
  </w:style>
  <w:style w:type="paragraph" w:customStyle="1" w:styleId="RegFE1">
    <w:name w:val="Reg F&amp;E 1"/>
    <w:pPr>
      <w:ind w:left="288" w:hanging="288"/>
      <w:jc w:val="both"/>
    </w:pPr>
    <w:rPr>
      <w:noProof/>
      <w:spacing w:val="-10"/>
      <w:sz w:val="18"/>
    </w:rPr>
  </w:style>
  <w:style w:type="paragraph" w:customStyle="1" w:styleId="RegFE2">
    <w:name w:val="Reg F&amp;E 2"/>
    <w:link w:val="RegFE2Char"/>
    <w:pPr>
      <w:ind w:left="288" w:firstLine="288"/>
      <w:jc w:val="both"/>
    </w:pPr>
    <w:rPr>
      <w:noProof/>
      <w:sz w:val="18"/>
    </w:rPr>
  </w:style>
  <w:style w:type="paragraph" w:customStyle="1" w:styleId="Section">
    <w:name w:val="Section"/>
    <w:basedOn w:val="Normal"/>
    <w:link w:val="SectionChar"/>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pPr>
    <w:rPr>
      <w:b/>
      <w:kern w:val="2"/>
    </w:rPr>
  </w:style>
  <w:style w:type="paragraph" w:customStyle="1" w:styleId="SubChapter">
    <w:name w:val="SubChapter"/>
    <w:basedOn w:val="Normal"/>
    <w:link w:val="SubChapterChar"/>
    <w:pPr>
      <w:keepNext/>
      <w:keepLines/>
      <w:spacing w:after="120"/>
      <w:outlineLvl w:val="1"/>
    </w:pPr>
    <w:rPr>
      <w:sz w:val="28"/>
    </w:rPr>
  </w:style>
  <w:style w:type="paragraph" w:customStyle="1" w:styleId="RegCodeTitle">
    <w:name w:val="Reg Code Title"/>
    <w:basedOn w:val="Normal"/>
    <w:next w:val="Normal"/>
    <w:link w:val="RegCodeTitleChar"/>
    <w:pPr>
      <w:keepNext/>
      <w:jc w:val="center"/>
    </w:pPr>
    <w:rPr>
      <w:b/>
      <w:kern w:val="28"/>
    </w:rPr>
  </w:style>
  <w:style w:type="paragraph" w:customStyle="1" w:styleId="DD1">
    <w:name w:val="DD1"/>
    <w:rPr>
      <w:noProof/>
    </w:rPr>
  </w:style>
  <w:style w:type="paragraph" w:customStyle="1" w:styleId="RegDepartment">
    <w:name w:val="Reg Department"/>
    <w:next w:val="RegSubDepartment"/>
    <w:link w:val="RegDepartmentChar"/>
    <w:pPr>
      <w:keepNext/>
      <w:jc w:val="center"/>
    </w:pPr>
    <w:rPr>
      <w:b/>
      <w:noProof/>
    </w:rPr>
  </w:style>
  <w:style w:type="paragraph" w:customStyle="1" w:styleId="RegSubDepartment">
    <w:name w:val="Reg SubDepartment"/>
    <w:pPr>
      <w:keepNext/>
      <w:spacing w:after="240"/>
      <w:jc w:val="center"/>
    </w:pPr>
    <w:rPr>
      <w:b/>
      <w:noProof/>
      <w:sz w:val="22"/>
    </w:rPr>
  </w:style>
  <w:style w:type="paragraph" w:customStyle="1" w:styleId="RegItemTitle">
    <w:name w:val="Reg Item Title"/>
    <w:link w:val="RegItemTitleChar"/>
    <w:pPr>
      <w:keepNext/>
      <w:spacing w:after="240"/>
      <w:jc w:val="center"/>
    </w:pPr>
    <w:rPr>
      <w:noProof/>
    </w:rPr>
  </w:style>
  <w:style w:type="paragraph" w:customStyle="1" w:styleId="ExoA">
    <w:name w:val="Exo A."/>
    <w:basedOn w:val="Normal"/>
    <w:pPr>
      <w:tabs>
        <w:tab w:val="left" w:pos="936"/>
      </w:tabs>
      <w:spacing w:line="240" w:lineRule="exact"/>
      <w:ind w:left="360" w:right="360" w:firstLine="187"/>
      <w:jc w:val="both"/>
    </w:pPr>
  </w:style>
  <w:style w:type="paragraph" w:customStyle="1" w:styleId="ExoNormal">
    <w:name w:val="Exo Normal"/>
    <w:pPr>
      <w:tabs>
        <w:tab w:val="left" w:pos="1656"/>
      </w:tabs>
      <w:ind w:firstLine="360"/>
      <w:jc w:val="both"/>
    </w:pPr>
    <w:rPr>
      <w:noProof/>
    </w:rPr>
  </w:style>
  <w:style w:type="paragraph" w:customStyle="1" w:styleId="RegItemFirstLine">
    <w:name w:val="Reg Item First Line"/>
    <w:next w:val="RegDepartment"/>
    <w:pPr>
      <w:keepNext/>
      <w:tabs>
        <w:tab w:val="left" w:pos="-1440"/>
      </w:tabs>
      <w:spacing w:after="120"/>
      <w:jc w:val="center"/>
    </w:pPr>
    <w:rPr>
      <w:b/>
      <w:noProof/>
    </w:rPr>
  </w:style>
  <w:style w:type="paragraph" w:customStyle="1" w:styleId="RegSignature">
    <w:name w:val="Reg Signature"/>
    <w:basedOn w:val="Normal"/>
    <w:pPr>
      <w:keepNext/>
      <w:ind w:left="2160"/>
      <w:jc w:val="both"/>
    </w:pPr>
  </w:style>
  <w:style w:type="paragraph" w:customStyle="1" w:styleId="ExoSecOfState">
    <w:name w:val="Exo SecOfState"/>
    <w:pPr>
      <w:keepNext/>
    </w:pPr>
    <w:rPr>
      <w:noProof/>
    </w:rPr>
  </w:style>
  <w:style w:type="paragraph" w:customStyle="1" w:styleId="RegDoubleIndent">
    <w:name w:val="Reg Double Indent"/>
    <w:link w:val="RegDoubleIndentChar"/>
    <w:pPr>
      <w:ind w:left="432" w:right="432"/>
      <w:jc w:val="both"/>
    </w:pPr>
    <w:rPr>
      <w:noProof/>
    </w:rPr>
  </w:style>
  <w:style w:type="paragraph" w:customStyle="1" w:styleId="RegLogNumber">
    <w:name w:val="Reg Log Number"/>
    <w:rPr>
      <w:noProof/>
      <w:sz w:val="16"/>
    </w:rPr>
  </w:style>
  <w:style w:type="paragraph" w:customStyle="1" w:styleId="RegSectionTitle">
    <w:name w:val="RegSectionTitle"/>
    <w:pPr>
      <w:jc w:val="center"/>
    </w:pPr>
    <w:rPr>
      <w:rFonts w:ascii="Arial" w:hAnsi="Arial"/>
      <w:b/>
      <w:noProof/>
      <w:sz w:val="48"/>
    </w:rPr>
  </w:style>
  <w:style w:type="character" w:customStyle="1" w:styleId="Heading2Char">
    <w:name w:val="Heading 2 Char"/>
    <w:basedOn w:val="DefaultParagraphFont"/>
    <w:link w:val="Heading2"/>
    <w:uiPriority w:val="9"/>
    <w:rsid w:val="006E50FF"/>
    <w:rPr>
      <w:rFonts w:ascii="Calibri Light" w:hAnsi="Calibri Light"/>
      <w:color w:val="2E74B5"/>
      <w:sz w:val="32"/>
      <w:szCs w:val="32"/>
    </w:rPr>
  </w:style>
  <w:style w:type="character" w:customStyle="1" w:styleId="Heading3Char">
    <w:name w:val="Heading 3 Char"/>
    <w:basedOn w:val="DefaultParagraphFont"/>
    <w:link w:val="Heading3"/>
    <w:uiPriority w:val="9"/>
    <w:rsid w:val="006E50FF"/>
    <w:rPr>
      <w:rFonts w:ascii="Calibri" w:hAnsi="Calibri"/>
      <w:color w:val="2E74B5"/>
      <w:sz w:val="28"/>
      <w:szCs w:val="28"/>
    </w:rPr>
  </w:style>
  <w:style w:type="character" w:customStyle="1" w:styleId="Heading4Char">
    <w:name w:val="Heading 4 Char"/>
    <w:basedOn w:val="DefaultParagraphFont"/>
    <w:link w:val="Heading4"/>
    <w:uiPriority w:val="9"/>
    <w:rsid w:val="006E50FF"/>
    <w:rPr>
      <w:rFonts w:ascii="Calibri" w:hAnsi="Calibri"/>
      <w:i/>
      <w:iCs/>
      <w:color w:val="2E74B5"/>
      <w:sz w:val="22"/>
      <w:szCs w:val="22"/>
    </w:rPr>
  </w:style>
  <w:style w:type="character" w:customStyle="1" w:styleId="Heading5Char">
    <w:name w:val="Heading 5 Char"/>
    <w:basedOn w:val="DefaultParagraphFont"/>
    <w:link w:val="Heading5"/>
    <w:uiPriority w:val="9"/>
    <w:rsid w:val="006E50FF"/>
    <w:rPr>
      <w:rFonts w:ascii="Calibri" w:hAnsi="Calibri"/>
      <w:color w:val="2E74B5"/>
      <w:sz w:val="22"/>
      <w:szCs w:val="22"/>
    </w:rPr>
  </w:style>
  <w:style w:type="character" w:customStyle="1" w:styleId="Heading6Char">
    <w:name w:val="Heading 6 Char"/>
    <w:basedOn w:val="DefaultParagraphFont"/>
    <w:link w:val="Heading6"/>
    <w:uiPriority w:val="9"/>
    <w:rsid w:val="006E50FF"/>
    <w:rPr>
      <w:rFonts w:ascii="Calibri" w:hAnsi="Calibri"/>
      <w:i/>
      <w:iCs/>
      <w:color w:val="595959"/>
      <w:sz w:val="22"/>
      <w:szCs w:val="22"/>
    </w:rPr>
  </w:style>
  <w:style w:type="character" w:customStyle="1" w:styleId="Heading7Char">
    <w:name w:val="Heading 7 Char"/>
    <w:basedOn w:val="DefaultParagraphFont"/>
    <w:link w:val="Heading7"/>
    <w:uiPriority w:val="9"/>
    <w:rsid w:val="006E50FF"/>
    <w:rPr>
      <w:rFonts w:ascii="Calibri" w:hAnsi="Calibri"/>
      <w:color w:val="595959"/>
      <w:sz w:val="22"/>
      <w:szCs w:val="22"/>
    </w:rPr>
  </w:style>
  <w:style w:type="character" w:customStyle="1" w:styleId="Heading8Char">
    <w:name w:val="Heading 8 Char"/>
    <w:basedOn w:val="DefaultParagraphFont"/>
    <w:link w:val="Heading8"/>
    <w:uiPriority w:val="9"/>
    <w:rsid w:val="006E50FF"/>
    <w:rPr>
      <w:rFonts w:ascii="Calibri" w:hAnsi="Calibri"/>
      <w:i/>
      <w:iCs/>
      <w:color w:val="272727"/>
      <w:sz w:val="22"/>
      <w:szCs w:val="22"/>
    </w:rPr>
  </w:style>
  <w:style w:type="character" w:customStyle="1" w:styleId="Heading9Char">
    <w:name w:val="Heading 9 Char"/>
    <w:basedOn w:val="DefaultParagraphFont"/>
    <w:link w:val="Heading9"/>
    <w:uiPriority w:val="9"/>
    <w:rsid w:val="006E50FF"/>
    <w:rPr>
      <w:rFonts w:ascii="Calibri" w:hAnsi="Calibri"/>
      <w:color w:val="272727"/>
      <w:sz w:val="22"/>
      <w:szCs w:val="22"/>
    </w:rPr>
  </w:style>
  <w:style w:type="character" w:customStyle="1" w:styleId="Heading1Char">
    <w:name w:val="Heading 1 Char"/>
    <w:link w:val="Heading1"/>
    <w:rsid w:val="006E50FF"/>
    <w:rPr>
      <w:vanish/>
    </w:rPr>
  </w:style>
  <w:style w:type="paragraph" w:styleId="Title">
    <w:name w:val="Title"/>
    <w:basedOn w:val="Normal"/>
    <w:next w:val="Normal"/>
    <w:link w:val="TitleChar"/>
    <w:uiPriority w:val="10"/>
    <w:qFormat/>
    <w:rsid w:val="006E50FF"/>
    <w:pPr>
      <w:spacing w:after="80" w:line="259" w:lineRule="auto"/>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6E50FF"/>
    <w:rPr>
      <w:rFonts w:ascii="Calibri Light" w:hAnsi="Calibri Light"/>
      <w:spacing w:val="-10"/>
      <w:kern w:val="28"/>
      <w:sz w:val="56"/>
      <w:szCs w:val="56"/>
    </w:rPr>
  </w:style>
  <w:style w:type="paragraph" w:styleId="Subtitle">
    <w:name w:val="Subtitle"/>
    <w:basedOn w:val="Normal"/>
    <w:next w:val="Normal"/>
    <w:link w:val="SubtitleChar"/>
    <w:uiPriority w:val="11"/>
    <w:qFormat/>
    <w:rsid w:val="006E50FF"/>
    <w:pPr>
      <w:numPr>
        <w:ilvl w:val="1"/>
      </w:numPr>
      <w:spacing w:after="160" w:line="259" w:lineRule="auto"/>
    </w:pPr>
    <w:rPr>
      <w:rFonts w:ascii="Calibri" w:hAnsi="Calibri"/>
      <w:color w:val="595959"/>
      <w:spacing w:val="15"/>
      <w:sz w:val="28"/>
      <w:szCs w:val="28"/>
    </w:rPr>
  </w:style>
  <w:style w:type="character" w:customStyle="1" w:styleId="SubtitleChar">
    <w:name w:val="Subtitle Char"/>
    <w:basedOn w:val="DefaultParagraphFont"/>
    <w:link w:val="Subtitle"/>
    <w:uiPriority w:val="11"/>
    <w:rsid w:val="006E50FF"/>
    <w:rPr>
      <w:rFonts w:ascii="Calibri" w:hAnsi="Calibri"/>
      <w:color w:val="595959"/>
      <w:spacing w:val="15"/>
      <w:sz w:val="28"/>
      <w:szCs w:val="28"/>
    </w:rPr>
  </w:style>
  <w:style w:type="paragraph" w:styleId="ListParagraph">
    <w:name w:val="List Paragraph"/>
    <w:basedOn w:val="Normal"/>
    <w:uiPriority w:val="34"/>
    <w:qFormat/>
    <w:rsid w:val="006E50FF"/>
    <w:pPr>
      <w:spacing w:after="160" w:line="259" w:lineRule="auto"/>
      <w:ind w:left="720"/>
      <w:contextualSpacing/>
    </w:pPr>
    <w:rPr>
      <w:rFonts w:ascii="Calibri" w:eastAsia="Calibri" w:hAnsi="Calibri"/>
      <w:sz w:val="22"/>
      <w:szCs w:val="22"/>
    </w:rPr>
  </w:style>
  <w:style w:type="paragraph" w:styleId="Quote">
    <w:name w:val="Quote"/>
    <w:basedOn w:val="Normal"/>
    <w:next w:val="Normal"/>
    <w:link w:val="QuoteChar"/>
    <w:uiPriority w:val="29"/>
    <w:qFormat/>
    <w:rsid w:val="006E50FF"/>
    <w:pPr>
      <w:spacing w:before="160" w:after="160" w:line="259" w:lineRule="auto"/>
      <w:jc w:val="center"/>
    </w:pPr>
    <w:rPr>
      <w:rFonts w:ascii="Calibri" w:eastAsia="Calibri" w:hAnsi="Calibri"/>
      <w:i/>
      <w:iCs/>
      <w:color w:val="404040"/>
      <w:sz w:val="22"/>
      <w:szCs w:val="22"/>
    </w:rPr>
  </w:style>
  <w:style w:type="character" w:customStyle="1" w:styleId="QuoteChar">
    <w:name w:val="Quote Char"/>
    <w:basedOn w:val="DefaultParagraphFont"/>
    <w:link w:val="Quote"/>
    <w:uiPriority w:val="29"/>
    <w:rsid w:val="006E50FF"/>
    <w:rPr>
      <w:rFonts w:ascii="Calibri" w:eastAsia="Calibri" w:hAnsi="Calibri"/>
      <w:i/>
      <w:iCs/>
      <w:color w:val="404040"/>
      <w:sz w:val="22"/>
      <w:szCs w:val="22"/>
    </w:rPr>
  </w:style>
  <w:style w:type="paragraph" w:styleId="IntenseQuote">
    <w:name w:val="Intense Quote"/>
    <w:basedOn w:val="Normal"/>
    <w:next w:val="Normal"/>
    <w:link w:val="IntenseQuoteChar"/>
    <w:uiPriority w:val="30"/>
    <w:qFormat/>
    <w:rsid w:val="006E50FF"/>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sz w:val="22"/>
      <w:szCs w:val="22"/>
    </w:rPr>
  </w:style>
  <w:style w:type="character" w:customStyle="1" w:styleId="IntenseQuoteChar">
    <w:name w:val="Intense Quote Char"/>
    <w:basedOn w:val="DefaultParagraphFont"/>
    <w:link w:val="IntenseQuote"/>
    <w:uiPriority w:val="30"/>
    <w:rsid w:val="006E50FF"/>
    <w:rPr>
      <w:rFonts w:ascii="Calibri" w:eastAsia="Calibri" w:hAnsi="Calibri"/>
      <w:i/>
      <w:iCs/>
      <w:color w:val="2E74B5"/>
      <w:sz w:val="22"/>
      <w:szCs w:val="22"/>
    </w:rPr>
  </w:style>
  <w:style w:type="character" w:styleId="IntenseEmphasis">
    <w:name w:val="Intense Emphasis"/>
    <w:uiPriority w:val="21"/>
    <w:qFormat/>
    <w:rsid w:val="006E50FF"/>
    <w:rPr>
      <w:i/>
      <w:iCs/>
      <w:color w:val="2E74B5"/>
    </w:rPr>
  </w:style>
  <w:style w:type="character" w:styleId="IntenseReference">
    <w:name w:val="Intense Reference"/>
    <w:uiPriority w:val="32"/>
    <w:qFormat/>
    <w:rsid w:val="006E50FF"/>
    <w:rPr>
      <w:b/>
      <w:bCs/>
      <w:smallCaps/>
      <w:color w:val="2E74B5"/>
      <w:spacing w:val="5"/>
    </w:rPr>
  </w:style>
  <w:style w:type="table" w:styleId="TableGrid">
    <w:name w:val="Table Grid"/>
    <w:basedOn w:val="TableNormal"/>
    <w:uiPriority w:val="39"/>
    <w:rsid w:val="006E50FF"/>
    <w:rPr>
      <w:rFonts w:ascii="Calibri" w:eastAsia="Calibri" w:hAnsi="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E50FF"/>
    <w:pPr>
      <w:spacing w:after="160"/>
    </w:pPr>
    <w:rPr>
      <w:rFonts w:ascii="Calibri" w:eastAsia="Calibri" w:hAnsi="Calibri"/>
    </w:rPr>
  </w:style>
  <w:style w:type="character" w:customStyle="1" w:styleId="CommentTextChar">
    <w:name w:val="Comment Text Char"/>
    <w:basedOn w:val="DefaultParagraphFont"/>
    <w:link w:val="CommentText"/>
    <w:uiPriority w:val="99"/>
    <w:rsid w:val="006E50FF"/>
    <w:rPr>
      <w:rFonts w:ascii="Calibri" w:eastAsia="Calibri" w:hAnsi="Calibri"/>
    </w:rPr>
  </w:style>
  <w:style w:type="character" w:styleId="CommentReference">
    <w:name w:val="annotation reference"/>
    <w:uiPriority w:val="99"/>
    <w:unhideWhenUsed/>
    <w:rsid w:val="006E50FF"/>
    <w:rPr>
      <w:sz w:val="16"/>
      <w:szCs w:val="16"/>
    </w:rPr>
  </w:style>
  <w:style w:type="numbering" w:customStyle="1" w:styleId="NoList1">
    <w:name w:val="No List1"/>
    <w:next w:val="NoList"/>
    <w:uiPriority w:val="99"/>
    <w:semiHidden/>
    <w:unhideWhenUsed/>
    <w:rsid w:val="006E50FF"/>
  </w:style>
  <w:style w:type="paragraph" w:customStyle="1" w:styleId="a0001">
    <w:name w:val="a0001"/>
    <w:basedOn w:val="Normal"/>
    <w:rsid w:val="006E50FF"/>
    <w:pPr>
      <w:spacing w:before="100" w:beforeAutospacing="1" w:after="100" w:afterAutospacing="1"/>
    </w:pPr>
    <w:rPr>
      <w:sz w:val="24"/>
      <w:szCs w:val="24"/>
    </w:rPr>
  </w:style>
  <w:style w:type="paragraph" w:customStyle="1" w:styleId="a0002">
    <w:name w:val="a0002"/>
    <w:basedOn w:val="Normal"/>
    <w:rsid w:val="006E50FF"/>
    <w:pPr>
      <w:spacing w:before="100" w:beforeAutospacing="1" w:after="100" w:afterAutospacing="1"/>
    </w:pPr>
    <w:rPr>
      <w:sz w:val="24"/>
      <w:szCs w:val="24"/>
    </w:rPr>
  </w:style>
  <w:style w:type="paragraph" w:customStyle="1" w:styleId="a0003">
    <w:name w:val="a0003"/>
    <w:basedOn w:val="Normal"/>
    <w:rsid w:val="006E50FF"/>
    <w:pPr>
      <w:spacing w:before="100" w:beforeAutospacing="1" w:after="100" w:afterAutospacing="1"/>
    </w:pPr>
    <w:rPr>
      <w:sz w:val="24"/>
      <w:szCs w:val="24"/>
    </w:rPr>
  </w:style>
  <w:style w:type="paragraph" w:styleId="NormalWeb">
    <w:name w:val="Normal (Web)"/>
    <w:basedOn w:val="Normal"/>
    <w:unhideWhenUsed/>
    <w:rsid w:val="006E50FF"/>
    <w:pPr>
      <w:spacing w:before="100" w:beforeAutospacing="1" w:after="100" w:afterAutospacing="1"/>
    </w:pPr>
    <w:rPr>
      <w:sz w:val="24"/>
      <w:szCs w:val="24"/>
    </w:rPr>
  </w:style>
  <w:style w:type="character" w:customStyle="1" w:styleId="HeaderChar">
    <w:name w:val="Header Char"/>
    <w:link w:val="Header"/>
    <w:rsid w:val="006E50FF"/>
  </w:style>
  <w:style w:type="character" w:customStyle="1" w:styleId="FooterChar">
    <w:name w:val="Footer Char"/>
    <w:aliases w:val="f Char"/>
    <w:link w:val="Footer"/>
    <w:uiPriority w:val="99"/>
    <w:rsid w:val="006E50FF"/>
  </w:style>
  <w:style w:type="paragraph" w:customStyle="1" w:styleId="TableParagraph">
    <w:name w:val="Table Paragraph"/>
    <w:basedOn w:val="Normal"/>
    <w:uiPriority w:val="1"/>
    <w:qFormat/>
    <w:rsid w:val="006E50FF"/>
    <w:pPr>
      <w:widowControl w:val="0"/>
      <w:autoSpaceDE w:val="0"/>
      <w:autoSpaceDN w:val="0"/>
    </w:pPr>
    <w:rPr>
      <w:sz w:val="22"/>
      <w:szCs w:val="22"/>
    </w:rPr>
  </w:style>
  <w:style w:type="character" w:customStyle="1" w:styleId="Hyperlink1">
    <w:name w:val="Hyperlink1"/>
    <w:uiPriority w:val="99"/>
    <w:unhideWhenUsed/>
    <w:rsid w:val="006E50FF"/>
    <w:rPr>
      <w:color w:val="467886"/>
      <w:u w:val="single"/>
    </w:rPr>
  </w:style>
  <w:style w:type="character" w:styleId="UnresolvedMention">
    <w:name w:val="Unresolved Mention"/>
    <w:uiPriority w:val="99"/>
    <w:semiHidden/>
    <w:unhideWhenUsed/>
    <w:rsid w:val="006E50FF"/>
    <w:rPr>
      <w:color w:val="605E5C"/>
      <w:shd w:val="clear" w:color="auto" w:fill="E1DFDD"/>
    </w:rPr>
  </w:style>
  <w:style w:type="paragraph" w:styleId="TOC1">
    <w:name w:val="toc 1"/>
    <w:basedOn w:val="Normal"/>
    <w:uiPriority w:val="39"/>
    <w:qFormat/>
    <w:rsid w:val="006E50FF"/>
    <w:pPr>
      <w:widowControl w:val="0"/>
      <w:autoSpaceDE w:val="0"/>
      <w:autoSpaceDN w:val="0"/>
      <w:ind w:left="624"/>
    </w:pPr>
    <w:rPr>
      <w:sz w:val="24"/>
      <w:szCs w:val="24"/>
    </w:rPr>
  </w:style>
  <w:style w:type="paragraph" w:styleId="TOC2">
    <w:name w:val="toc 2"/>
    <w:basedOn w:val="Normal"/>
    <w:uiPriority w:val="39"/>
    <w:qFormat/>
    <w:rsid w:val="006E50FF"/>
    <w:pPr>
      <w:widowControl w:val="0"/>
      <w:autoSpaceDE w:val="0"/>
      <w:autoSpaceDN w:val="0"/>
      <w:ind w:left="624"/>
    </w:pPr>
    <w:rPr>
      <w:b/>
      <w:bCs/>
      <w:i/>
      <w:iCs/>
      <w:sz w:val="22"/>
      <w:szCs w:val="22"/>
    </w:rPr>
  </w:style>
  <w:style w:type="paragraph" w:styleId="TOC3">
    <w:name w:val="toc 3"/>
    <w:basedOn w:val="Normal"/>
    <w:uiPriority w:val="39"/>
    <w:qFormat/>
    <w:rsid w:val="006E50FF"/>
    <w:pPr>
      <w:widowControl w:val="0"/>
      <w:autoSpaceDE w:val="0"/>
      <w:autoSpaceDN w:val="0"/>
      <w:ind w:left="1584"/>
    </w:pPr>
    <w:rPr>
      <w:sz w:val="24"/>
      <w:szCs w:val="24"/>
    </w:rPr>
  </w:style>
  <w:style w:type="paragraph" w:styleId="BodyText">
    <w:name w:val="Body Text"/>
    <w:basedOn w:val="Normal"/>
    <w:link w:val="BodyTextChar"/>
    <w:uiPriority w:val="1"/>
    <w:qFormat/>
    <w:rsid w:val="006E50FF"/>
    <w:pPr>
      <w:widowControl w:val="0"/>
      <w:autoSpaceDE w:val="0"/>
      <w:autoSpaceDN w:val="0"/>
    </w:pPr>
    <w:rPr>
      <w:sz w:val="18"/>
      <w:szCs w:val="18"/>
    </w:rPr>
  </w:style>
  <w:style w:type="character" w:customStyle="1" w:styleId="BodyTextChar">
    <w:name w:val="Body Text Char"/>
    <w:basedOn w:val="DefaultParagraphFont"/>
    <w:link w:val="BodyText"/>
    <w:uiPriority w:val="1"/>
    <w:rsid w:val="006E50FF"/>
    <w:rPr>
      <w:sz w:val="18"/>
      <w:szCs w:val="18"/>
    </w:rPr>
  </w:style>
  <w:style w:type="character" w:styleId="Hyperlink">
    <w:name w:val="Hyperlink"/>
    <w:unhideWhenUsed/>
    <w:rsid w:val="006E50FF"/>
    <w:rPr>
      <w:color w:val="0563C1"/>
      <w:u w:val="single"/>
    </w:rPr>
  </w:style>
  <w:style w:type="numbering" w:customStyle="1" w:styleId="NoList2">
    <w:name w:val="No List2"/>
    <w:next w:val="NoList"/>
    <w:uiPriority w:val="99"/>
    <w:semiHidden/>
    <w:unhideWhenUsed/>
    <w:rsid w:val="006E50FF"/>
  </w:style>
  <w:style w:type="paragraph" w:styleId="Caption">
    <w:name w:val="caption"/>
    <w:basedOn w:val="Normal"/>
    <w:next w:val="Normal"/>
    <w:uiPriority w:val="35"/>
    <w:semiHidden/>
    <w:unhideWhenUsed/>
    <w:qFormat/>
    <w:rsid w:val="006E50FF"/>
    <w:rPr>
      <w:b/>
      <w:bCs/>
    </w:rPr>
  </w:style>
  <w:style w:type="character" w:customStyle="1" w:styleId="SectionChar">
    <w:name w:val="Section Char"/>
    <w:link w:val="Section"/>
    <w:rsid w:val="006E50FF"/>
    <w:rPr>
      <w:b/>
      <w:kern w:val="2"/>
    </w:rPr>
  </w:style>
  <w:style w:type="character" w:customStyle="1" w:styleId="AChar">
    <w:name w:val="A. Char"/>
    <w:link w:val="A0"/>
    <w:rsid w:val="006E50FF"/>
    <w:rPr>
      <w:kern w:val="2"/>
    </w:rPr>
  </w:style>
  <w:style w:type="character" w:customStyle="1" w:styleId="1Char">
    <w:name w:val="1. Char"/>
    <w:link w:val="1"/>
    <w:rsid w:val="006E50FF"/>
    <w:rPr>
      <w:kern w:val="2"/>
    </w:rPr>
  </w:style>
  <w:style w:type="character" w:customStyle="1" w:styleId="AuthorityNoteChar">
    <w:name w:val="Authority Note Char"/>
    <w:link w:val="AuthorityNote"/>
    <w:locked/>
    <w:rsid w:val="006E50FF"/>
    <w:rPr>
      <w:kern w:val="2"/>
      <w:sz w:val="18"/>
    </w:rPr>
  </w:style>
  <w:style w:type="character" w:customStyle="1" w:styleId="HistoricalNoteChar">
    <w:name w:val="Historical Note Char"/>
    <w:link w:val="HistoricalNote"/>
    <w:rsid w:val="006E50FF"/>
    <w:rPr>
      <w:kern w:val="2"/>
      <w:sz w:val="18"/>
    </w:rPr>
  </w:style>
  <w:style w:type="character" w:customStyle="1" w:styleId="RegDoubleIndentChar">
    <w:name w:val="Reg Double Indent Char"/>
    <w:link w:val="RegDoubleIndent"/>
    <w:rsid w:val="006E50FF"/>
    <w:rPr>
      <w:noProof/>
    </w:rPr>
  </w:style>
  <w:style w:type="character" w:customStyle="1" w:styleId="aChar0">
    <w:name w:val="a. Char"/>
    <w:link w:val="a1"/>
    <w:rsid w:val="006E50FF"/>
    <w:rPr>
      <w:kern w:val="2"/>
    </w:rPr>
  </w:style>
  <w:style w:type="character" w:customStyle="1" w:styleId="ChapterChar">
    <w:name w:val="Chapter Char"/>
    <w:link w:val="Chapter"/>
    <w:rsid w:val="006E50FF"/>
    <w:rPr>
      <w:b/>
      <w:kern w:val="2"/>
    </w:rPr>
  </w:style>
  <w:style w:type="table" w:customStyle="1" w:styleId="TableGrid1">
    <w:name w:val="Table Grid1"/>
    <w:basedOn w:val="TableNormal"/>
    <w:next w:val="TableGrid"/>
    <w:uiPriority w:val="39"/>
    <w:rsid w:val="006E5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6E50FF"/>
  </w:style>
  <w:style w:type="character" w:customStyle="1" w:styleId="RegCodeTitleChar">
    <w:name w:val="Reg Code Title Char"/>
    <w:link w:val="RegCodeTitle"/>
    <w:locked/>
    <w:rsid w:val="006E50FF"/>
    <w:rPr>
      <w:b/>
      <w:kern w:val="28"/>
    </w:rPr>
  </w:style>
  <w:style w:type="paragraph" w:styleId="NoSpacing">
    <w:name w:val="No Spacing"/>
    <w:uiPriority w:val="1"/>
    <w:qFormat/>
    <w:rsid w:val="006E50FF"/>
    <w:rPr>
      <w:rFonts w:ascii="Calibri" w:eastAsia="Calibri" w:hAnsi="Calibri"/>
      <w:sz w:val="22"/>
      <w:szCs w:val="22"/>
    </w:rPr>
  </w:style>
  <w:style w:type="paragraph" w:customStyle="1" w:styleId="WPNormal">
    <w:name w:val="WP_Normal"/>
    <w:basedOn w:val="Normal"/>
    <w:rsid w:val="006E50FF"/>
    <w:pPr>
      <w:widowControl w:val="0"/>
      <w:autoSpaceDE w:val="0"/>
      <w:autoSpaceDN w:val="0"/>
      <w:jc w:val="both"/>
    </w:pPr>
    <w:rPr>
      <w:rFonts w:ascii="New Century Schlbk" w:eastAsia="Aptos" w:hAnsi="New Century Schlbk"/>
      <w:color w:val="000000"/>
      <w:sz w:val="24"/>
    </w:rPr>
  </w:style>
  <w:style w:type="table" w:customStyle="1" w:styleId="TableGrid2">
    <w:name w:val="Table Grid2"/>
    <w:basedOn w:val="TableNormal"/>
    <w:next w:val="TableGrid"/>
    <w:uiPriority w:val="39"/>
    <w:rsid w:val="006E50FF"/>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E50FF"/>
    <w:pPr>
      <w:numPr>
        <w:numId w:val="25"/>
      </w:numPr>
    </w:pPr>
  </w:style>
  <w:style w:type="paragraph" w:styleId="BalloonText">
    <w:name w:val="Balloon Text"/>
    <w:basedOn w:val="Normal"/>
    <w:link w:val="BalloonTextChar"/>
    <w:uiPriority w:val="99"/>
    <w:unhideWhenUsed/>
    <w:rsid w:val="006E50FF"/>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6E50FF"/>
    <w:rPr>
      <w:rFonts w:ascii="Segoe UI" w:eastAsia="Calibri" w:hAnsi="Segoe UI" w:cs="Segoe UI"/>
      <w:sz w:val="18"/>
      <w:szCs w:val="18"/>
    </w:rPr>
  </w:style>
  <w:style w:type="paragraph" w:styleId="Revision">
    <w:name w:val="Revision"/>
    <w:hidden/>
    <w:uiPriority w:val="99"/>
    <w:semiHidden/>
    <w:rsid w:val="006E50FF"/>
    <w:rPr>
      <w:rFonts w:ascii="Calibri" w:eastAsia="Calibri" w:hAnsi="Calibri"/>
      <w:sz w:val="24"/>
      <w:szCs w:val="24"/>
    </w:rPr>
  </w:style>
  <w:style w:type="paragraph" w:customStyle="1" w:styleId="Part">
    <w:name w:val="Part"/>
    <w:basedOn w:val="Title"/>
    <w:rsid w:val="006E50FF"/>
    <w:pPr>
      <w:keepNext/>
      <w:keepLines/>
      <w:spacing w:line="240" w:lineRule="auto"/>
      <w:outlineLvl w:val="0"/>
    </w:pPr>
    <w:rPr>
      <w:rFonts w:ascii="Aptos Display" w:hAnsi="Aptos Display"/>
      <w:caps/>
      <w:kern w:val="2"/>
    </w:rPr>
  </w:style>
  <w:style w:type="paragraph" w:customStyle="1" w:styleId="Note">
    <w:name w:val="Note"/>
    <w:basedOn w:val="Normal"/>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16" w:lineRule="exact"/>
      <w:ind w:firstLine="187"/>
      <w:jc w:val="both"/>
    </w:pPr>
    <w:rPr>
      <w:rFonts w:ascii="Calibri" w:eastAsia="Calibri" w:hAnsi="Calibri"/>
      <w:kern w:val="2"/>
      <w:sz w:val="18"/>
      <w:szCs w:val="22"/>
    </w:rPr>
  </w:style>
  <w:style w:type="paragraph" w:customStyle="1" w:styleId="Title1">
    <w:name w:val="Title1"/>
    <w:basedOn w:val="Title"/>
    <w:next w:val="Title2"/>
    <w:rsid w:val="006E50FF"/>
    <w:pPr>
      <w:pageBreakBefore/>
      <w:spacing w:after="60" w:line="240" w:lineRule="auto"/>
    </w:pPr>
    <w:rPr>
      <w:rFonts w:ascii="Aptos Display" w:hAnsi="Aptos Display"/>
      <w:caps/>
    </w:rPr>
  </w:style>
  <w:style w:type="paragraph" w:customStyle="1" w:styleId="Title2">
    <w:name w:val="Title2"/>
    <w:basedOn w:val="Chapter"/>
    <w:rsid w:val="006E50FF"/>
    <w:pPr>
      <w:tabs>
        <w:tab w:val="clear" w:pos="216"/>
        <w:tab w:val="clear" w:pos="1296"/>
        <w:tab w:val="left" w:pos="1080"/>
        <w:tab w:val="left" w:pos="1260"/>
      </w:tabs>
      <w:spacing w:after="120" w:line="256" w:lineRule="auto"/>
      <w:ind w:left="144" w:right="144" w:firstLine="0"/>
      <w:jc w:val="center"/>
      <w:outlineLvl w:val="9"/>
    </w:pPr>
    <w:rPr>
      <w:rFonts w:ascii="Calibri" w:eastAsia="Calibri" w:hAnsi="Calibri"/>
      <w:caps/>
      <w:sz w:val="28"/>
      <w:szCs w:val="22"/>
      <w:lang w:val="x-none" w:eastAsia="x-none"/>
    </w:rPr>
  </w:style>
  <w:style w:type="paragraph" w:customStyle="1" w:styleId="Part1">
    <w:name w:val="Part1"/>
    <w:basedOn w:val="Part"/>
    <w:rsid w:val="006E50FF"/>
    <w:pPr>
      <w:outlineLvl w:val="9"/>
    </w:pPr>
  </w:style>
  <w:style w:type="paragraph" w:customStyle="1" w:styleId="TOCPart">
    <w:name w:val="TOCPart"/>
    <w:rsid w:val="006E50FF"/>
    <w:pPr>
      <w:keepNext/>
      <w:keepLines/>
      <w:spacing w:before="240" w:after="240"/>
      <w:jc w:val="center"/>
    </w:pPr>
    <w:rPr>
      <w:b/>
      <w:noProof/>
      <w:sz w:val="28"/>
    </w:rPr>
  </w:style>
  <w:style w:type="paragraph" w:customStyle="1" w:styleId="TOCChapter">
    <w:name w:val="TOCChapter"/>
    <w:rsid w:val="006E50FF"/>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6E50FF"/>
    <w:pPr>
      <w:tabs>
        <w:tab w:val="clear" w:pos="1440"/>
        <w:tab w:val="left" w:pos="2160"/>
      </w:tabs>
      <w:ind w:left="2160" w:hanging="1728"/>
    </w:pPr>
  </w:style>
  <w:style w:type="paragraph" w:customStyle="1" w:styleId="testcenter">
    <w:name w:val="testcenter"/>
    <w:basedOn w:val="i0"/>
    <w:rsid w:val="006E50FF"/>
    <w:pPr>
      <w:tabs>
        <w:tab w:val="clear" w:pos="806"/>
        <w:tab w:val="clear" w:pos="1080"/>
        <w:tab w:val="right" w:pos="720"/>
      </w:tabs>
      <w:spacing w:after="120"/>
    </w:pPr>
    <w:rPr>
      <w:rFonts w:ascii="Calibri" w:eastAsia="Calibri" w:hAnsi="Calibri"/>
      <w:szCs w:val="22"/>
      <w:lang w:val="x-none" w:eastAsia="x-none"/>
    </w:rPr>
  </w:style>
  <w:style w:type="paragraph" w:customStyle="1" w:styleId="testdecimal">
    <w:name w:val="test decimal"/>
    <w:basedOn w:val="i0"/>
    <w:rsid w:val="006E50FF"/>
    <w:pPr>
      <w:tabs>
        <w:tab w:val="clear" w:pos="806"/>
        <w:tab w:val="right" w:pos="720"/>
      </w:tabs>
      <w:spacing w:after="120"/>
    </w:pPr>
    <w:rPr>
      <w:rFonts w:ascii="Calibri" w:eastAsia="Calibri" w:hAnsi="Calibri"/>
      <w:szCs w:val="22"/>
      <w:lang w:val="x-none" w:eastAsia="x-none"/>
    </w:rPr>
  </w:style>
  <w:style w:type="paragraph" w:customStyle="1" w:styleId="TOCIndex">
    <w:name w:val="TOCIndex"/>
    <w:basedOn w:val="TOCChapter"/>
    <w:rsid w:val="006E50FF"/>
    <w:pPr>
      <w:spacing w:before="240"/>
    </w:pPr>
  </w:style>
  <w:style w:type="paragraph" w:customStyle="1" w:styleId="iNew">
    <w:name w:val="i.New"/>
    <w:basedOn w:val="i0"/>
    <w:autoRedefine/>
    <w:rsid w:val="006E50FF"/>
    <w:pPr>
      <w:tabs>
        <w:tab w:val="clear" w:pos="806"/>
        <w:tab w:val="decimal" w:pos="720"/>
        <w:tab w:val="decimal" w:pos="810"/>
        <w:tab w:val="decimal" w:pos="1598"/>
        <w:tab w:val="left" w:pos="1800"/>
      </w:tabs>
      <w:spacing w:after="120"/>
      <w:ind w:left="1080"/>
      <w:outlineLvl w:val="6"/>
    </w:pPr>
    <w:rPr>
      <w:rFonts w:ascii="Calibri" w:eastAsia="Calibri" w:hAnsi="Calibri"/>
      <w:szCs w:val="22"/>
      <w:lang w:val="x-none" w:eastAsia="x-none"/>
    </w:rPr>
  </w:style>
  <w:style w:type="paragraph" w:styleId="Index1">
    <w:name w:val="index 1"/>
    <w:basedOn w:val="Normal"/>
    <w:next w:val="Normal"/>
    <w:autoRedefine/>
    <w:rsid w:val="006E50FF"/>
    <w:pPr>
      <w:spacing w:after="160" w:line="256" w:lineRule="auto"/>
      <w:ind w:left="240" w:hanging="240"/>
    </w:pPr>
    <w:rPr>
      <w:rFonts w:ascii="Calibri" w:eastAsia="Calibri" w:hAnsi="Calibri"/>
      <w:szCs w:val="22"/>
    </w:rPr>
  </w:style>
  <w:style w:type="character" w:customStyle="1" w:styleId="groupheading5">
    <w:name w:val="groupheading5"/>
    <w:rsid w:val="006E50FF"/>
    <w:rPr>
      <w:rFonts w:ascii="Verdana" w:hAnsi="Verdana" w:hint="default"/>
      <w:b/>
      <w:bCs/>
      <w:sz w:val="19"/>
      <w:szCs w:val="19"/>
    </w:rPr>
  </w:style>
  <w:style w:type="character" w:customStyle="1" w:styleId="TextChar">
    <w:name w:val="Text Char"/>
    <w:link w:val="Text"/>
    <w:rsid w:val="006E50FF"/>
    <w:rPr>
      <w:kern w:val="2"/>
    </w:rPr>
  </w:style>
  <w:style w:type="character" w:customStyle="1" w:styleId="aChar1">
    <w:name w:val="a. Char1"/>
    <w:link w:val="a10"/>
    <w:rsid w:val="006E50FF"/>
    <w:rPr>
      <w:kern w:val="2"/>
      <w:lang w:val="x-none" w:eastAsia="x-none"/>
    </w:rPr>
  </w:style>
  <w:style w:type="paragraph" w:customStyle="1" w:styleId="a10">
    <w:name w:val="a.1"/>
    <w:basedOn w:val="Text"/>
    <w:link w:val="aChar1"/>
    <w:qFormat/>
    <w:rsid w:val="006E50FF"/>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907"/>
        <w:tab w:val="left" w:pos="4500"/>
        <w:tab w:val="left" w:pos="4860"/>
        <w:tab w:val="left" w:pos="5040"/>
        <w:tab w:val="left" w:pos="7200"/>
      </w:tabs>
      <w:suppressAutoHyphens/>
      <w:spacing w:after="120" w:line="240" w:lineRule="auto"/>
      <w:ind w:firstLine="547"/>
      <w:outlineLvl w:val="5"/>
    </w:pPr>
    <w:rPr>
      <w:lang w:val="x-none" w:eastAsia="x-none"/>
    </w:rPr>
  </w:style>
  <w:style w:type="paragraph" w:customStyle="1" w:styleId="Style1">
    <w:name w:val="Style1"/>
    <w:basedOn w:val="Normal"/>
    <w:link w:val="Style1Char"/>
    <w:autoRedefine/>
    <w:qFormat/>
    <w:rsid w:val="006E50FF"/>
    <w:pPr>
      <w:tabs>
        <w:tab w:val="left" w:pos="1440"/>
      </w:tabs>
      <w:spacing w:line="480" w:lineRule="auto"/>
      <w:ind w:firstLine="720"/>
    </w:pPr>
    <w:rPr>
      <w:rFonts w:eastAsia="Aptos"/>
      <w:kern w:val="2"/>
      <w:sz w:val="24"/>
      <w:szCs w:val="24"/>
    </w:rPr>
  </w:style>
  <w:style w:type="character" w:customStyle="1" w:styleId="Style1Char">
    <w:name w:val="Style1 Char"/>
    <w:link w:val="Style1"/>
    <w:rsid w:val="006E50FF"/>
    <w:rPr>
      <w:rFonts w:eastAsia="Aptos"/>
      <w:kern w:val="2"/>
      <w:sz w:val="24"/>
      <w:szCs w:val="24"/>
    </w:rPr>
  </w:style>
  <w:style w:type="paragraph" w:customStyle="1" w:styleId="Style2">
    <w:name w:val="Style2"/>
    <w:basedOn w:val="Style1"/>
    <w:link w:val="Style2Char"/>
    <w:autoRedefine/>
    <w:qFormat/>
    <w:rsid w:val="006E50FF"/>
    <w:pPr>
      <w:tabs>
        <w:tab w:val="left" w:pos="2160"/>
      </w:tabs>
      <w:ind w:firstLine="1440"/>
    </w:pPr>
  </w:style>
  <w:style w:type="character" w:customStyle="1" w:styleId="Style2Char">
    <w:name w:val="Style2 Char"/>
    <w:link w:val="Style2"/>
    <w:rsid w:val="006E50FF"/>
    <w:rPr>
      <w:rFonts w:eastAsia="Aptos"/>
      <w:kern w:val="2"/>
      <w:sz w:val="24"/>
      <w:szCs w:val="24"/>
    </w:rPr>
  </w:style>
  <w:style w:type="paragraph" w:customStyle="1" w:styleId="Style4">
    <w:name w:val="Style4"/>
    <w:basedOn w:val="Normal"/>
    <w:link w:val="Style4Char"/>
    <w:autoRedefine/>
    <w:qFormat/>
    <w:rsid w:val="006E50FF"/>
    <w:pPr>
      <w:tabs>
        <w:tab w:val="left" w:pos="1440"/>
        <w:tab w:val="left" w:pos="2160"/>
        <w:tab w:val="left" w:pos="2880"/>
        <w:tab w:val="left" w:pos="3600"/>
      </w:tabs>
      <w:spacing w:line="480" w:lineRule="auto"/>
      <w:ind w:firstLine="2880"/>
    </w:pPr>
    <w:rPr>
      <w:rFonts w:eastAsia="Aptos"/>
      <w:kern w:val="2"/>
      <w:sz w:val="24"/>
      <w:szCs w:val="24"/>
    </w:rPr>
  </w:style>
  <w:style w:type="character" w:customStyle="1" w:styleId="Style4Char">
    <w:name w:val="Style4 Char"/>
    <w:link w:val="Style4"/>
    <w:rsid w:val="006E50FF"/>
    <w:rPr>
      <w:rFonts w:eastAsia="Aptos"/>
      <w:kern w:val="2"/>
      <w:sz w:val="24"/>
      <w:szCs w:val="24"/>
    </w:rPr>
  </w:style>
  <w:style w:type="paragraph" w:customStyle="1" w:styleId="Style5">
    <w:name w:val="Style5"/>
    <w:basedOn w:val="Style4"/>
    <w:link w:val="Style5Char"/>
    <w:autoRedefine/>
    <w:qFormat/>
    <w:rsid w:val="006E50FF"/>
    <w:pPr>
      <w:tabs>
        <w:tab w:val="left" w:pos="4320"/>
      </w:tabs>
      <w:ind w:firstLine="3600"/>
    </w:pPr>
  </w:style>
  <w:style w:type="character" w:customStyle="1" w:styleId="Style5Char">
    <w:name w:val="Style5 Char"/>
    <w:link w:val="Style5"/>
    <w:rsid w:val="006E50FF"/>
    <w:rPr>
      <w:rFonts w:eastAsia="Aptos"/>
      <w:kern w:val="2"/>
      <w:sz w:val="24"/>
      <w:szCs w:val="24"/>
    </w:rPr>
  </w:style>
  <w:style w:type="paragraph" w:customStyle="1" w:styleId="EX">
    <w:name w:val="EX"/>
    <w:basedOn w:val="Style1"/>
    <w:link w:val="EXChar"/>
    <w:autoRedefine/>
    <w:qFormat/>
    <w:rsid w:val="006E50FF"/>
    <w:pPr>
      <w:ind w:left="720" w:right="720" w:firstLine="0"/>
    </w:pPr>
  </w:style>
  <w:style w:type="character" w:customStyle="1" w:styleId="EXChar">
    <w:name w:val="EX Char"/>
    <w:link w:val="EX"/>
    <w:rsid w:val="006E50FF"/>
    <w:rPr>
      <w:rFonts w:eastAsia="Aptos"/>
      <w:kern w:val="2"/>
      <w:sz w:val="24"/>
      <w:szCs w:val="24"/>
    </w:rPr>
  </w:style>
  <w:style w:type="paragraph" w:customStyle="1" w:styleId="Style3">
    <w:name w:val="Style3"/>
    <w:basedOn w:val="Style2"/>
    <w:link w:val="Style3Char"/>
    <w:autoRedefine/>
    <w:qFormat/>
    <w:rsid w:val="006E50FF"/>
    <w:pPr>
      <w:tabs>
        <w:tab w:val="left" w:pos="2880"/>
      </w:tabs>
      <w:ind w:firstLine="2160"/>
    </w:pPr>
  </w:style>
  <w:style w:type="character" w:customStyle="1" w:styleId="Style3Char">
    <w:name w:val="Style3 Char"/>
    <w:link w:val="Style3"/>
    <w:rsid w:val="006E50FF"/>
    <w:rPr>
      <w:rFonts w:eastAsia="Aptos"/>
      <w:kern w:val="2"/>
      <w:sz w:val="24"/>
      <w:szCs w:val="24"/>
    </w:rPr>
  </w:style>
  <w:style w:type="paragraph" w:customStyle="1" w:styleId="Layout">
    <w:name w:val="Layout"/>
    <w:basedOn w:val="Normal"/>
    <w:link w:val="LayoutChar"/>
    <w:autoRedefine/>
    <w:qFormat/>
    <w:rsid w:val="006E50FF"/>
    <w:pPr>
      <w:spacing w:line="480" w:lineRule="auto"/>
    </w:pPr>
    <w:rPr>
      <w:rFonts w:eastAsia="Aptos"/>
      <w:kern w:val="2"/>
      <w:sz w:val="24"/>
      <w:szCs w:val="24"/>
    </w:rPr>
  </w:style>
  <w:style w:type="character" w:customStyle="1" w:styleId="LayoutChar">
    <w:name w:val="Layout Char"/>
    <w:link w:val="Layout"/>
    <w:rsid w:val="006E50FF"/>
    <w:rPr>
      <w:rFonts w:eastAsia="Aptos"/>
      <w:kern w:val="2"/>
      <w:sz w:val="24"/>
      <w:szCs w:val="24"/>
    </w:rPr>
  </w:style>
  <w:style w:type="paragraph" w:customStyle="1" w:styleId="TOCSection">
    <w:name w:val="TOCSection"/>
    <w:basedOn w:val="TOCChapter"/>
    <w:rsid w:val="006E50FF"/>
    <w:pPr>
      <w:ind w:left="1728" w:right="432" w:hanging="1008"/>
    </w:pPr>
  </w:style>
  <w:style w:type="character" w:customStyle="1" w:styleId="10">
    <w:name w:val="1"/>
    <w:rsid w:val="006E50FF"/>
  </w:style>
  <w:style w:type="character" w:customStyle="1" w:styleId="RedHidden">
    <w:name w:val="RedHidden"/>
    <w:rsid w:val="006E50FF"/>
    <w:rPr>
      <w:vanish/>
      <w:color w:val="FF0000"/>
    </w:rPr>
  </w:style>
  <w:style w:type="paragraph" w:styleId="BlockText">
    <w:name w:val="Block Text"/>
    <w:basedOn w:val="Normal"/>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80" w:right="180" w:firstLine="360"/>
      <w:jc w:val="both"/>
    </w:pPr>
    <w:rPr>
      <w:sz w:val="16"/>
    </w:rPr>
  </w:style>
  <w:style w:type="character" w:customStyle="1" w:styleId="Sup">
    <w:name w:val="Sup"/>
    <w:rsid w:val="006E50FF"/>
    <w:rPr>
      <w:position w:val="5"/>
      <w:szCs w:val="20"/>
    </w:rPr>
  </w:style>
  <w:style w:type="paragraph" w:styleId="BodyTextIndent">
    <w:name w:val="Body Text Indent"/>
    <w:basedOn w:val="Normal"/>
    <w:link w:val="BodyTextIndentChar"/>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firstLine="540"/>
      <w:jc w:val="both"/>
    </w:pPr>
    <w:rPr>
      <w:sz w:val="16"/>
    </w:rPr>
  </w:style>
  <w:style w:type="character" w:customStyle="1" w:styleId="BodyTextIndentChar">
    <w:name w:val="Body Text Indent Char"/>
    <w:basedOn w:val="DefaultParagraphFont"/>
    <w:link w:val="BodyTextIndent"/>
    <w:rsid w:val="006E50FF"/>
    <w:rPr>
      <w:sz w:val="16"/>
    </w:rPr>
  </w:style>
  <w:style w:type="paragraph" w:customStyle="1" w:styleId="Appendix">
    <w:name w:val="Appendix"/>
    <w:basedOn w:val="Chapter"/>
    <w:rsid w:val="006E50FF"/>
    <w:pPr>
      <w:tabs>
        <w:tab w:val="clear" w:pos="216"/>
        <w:tab w:val="clear" w:pos="1296"/>
        <w:tab w:val="left" w:pos="1080"/>
        <w:tab w:val="left" w:pos="1260"/>
      </w:tabs>
      <w:spacing w:after="120"/>
      <w:ind w:left="144" w:right="144" w:firstLine="0"/>
      <w:jc w:val="center"/>
    </w:pPr>
    <w:rPr>
      <w:sz w:val="28"/>
    </w:rPr>
  </w:style>
  <w:style w:type="paragraph" w:customStyle="1" w:styleId="Head">
    <w:name w:val="Head"/>
    <w:rsid w:val="006E50FF"/>
    <w:pPr>
      <w:widowControl w:val="0"/>
      <w:autoSpaceDE w:val="0"/>
      <w:autoSpaceDN w:val="0"/>
      <w:adjustRightInd w:val="0"/>
      <w:spacing w:before="360" w:after="360"/>
      <w:jc w:val="center"/>
    </w:pPr>
    <w:rPr>
      <w:szCs w:val="24"/>
    </w:rPr>
  </w:style>
  <w:style w:type="paragraph" w:customStyle="1" w:styleId="IndentFirst125">
    <w:name w:val="Indent First .125"/>
    <w:rsid w:val="006E50FF"/>
    <w:pPr>
      <w:widowControl w:val="0"/>
      <w:autoSpaceDE w:val="0"/>
      <w:autoSpaceDN w:val="0"/>
      <w:adjustRightInd w:val="0"/>
      <w:ind w:firstLine="180"/>
      <w:jc w:val="center"/>
    </w:pPr>
    <w:rPr>
      <w:szCs w:val="24"/>
    </w:rPr>
  </w:style>
  <w:style w:type="paragraph" w:styleId="BodyTextIndent2">
    <w:name w:val="Body Text Indent 2"/>
    <w:basedOn w:val="Normal"/>
    <w:link w:val="BodyTextIndent2Char"/>
    <w:rsid w:val="006E50FF"/>
    <w:pPr>
      <w:tabs>
        <w:tab w:val="left" w:pos="0"/>
        <w:tab w:val="left" w:pos="18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87"/>
    </w:pPr>
  </w:style>
  <w:style w:type="character" w:customStyle="1" w:styleId="BodyTextIndent2Char">
    <w:name w:val="Body Text Indent 2 Char"/>
    <w:basedOn w:val="DefaultParagraphFont"/>
    <w:link w:val="BodyTextIndent2"/>
    <w:rsid w:val="006E50FF"/>
  </w:style>
  <w:style w:type="paragraph" w:styleId="BodyTextIndent3">
    <w:name w:val="Body Text Indent 3"/>
    <w:basedOn w:val="Normal"/>
    <w:link w:val="BodyTextIndent3Char"/>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firstLine="180"/>
      <w:jc w:val="both"/>
    </w:pPr>
    <w:rPr>
      <w:sz w:val="16"/>
    </w:rPr>
  </w:style>
  <w:style w:type="character" w:customStyle="1" w:styleId="BodyTextIndent3Char">
    <w:name w:val="Body Text Indent 3 Char"/>
    <w:basedOn w:val="DefaultParagraphFont"/>
    <w:link w:val="BodyTextIndent3"/>
    <w:rsid w:val="006E50FF"/>
    <w:rPr>
      <w:sz w:val="16"/>
    </w:rPr>
  </w:style>
  <w:style w:type="paragraph" w:styleId="BodyText2">
    <w:name w:val="Body Text 2"/>
    <w:basedOn w:val="Normal"/>
    <w:link w:val="BodyText2Char"/>
    <w:rsid w:val="006E50FF"/>
    <w:pPr>
      <w:keepNext/>
      <w:keepLines/>
      <w:framePr w:hSpace="180" w:wrap="around" w:vAnchor="page" w:hAnchor="margin" w:y="1085"/>
      <w:tabs>
        <w:tab w:val="left" w:pos="0"/>
        <w:tab w:val="left" w:pos="360"/>
        <w:tab w:val="left" w:pos="720"/>
        <w:tab w:val="left" w:pos="990"/>
        <w:tab w:val="left" w:pos="1276"/>
        <w:tab w:val="left" w:pos="1620"/>
        <w:tab w:val="left" w:pos="1915"/>
        <w:tab w:val="left" w:pos="2234"/>
        <w:tab w:val="left" w:pos="2553"/>
        <w:tab w:val="left" w:pos="2872"/>
        <w:tab w:val="left" w:pos="3191"/>
        <w:tab w:val="left" w:pos="3510"/>
        <w:tab w:val="left" w:pos="3829"/>
        <w:tab w:val="left" w:pos="4148"/>
        <w:tab w:val="left" w:pos="4467"/>
        <w:tab w:val="left" w:pos="4786"/>
        <w:tab w:val="left" w:pos="5105"/>
        <w:tab w:val="left" w:pos="5424"/>
        <w:tab w:val="left" w:pos="5743"/>
        <w:tab w:val="left" w:pos="6062"/>
        <w:tab w:val="left" w:pos="6381"/>
      </w:tabs>
      <w:spacing w:after="120" w:line="240" w:lineRule="exact"/>
      <w:jc w:val="center"/>
    </w:pPr>
    <w:rPr>
      <w:b/>
      <w:bCs/>
      <w:kern w:val="2"/>
      <w:sz w:val="16"/>
    </w:rPr>
  </w:style>
  <w:style w:type="character" w:customStyle="1" w:styleId="BodyText2Char">
    <w:name w:val="Body Text 2 Char"/>
    <w:basedOn w:val="DefaultParagraphFont"/>
    <w:link w:val="BodyText2"/>
    <w:rsid w:val="006E50FF"/>
    <w:rPr>
      <w:b/>
      <w:bCs/>
      <w:kern w:val="2"/>
      <w:sz w:val="16"/>
    </w:rPr>
  </w:style>
  <w:style w:type="character" w:styleId="FollowedHyperlink">
    <w:name w:val="FollowedHyperlink"/>
    <w:uiPriority w:val="99"/>
    <w:rsid w:val="006E50FF"/>
    <w:rPr>
      <w:color w:val="800080"/>
      <w:u w:val="single"/>
    </w:rPr>
  </w:style>
  <w:style w:type="paragraph" w:styleId="BodyText3">
    <w:name w:val="Body Text 3"/>
    <w:basedOn w:val="Normal"/>
    <w:link w:val="BodyText3Char"/>
    <w:rsid w:val="006E50FF"/>
    <w:pPr>
      <w:tabs>
        <w:tab w:val="left" w:pos="0"/>
        <w:tab w:val="left" w:pos="360"/>
        <w:tab w:val="left" w:pos="720"/>
        <w:tab w:val="left" w:pos="990"/>
        <w:tab w:val="left" w:pos="1276"/>
        <w:tab w:val="left" w:pos="1620"/>
        <w:tab w:val="left" w:pos="1915"/>
        <w:tab w:val="left" w:pos="2234"/>
        <w:tab w:val="left" w:pos="2553"/>
        <w:tab w:val="left" w:pos="2872"/>
        <w:tab w:val="left" w:pos="3191"/>
        <w:tab w:val="left" w:pos="3510"/>
        <w:tab w:val="left" w:pos="3829"/>
        <w:tab w:val="left" w:pos="4148"/>
        <w:tab w:val="left" w:pos="4467"/>
        <w:tab w:val="left" w:pos="4786"/>
        <w:tab w:val="left" w:pos="5105"/>
        <w:tab w:val="left" w:pos="5424"/>
        <w:tab w:val="left" w:pos="5743"/>
        <w:tab w:val="left" w:pos="6062"/>
        <w:tab w:val="left" w:pos="6381"/>
        <w:tab w:val="left" w:pos="6700"/>
        <w:tab w:val="left" w:pos="7019"/>
        <w:tab w:val="left" w:pos="7338"/>
        <w:tab w:val="left" w:pos="7657"/>
        <w:tab w:val="left" w:pos="7976"/>
        <w:tab w:val="left" w:pos="8295"/>
        <w:tab w:val="left" w:pos="8614"/>
        <w:tab w:val="left" w:pos="8933"/>
        <w:tab w:val="left" w:pos="9252"/>
        <w:tab w:val="left" w:pos="9571"/>
        <w:tab w:val="left" w:pos="9890"/>
      </w:tabs>
      <w:spacing w:after="108" w:line="216" w:lineRule="exact"/>
    </w:pPr>
    <w:rPr>
      <w:kern w:val="2"/>
      <w:sz w:val="16"/>
    </w:rPr>
  </w:style>
  <w:style w:type="character" w:customStyle="1" w:styleId="BodyText3Char">
    <w:name w:val="Body Text 3 Char"/>
    <w:basedOn w:val="DefaultParagraphFont"/>
    <w:link w:val="BodyText3"/>
    <w:rsid w:val="006E50FF"/>
    <w:rPr>
      <w:kern w:val="2"/>
      <w:sz w:val="16"/>
    </w:rPr>
  </w:style>
  <w:style w:type="paragraph" w:customStyle="1" w:styleId="Default">
    <w:name w:val="Default"/>
    <w:rsid w:val="006E50FF"/>
    <w:pPr>
      <w:autoSpaceDE w:val="0"/>
      <w:autoSpaceDN w:val="0"/>
      <w:adjustRightInd w:val="0"/>
      <w:jc w:val="center"/>
    </w:pPr>
    <w:rPr>
      <w:rFonts w:ascii="TimesNewRoman,Bold" w:hAnsi="TimesNewRoman,Bold"/>
    </w:rPr>
  </w:style>
  <w:style w:type="paragraph" w:customStyle="1" w:styleId="xl24">
    <w:name w:val="xl24"/>
    <w:basedOn w:val="Normal"/>
    <w:rsid w:val="006E50FF"/>
    <w:pPr>
      <w:spacing w:before="100" w:beforeAutospacing="1" w:after="100" w:afterAutospacing="1"/>
    </w:pPr>
    <w:rPr>
      <w:rFonts w:ascii="Arial" w:eastAsia="Arial Unicode MS" w:hAnsi="Arial" w:cs="Arial"/>
      <w:sz w:val="14"/>
      <w:szCs w:val="14"/>
    </w:rPr>
  </w:style>
  <w:style w:type="paragraph" w:customStyle="1" w:styleId="xl25">
    <w:name w:val="xl25"/>
    <w:basedOn w:val="Normal"/>
    <w:rsid w:val="006E50FF"/>
    <w:pPr>
      <w:spacing w:before="100" w:beforeAutospacing="1" w:after="100" w:afterAutospacing="1"/>
      <w:jc w:val="center"/>
      <w:textAlignment w:val="center"/>
    </w:pPr>
    <w:rPr>
      <w:rFonts w:ascii="Arial" w:eastAsia="Arial Unicode MS" w:hAnsi="Arial" w:cs="Arial"/>
      <w:sz w:val="14"/>
      <w:szCs w:val="14"/>
    </w:rPr>
  </w:style>
  <w:style w:type="paragraph" w:customStyle="1" w:styleId="xl26">
    <w:name w:val="xl26"/>
    <w:basedOn w:val="Normal"/>
    <w:rsid w:val="006E50FF"/>
    <w:pPr>
      <w:spacing w:before="100" w:beforeAutospacing="1" w:after="100" w:afterAutospacing="1"/>
      <w:jc w:val="center"/>
    </w:pPr>
    <w:rPr>
      <w:rFonts w:ascii="Arial" w:eastAsia="Arial Unicode MS" w:hAnsi="Arial" w:cs="Arial"/>
      <w:sz w:val="14"/>
      <w:szCs w:val="14"/>
    </w:rPr>
  </w:style>
  <w:style w:type="paragraph" w:customStyle="1" w:styleId="xl27">
    <w:name w:val="xl27"/>
    <w:basedOn w:val="Normal"/>
    <w:rsid w:val="006E50FF"/>
    <w:pPr>
      <w:spacing w:before="100" w:beforeAutospacing="1" w:after="100" w:afterAutospacing="1"/>
    </w:pPr>
    <w:rPr>
      <w:rFonts w:ascii="Arial" w:eastAsia="Arial Unicode MS" w:hAnsi="Arial" w:cs="Arial"/>
      <w:sz w:val="14"/>
      <w:szCs w:val="14"/>
    </w:rPr>
  </w:style>
  <w:style w:type="paragraph" w:customStyle="1" w:styleId="xl28">
    <w:name w:val="xl28"/>
    <w:basedOn w:val="Normal"/>
    <w:rsid w:val="006E50FF"/>
    <w:pPr>
      <w:spacing w:before="100" w:beforeAutospacing="1" w:after="100" w:afterAutospacing="1"/>
      <w:textAlignment w:val="center"/>
    </w:pPr>
    <w:rPr>
      <w:rFonts w:ascii="Arial" w:eastAsia="Arial Unicode MS" w:hAnsi="Arial" w:cs="Arial"/>
      <w:sz w:val="14"/>
      <w:szCs w:val="14"/>
    </w:rPr>
  </w:style>
  <w:style w:type="paragraph" w:customStyle="1" w:styleId="xl29">
    <w:name w:val="xl29"/>
    <w:basedOn w:val="Normal"/>
    <w:rsid w:val="006E50FF"/>
    <w:pPr>
      <w:spacing w:before="100" w:beforeAutospacing="1" w:after="100" w:afterAutospacing="1"/>
    </w:pPr>
    <w:rPr>
      <w:rFonts w:eastAsia="Arial Unicode MS"/>
      <w:b/>
      <w:bCs/>
      <w:sz w:val="24"/>
    </w:rPr>
  </w:style>
  <w:style w:type="paragraph" w:customStyle="1" w:styleId="xl30">
    <w:name w:val="xl30"/>
    <w:basedOn w:val="Normal"/>
    <w:rsid w:val="006E50FF"/>
    <w:pPr>
      <w:spacing w:before="100" w:beforeAutospacing="1" w:after="100" w:afterAutospacing="1"/>
      <w:jc w:val="center"/>
      <w:textAlignment w:val="center"/>
    </w:pPr>
    <w:rPr>
      <w:rFonts w:eastAsia="Arial Unicode MS"/>
      <w:b/>
      <w:bCs/>
      <w:sz w:val="24"/>
    </w:rPr>
  </w:style>
  <w:style w:type="paragraph" w:customStyle="1" w:styleId="xl31">
    <w:name w:val="xl31"/>
    <w:basedOn w:val="Normal"/>
    <w:rsid w:val="006E50FF"/>
    <w:pPr>
      <w:spacing w:before="100" w:beforeAutospacing="1" w:after="100" w:afterAutospacing="1"/>
      <w:jc w:val="center"/>
    </w:pPr>
    <w:rPr>
      <w:rFonts w:eastAsia="Arial Unicode MS"/>
      <w:b/>
      <w:bCs/>
      <w:sz w:val="24"/>
    </w:rPr>
  </w:style>
  <w:style w:type="paragraph" w:styleId="CommentSubject">
    <w:name w:val="annotation subject"/>
    <w:basedOn w:val="CommentText"/>
    <w:next w:val="CommentText"/>
    <w:link w:val="CommentSubjectChar"/>
    <w:uiPriority w:val="99"/>
    <w:rsid w:val="006E50FF"/>
    <w:pPr>
      <w:spacing w:after="0"/>
    </w:pPr>
    <w:rPr>
      <w:rFonts w:ascii="Times New Roman" w:eastAsia="Times New Roman" w:hAnsi="Times New Roman"/>
      <w:b/>
      <w:bCs/>
    </w:rPr>
  </w:style>
  <w:style w:type="character" w:customStyle="1" w:styleId="CommentSubjectChar">
    <w:name w:val="Comment Subject Char"/>
    <w:basedOn w:val="CommentTextChar"/>
    <w:link w:val="CommentSubject"/>
    <w:uiPriority w:val="99"/>
    <w:rsid w:val="006E50FF"/>
    <w:rPr>
      <w:rFonts w:ascii="Calibri" w:eastAsia="Calibri" w:hAnsi="Calibri"/>
      <w:b/>
      <w:bCs/>
    </w:rPr>
  </w:style>
  <w:style w:type="character" w:customStyle="1" w:styleId="SourceNotes">
    <w:name w:val="Source Notes"/>
    <w:rsid w:val="006E50FF"/>
    <w:rPr>
      <w:sz w:val="20"/>
      <w:szCs w:val="20"/>
    </w:rPr>
  </w:style>
  <w:style w:type="character" w:customStyle="1" w:styleId="LSC">
    <w:name w:val="LSC"/>
    <w:rsid w:val="006E50FF"/>
    <w:rPr>
      <w:sz w:val="20"/>
      <w:szCs w:val="20"/>
    </w:rPr>
  </w:style>
  <w:style w:type="paragraph" w:customStyle="1" w:styleId="SectionLevel">
    <w:name w:val="Section Level"/>
    <w:rsid w:val="006E50FF"/>
    <w:pPr>
      <w:widowControl w:val="0"/>
      <w:autoSpaceDE w:val="0"/>
      <w:autoSpaceDN w:val="0"/>
      <w:adjustRightInd w:val="0"/>
      <w:jc w:val="center"/>
    </w:pPr>
    <w:rPr>
      <w:b/>
      <w:bCs/>
      <w:sz w:val="28"/>
      <w:szCs w:val="28"/>
    </w:rPr>
  </w:style>
  <w:style w:type="paragraph" w:styleId="HTMLPreformatted">
    <w:name w:val="HTML Preformatted"/>
    <w:basedOn w:val="Normal"/>
    <w:link w:val="HTMLPreformattedChar"/>
    <w:rsid w:val="006E5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6E50FF"/>
    <w:rPr>
      <w:rFonts w:ascii="Courier New" w:hAnsi="Courier New" w:cs="Courier New"/>
    </w:rPr>
  </w:style>
  <w:style w:type="paragraph" w:customStyle="1" w:styleId="Joni">
    <w:name w:val="Joni"/>
    <w:basedOn w:val="Normal"/>
    <w:link w:val="JoniChar"/>
    <w:qFormat/>
    <w:rsid w:val="006E50FF"/>
    <w:pPr>
      <w:tabs>
        <w:tab w:val="left" w:pos="720"/>
      </w:tabs>
      <w:spacing w:line="480" w:lineRule="auto"/>
      <w:ind w:firstLine="14"/>
      <w:jc w:val="both"/>
    </w:pPr>
    <w:rPr>
      <w:sz w:val="24"/>
      <w:szCs w:val="24"/>
    </w:rPr>
  </w:style>
  <w:style w:type="character" w:customStyle="1" w:styleId="JoniChar">
    <w:name w:val="Joni Char"/>
    <w:link w:val="Joni"/>
    <w:rsid w:val="006E50FF"/>
    <w:rPr>
      <w:sz w:val="24"/>
      <w:szCs w:val="24"/>
    </w:rPr>
  </w:style>
  <w:style w:type="table" w:customStyle="1" w:styleId="TableGrid11">
    <w:name w:val="Table Grid11"/>
    <w:basedOn w:val="TableNormal"/>
    <w:uiPriority w:val="59"/>
    <w:rsid w:val="006E50FF"/>
    <w:rPr>
      <w:rFonts w:ascii="Aptos" w:eastAsia="Aptos" w:hAnsi="Aptos"/>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CNoteChar">
    <w:name w:val="LACNote Char"/>
    <w:link w:val="LACNote"/>
    <w:rsid w:val="006E50FF"/>
    <w:rPr>
      <w:kern w:val="2"/>
      <w:sz w:val="16"/>
    </w:rPr>
  </w:style>
  <w:style w:type="paragraph" w:styleId="Index2">
    <w:name w:val="index 2"/>
    <w:basedOn w:val="Normal"/>
    <w:next w:val="Normal"/>
    <w:autoRedefine/>
    <w:semiHidden/>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right" w:leader="dot" w:pos="4886"/>
        <w:tab w:val="left" w:pos="5040"/>
        <w:tab w:val="left" w:pos="5220"/>
        <w:tab w:val="left" w:pos="5400"/>
        <w:tab w:val="left" w:pos="5580"/>
        <w:tab w:val="left" w:pos="5760"/>
        <w:tab w:val="left" w:pos="5940"/>
        <w:tab w:val="left" w:pos="6120"/>
        <w:tab w:val="left" w:pos="6300"/>
        <w:tab w:val="left" w:pos="6480"/>
        <w:tab w:val="left" w:pos="6660"/>
        <w:tab w:val="left" w:pos="6840"/>
        <w:tab w:val="left" w:leader="dot" w:pos="7020"/>
      </w:tabs>
      <w:ind w:left="480" w:hanging="240"/>
    </w:pPr>
    <w:rPr>
      <w:noProof/>
      <w:sz w:val="24"/>
    </w:rPr>
  </w:style>
  <w:style w:type="paragraph" w:customStyle="1" w:styleId="Preformatted">
    <w:name w:val="Preformatted"/>
    <w:basedOn w:val="Normal"/>
    <w:rsid w:val="006E50FF"/>
    <w:pPr>
      <w:widowControl w:val="0"/>
      <w:spacing w:line="480" w:lineRule="auto"/>
    </w:pPr>
    <w:rPr>
      <w:sz w:val="24"/>
    </w:rPr>
  </w:style>
  <w:style w:type="paragraph" w:styleId="ListBullet">
    <w:name w:val="List Bullet"/>
    <w:basedOn w:val="Normal"/>
    <w:autoRedefine/>
    <w:rsid w:val="006E50FF"/>
    <w:pPr>
      <w:numPr>
        <w:numId w:val="26"/>
      </w:numPr>
      <w:tabs>
        <w:tab w:val="clear" w:pos="360"/>
      </w:tabs>
      <w:ind w:left="0" w:firstLine="0"/>
    </w:pPr>
    <w:rPr>
      <w:sz w:val="24"/>
    </w:rPr>
  </w:style>
  <w:style w:type="character" w:styleId="Strong">
    <w:name w:val="Strong"/>
    <w:uiPriority w:val="22"/>
    <w:qFormat/>
    <w:rsid w:val="006E50FF"/>
    <w:rPr>
      <w:b/>
      <w:bCs/>
    </w:rPr>
  </w:style>
  <w:style w:type="character" w:customStyle="1" w:styleId="TOC10">
    <w:name w:val="TOC1"/>
    <w:rsid w:val="006E50FF"/>
    <w:rPr>
      <w:rFonts w:ascii="Arial" w:hAnsi="Arial"/>
      <w:b/>
      <w:kern w:val="2"/>
      <w:sz w:val="18"/>
    </w:rPr>
  </w:style>
  <w:style w:type="character" w:styleId="Emphasis">
    <w:name w:val="Emphasis"/>
    <w:uiPriority w:val="20"/>
    <w:qFormat/>
    <w:rsid w:val="006E50FF"/>
    <w:rPr>
      <w:i/>
      <w:iCs/>
    </w:rPr>
  </w:style>
  <w:style w:type="character" w:customStyle="1" w:styleId="efilebold1">
    <w:name w:val="efilebold1"/>
    <w:rsid w:val="006E50FF"/>
    <w:rPr>
      <w:b/>
      <w:bCs/>
      <w:i/>
      <w:iCs/>
    </w:rPr>
  </w:style>
  <w:style w:type="character" w:customStyle="1" w:styleId="RegFE2Char">
    <w:name w:val="Reg F&amp;E 2 Char"/>
    <w:link w:val="RegFE2"/>
    <w:rsid w:val="006E50FF"/>
    <w:rPr>
      <w:noProof/>
      <w:sz w:val="18"/>
    </w:rPr>
  </w:style>
  <w:style w:type="character" w:customStyle="1" w:styleId="sp">
    <w:name w:val="sp"/>
    <w:rsid w:val="006E50FF"/>
    <w:rPr>
      <w:i/>
      <w:iCs/>
    </w:rPr>
  </w:style>
  <w:style w:type="character" w:customStyle="1" w:styleId="genus">
    <w:name w:val="genus"/>
    <w:rsid w:val="006E50FF"/>
    <w:rPr>
      <w:i/>
      <w:iCs/>
    </w:rPr>
  </w:style>
  <w:style w:type="character" w:customStyle="1" w:styleId="p1">
    <w:name w:val="p1"/>
    <w:basedOn w:val="DefaultParagraphFont"/>
    <w:rsid w:val="006E50FF"/>
  </w:style>
  <w:style w:type="paragraph" w:customStyle="1" w:styleId="RedRight">
    <w:name w:val="RedRight"/>
    <w:rsid w:val="006E50FF"/>
    <w:pPr>
      <w:widowControl w:val="0"/>
      <w:autoSpaceDE w:val="0"/>
      <w:autoSpaceDN w:val="0"/>
      <w:adjustRightInd w:val="0"/>
      <w:spacing w:before="180"/>
      <w:jc w:val="right"/>
    </w:pPr>
    <w:rPr>
      <w:color w:val="FF0000"/>
      <w:kern w:val="2"/>
      <w:szCs w:val="22"/>
    </w:rPr>
  </w:style>
  <w:style w:type="paragraph" w:customStyle="1" w:styleId="Level1">
    <w:name w:val="Level 1"/>
    <w:basedOn w:val="Normal"/>
    <w:rsid w:val="006E50FF"/>
    <w:pPr>
      <w:widowControl w:val="0"/>
      <w:tabs>
        <w:tab w:val="num" w:pos="360"/>
      </w:tabs>
      <w:autoSpaceDE w:val="0"/>
      <w:autoSpaceDN w:val="0"/>
      <w:adjustRightInd w:val="0"/>
      <w:ind w:left="720" w:hanging="720"/>
      <w:outlineLvl w:val="0"/>
    </w:pPr>
    <w:rPr>
      <w:sz w:val="24"/>
      <w:szCs w:val="24"/>
    </w:rPr>
  </w:style>
  <w:style w:type="paragraph" w:customStyle="1" w:styleId="Level2">
    <w:name w:val="Level 2"/>
    <w:basedOn w:val="Normal"/>
    <w:rsid w:val="006E50FF"/>
    <w:pPr>
      <w:widowControl w:val="0"/>
      <w:numPr>
        <w:numId w:val="27"/>
      </w:numPr>
      <w:tabs>
        <w:tab w:val="clear" w:pos="600"/>
      </w:tabs>
      <w:autoSpaceDE w:val="0"/>
      <w:autoSpaceDN w:val="0"/>
      <w:adjustRightInd w:val="0"/>
      <w:ind w:left="0" w:firstLine="0"/>
      <w:outlineLvl w:val="1"/>
    </w:pPr>
    <w:rPr>
      <w:sz w:val="24"/>
      <w:szCs w:val="24"/>
    </w:rPr>
  </w:style>
  <w:style w:type="character" w:customStyle="1" w:styleId="HistoricalN">
    <w:name w:val="Historical N"/>
    <w:rsid w:val="006E50FF"/>
  </w:style>
  <w:style w:type="paragraph" w:customStyle="1" w:styleId="WP9Header">
    <w:name w:val="WP9_Header"/>
    <w:basedOn w:val="Normal"/>
    <w:rsid w:val="006E50FF"/>
    <w:pPr>
      <w:tabs>
        <w:tab w:val="center" w:pos="4320"/>
        <w:tab w:val="right" w:pos="8640"/>
        <w:tab w:val="right" w:pos="9360"/>
      </w:tabs>
    </w:pPr>
    <w:rPr>
      <w:sz w:val="24"/>
    </w:rPr>
  </w:style>
  <w:style w:type="character" w:customStyle="1" w:styleId="AuthorityNo">
    <w:name w:val="Authority No"/>
    <w:rsid w:val="006E50FF"/>
  </w:style>
  <w:style w:type="character" w:customStyle="1" w:styleId="BalloonTextChar1">
    <w:name w:val="Balloon Text Char1"/>
    <w:rsid w:val="006E50FF"/>
    <w:rPr>
      <w:rFonts w:ascii="Tahoma" w:hAnsi="Tahoma" w:cs="Tahoma"/>
      <w:sz w:val="16"/>
      <w:szCs w:val="16"/>
    </w:rPr>
  </w:style>
  <w:style w:type="character" w:styleId="FootnoteReference">
    <w:name w:val="footnote reference"/>
    <w:rsid w:val="006E50FF"/>
  </w:style>
  <w:style w:type="character" w:customStyle="1" w:styleId="div6head">
    <w:name w:val="div6head"/>
    <w:basedOn w:val="DefaultParagraphFont"/>
    <w:rsid w:val="006E50FF"/>
  </w:style>
  <w:style w:type="paragraph" w:customStyle="1" w:styleId="Style10">
    <w:name w:val="Style 1"/>
    <w:basedOn w:val="Normal"/>
    <w:rsid w:val="006E50FF"/>
    <w:pPr>
      <w:widowControl w:val="0"/>
      <w:autoSpaceDE w:val="0"/>
      <w:autoSpaceDN w:val="0"/>
      <w:adjustRightInd w:val="0"/>
    </w:pPr>
    <w:rPr>
      <w:sz w:val="24"/>
      <w:szCs w:val="24"/>
    </w:rPr>
  </w:style>
  <w:style w:type="character" w:customStyle="1" w:styleId="text0">
    <w:name w:val="text"/>
    <w:basedOn w:val="DefaultParagraphFont"/>
    <w:rsid w:val="006E50FF"/>
  </w:style>
  <w:style w:type="character" w:customStyle="1" w:styleId="CharacterStyle4">
    <w:name w:val="Character Style 4"/>
    <w:rsid w:val="006E50FF"/>
    <w:rPr>
      <w:rFonts w:ascii="Garamond" w:hAnsi="Garamond" w:cs="Garamond"/>
      <w:sz w:val="24"/>
      <w:szCs w:val="24"/>
    </w:rPr>
  </w:style>
  <w:style w:type="character" w:customStyle="1" w:styleId="CharacterStyle2">
    <w:name w:val="Character Style 2"/>
    <w:rsid w:val="006E50FF"/>
    <w:rPr>
      <w:rFonts w:ascii="Garamond" w:hAnsi="Garamond" w:cs="Garamond"/>
      <w:sz w:val="24"/>
      <w:szCs w:val="24"/>
    </w:rPr>
  </w:style>
  <w:style w:type="character" w:customStyle="1" w:styleId="CharacterStyle3">
    <w:name w:val="Character Style 3"/>
    <w:rsid w:val="006E50FF"/>
    <w:rPr>
      <w:rFonts w:ascii="Garamond" w:hAnsi="Garamond" w:cs="Garamond"/>
      <w:sz w:val="21"/>
      <w:szCs w:val="21"/>
    </w:rPr>
  </w:style>
  <w:style w:type="character" w:customStyle="1" w:styleId="CharacterStyle1">
    <w:name w:val="Character Style 1"/>
    <w:rsid w:val="006E50FF"/>
    <w:rPr>
      <w:rFonts w:ascii="Garamond" w:hAnsi="Garamond" w:cs="Garamond"/>
      <w:sz w:val="23"/>
      <w:szCs w:val="23"/>
    </w:rPr>
  </w:style>
  <w:style w:type="character" w:customStyle="1" w:styleId="CharacterStyle7">
    <w:name w:val="Character Style 7"/>
    <w:rsid w:val="006E50FF"/>
    <w:rPr>
      <w:b/>
      <w:bCs/>
      <w:sz w:val="21"/>
      <w:szCs w:val="21"/>
    </w:rPr>
  </w:style>
  <w:style w:type="character" w:customStyle="1" w:styleId="CharacterStyle6">
    <w:name w:val="Character Style 6"/>
    <w:rsid w:val="006E50FF"/>
    <w:rPr>
      <w:rFonts w:ascii="Garamond" w:hAnsi="Garamond" w:cs="Garamond"/>
      <w:sz w:val="21"/>
      <w:szCs w:val="21"/>
    </w:rPr>
  </w:style>
  <w:style w:type="paragraph" w:styleId="TOC4">
    <w:name w:val="toc 4"/>
    <w:basedOn w:val="Normal"/>
    <w:next w:val="Normal"/>
    <w:autoRedefine/>
    <w:uiPriority w:val="39"/>
    <w:unhideWhenUsed/>
    <w:rsid w:val="006E50FF"/>
    <w:pPr>
      <w:spacing w:after="100" w:line="276" w:lineRule="auto"/>
      <w:ind w:left="660"/>
    </w:pPr>
    <w:rPr>
      <w:rFonts w:ascii="Calibri" w:hAnsi="Calibri"/>
      <w:sz w:val="24"/>
    </w:rPr>
  </w:style>
  <w:style w:type="paragraph" w:styleId="TOC5">
    <w:name w:val="toc 5"/>
    <w:basedOn w:val="Normal"/>
    <w:next w:val="Normal"/>
    <w:autoRedefine/>
    <w:uiPriority w:val="39"/>
    <w:unhideWhenUsed/>
    <w:rsid w:val="006E50FF"/>
    <w:pPr>
      <w:spacing w:after="100" w:line="276" w:lineRule="auto"/>
      <w:ind w:left="880"/>
    </w:pPr>
    <w:rPr>
      <w:rFonts w:ascii="Calibri" w:hAnsi="Calibri"/>
      <w:sz w:val="24"/>
    </w:rPr>
  </w:style>
  <w:style w:type="paragraph" w:styleId="TOC6">
    <w:name w:val="toc 6"/>
    <w:basedOn w:val="Normal"/>
    <w:next w:val="Normal"/>
    <w:autoRedefine/>
    <w:uiPriority w:val="39"/>
    <w:unhideWhenUsed/>
    <w:rsid w:val="006E50FF"/>
    <w:pPr>
      <w:spacing w:after="100" w:line="276" w:lineRule="auto"/>
      <w:ind w:left="1100"/>
    </w:pPr>
    <w:rPr>
      <w:rFonts w:ascii="Calibri" w:hAnsi="Calibri"/>
      <w:sz w:val="24"/>
    </w:rPr>
  </w:style>
  <w:style w:type="paragraph" w:styleId="TOC7">
    <w:name w:val="toc 7"/>
    <w:basedOn w:val="Normal"/>
    <w:next w:val="Normal"/>
    <w:autoRedefine/>
    <w:uiPriority w:val="39"/>
    <w:unhideWhenUsed/>
    <w:rsid w:val="006E50FF"/>
    <w:pPr>
      <w:spacing w:after="100" w:line="276" w:lineRule="auto"/>
      <w:ind w:left="1320"/>
    </w:pPr>
    <w:rPr>
      <w:rFonts w:ascii="Calibri" w:hAnsi="Calibri"/>
      <w:sz w:val="24"/>
    </w:rPr>
  </w:style>
  <w:style w:type="paragraph" w:styleId="TOC8">
    <w:name w:val="toc 8"/>
    <w:basedOn w:val="Normal"/>
    <w:next w:val="Normal"/>
    <w:autoRedefine/>
    <w:uiPriority w:val="39"/>
    <w:unhideWhenUsed/>
    <w:rsid w:val="006E50FF"/>
    <w:pPr>
      <w:spacing w:after="100" w:line="276" w:lineRule="auto"/>
      <w:ind w:left="1540"/>
    </w:pPr>
    <w:rPr>
      <w:rFonts w:ascii="Calibri" w:hAnsi="Calibri"/>
      <w:sz w:val="24"/>
    </w:rPr>
  </w:style>
  <w:style w:type="paragraph" w:styleId="TOC9">
    <w:name w:val="toc 9"/>
    <w:basedOn w:val="Normal"/>
    <w:next w:val="Normal"/>
    <w:autoRedefine/>
    <w:uiPriority w:val="39"/>
    <w:unhideWhenUsed/>
    <w:rsid w:val="006E50FF"/>
    <w:pPr>
      <w:spacing w:after="100" w:line="276" w:lineRule="auto"/>
      <w:ind w:left="1760"/>
    </w:pPr>
    <w:rPr>
      <w:rFonts w:ascii="Calibri" w:hAnsi="Calibri"/>
      <w:sz w:val="24"/>
    </w:rPr>
  </w:style>
  <w:style w:type="character" w:customStyle="1" w:styleId="SubChapterChar">
    <w:name w:val="SubChapter Char"/>
    <w:link w:val="SubChapter"/>
    <w:rsid w:val="006E50FF"/>
    <w:rPr>
      <w:sz w:val="28"/>
    </w:rPr>
  </w:style>
  <w:style w:type="paragraph" w:customStyle="1" w:styleId="indent-2">
    <w:name w:val="indent-2"/>
    <w:basedOn w:val="Normal"/>
    <w:rsid w:val="006E50FF"/>
    <w:pPr>
      <w:spacing w:before="100" w:beforeAutospacing="1" w:after="100" w:afterAutospacing="1"/>
    </w:pPr>
    <w:rPr>
      <w:sz w:val="24"/>
      <w:szCs w:val="24"/>
    </w:rPr>
  </w:style>
  <w:style w:type="character" w:customStyle="1" w:styleId="paragraph-hierarchy">
    <w:name w:val="paragraph-hierarchy"/>
    <w:basedOn w:val="DefaultParagraphFont"/>
    <w:rsid w:val="006E50FF"/>
  </w:style>
  <w:style w:type="character" w:customStyle="1" w:styleId="paren">
    <w:name w:val="paren"/>
    <w:basedOn w:val="DefaultParagraphFont"/>
    <w:rsid w:val="006E50FF"/>
  </w:style>
  <w:style w:type="character" w:customStyle="1" w:styleId="style11">
    <w:name w:val="style11"/>
    <w:rsid w:val="00610312"/>
    <w:rPr>
      <w:rFonts w:ascii="Arial" w:hAnsi="Arial" w:cs="Arial" w:hint="default"/>
      <w:sz w:val="20"/>
      <w:szCs w:val="20"/>
    </w:rPr>
  </w:style>
  <w:style w:type="character" w:customStyle="1" w:styleId="RegItemTitleChar">
    <w:name w:val="Reg Item Title Char"/>
    <w:link w:val="RegItemTitle"/>
    <w:rsid w:val="00610312"/>
    <w:rPr>
      <w:noProof/>
    </w:rPr>
  </w:style>
  <w:style w:type="character" w:customStyle="1" w:styleId="RegDepartmentChar">
    <w:name w:val="Reg Department Char"/>
    <w:link w:val="RegDepartment"/>
    <w:locked/>
    <w:rsid w:val="00610312"/>
    <w:rPr>
      <w:b/>
      <w:noProof/>
    </w:rPr>
  </w:style>
  <w:style w:type="character" w:styleId="LineNumber">
    <w:name w:val="line number"/>
    <w:rsid w:val="00610312"/>
  </w:style>
  <w:style w:type="character" w:customStyle="1" w:styleId="normaltextrun">
    <w:name w:val="normaltextrun"/>
    <w:basedOn w:val="DefaultParagraphFont"/>
    <w:rsid w:val="00610312"/>
  </w:style>
  <w:style w:type="paragraph" w:customStyle="1" w:styleId="22">
    <w:name w:val="_22"/>
    <w:basedOn w:val="Normal"/>
    <w:rsid w:val="00610312"/>
    <w:pPr>
      <w:widowControl w:val="0"/>
      <w:tabs>
        <w:tab w:val="left" w:pos="3600"/>
        <w:tab w:val="left" w:pos="4320"/>
        <w:tab w:val="left" w:pos="5040"/>
        <w:tab w:val="left" w:pos="5760"/>
        <w:tab w:val="left" w:pos="6480"/>
        <w:tab w:val="left" w:pos="7200"/>
        <w:tab w:val="left" w:pos="7920"/>
      </w:tabs>
      <w:ind w:left="3600" w:hanging="72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2.wmf"/><Relationship Id="rId26"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oleObject" Target="embeddings/oleObject2.bin"/><Relationship Id="rId7" Type="http://schemas.openxmlformats.org/officeDocument/2006/relationships/footer" Target="footer1.xml"/><Relationship Id="rId12" Type="http://schemas.openxmlformats.org/officeDocument/2006/relationships/hyperlink" Target="https://codes.iccsafe.org/lookup/IPC2021P3_Ch09_Sec906.1_Tbl906.1/2221" TargetMode="External"/><Relationship Id="rId17" Type="http://schemas.openxmlformats.org/officeDocument/2006/relationships/footer" Target="footer9.xml"/><Relationship Id="rId25" Type="http://schemas.openxmlformats.org/officeDocument/2006/relationships/image" Target="media/image5.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oleObject" Target="embeddings/oleObject1.bin"/><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oleObject" Target="embeddings/oleObject4.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image" Target="media/image4.wmf"/><Relationship Id="rId28" Type="http://schemas.openxmlformats.org/officeDocument/2006/relationships/footer" Target="footer11.xml"/><Relationship Id="rId10" Type="http://schemas.openxmlformats.org/officeDocument/2006/relationships/footer" Target="footer4.xml"/><Relationship Id="rId19" Type="http://schemas.openxmlformats.org/officeDocument/2006/relationships/image" Target="media/image3.wmf"/><Relationship Id="rId3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oleObject" Target="embeddings/oleObject3.bin"/><Relationship Id="rId27" Type="http://schemas.openxmlformats.org/officeDocument/2006/relationships/footer" Target="footer10.xml"/><Relationship Id="rId30" Type="http://schemas.openxmlformats.org/officeDocument/2006/relationships/footer" Target="footer13.xml"/><Relationship Id="rId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my%20documents\msoffice\templates\Regi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Register</Template>
  <TotalTime>29</TotalTime>
  <Pages>300</Pages>
  <Words>255851</Words>
  <Characters>1458351</Characters>
  <Application>Microsoft Office Word</Application>
  <DocSecurity>0</DocSecurity>
  <Lines>12152</Lines>
  <Paragraphs>3421</Paragraphs>
  <ScaleCrop>false</ScaleCrop>
  <HeadingPairs>
    <vt:vector size="2" baseType="variant">
      <vt:variant>
        <vt:lpstr>Title</vt:lpstr>
      </vt:variant>
      <vt:variant>
        <vt:i4>1</vt:i4>
      </vt:variant>
    </vt:vector>
  </HeadingPairs>
  <TitlesOfParts>
    <vt:vector size="1" baseType="lpstr">
      <vt:lpstr/>
    </vt:vector>
  </TitlesOfParts>
  <Company>Division of Administration</Company>
  <LinksUpToDate>false</LinksUpToDate>
  <CharactersWithSpaces>1710781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Trantham</dc:creator>
  <cp:keywords/>
  <dc:description/>
  <cp:lastModifiedBy>Andrea Trantham</cp:lastModifiedBy>
  <cp:revision>22</cp:revision>
  <dcterms:created xsi:type="dcterms:W3CDTF">2026-09-18T17:01:00Z</dcterms:created>
  <dcterms:modified xsi:type="dcterms:W3CDTF">2026-09-25T17:00:00Z</dcterms:modified>
</cp:coreProperties>
</file>