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952F" w14:textId="77777777" w:rsidR="00B242D8" w:rsidRDefault="00B242D8" w:rsidP="00B242D8"/>
    <w:p w14:paraId="1444B68B" w14:textId="3DCC9CFB" w:rsidR="006F50A8" w:rsidRDefault="006F50A8" w:rsidP="006F50A8">
      <w:pPr>
        <w:pStyle w:val="Heading5"/>
      </w:pPr>
      <w:r>
        <w:t>Did You Know?</w:t>
      </w:r>
    </w:p>
    <w:p w14:paraId="7618A978" w14:textId="77777777" w:rsidR="00A91670" w:rsidRPr="00837F8A" w:rsidRDefault="00A91670" w:rsidP="00A91670">
      <w:pPr>
        <w:jc w:val="center"/>
        <w:outlineLvl w:val="1"/>
        <w:rPr>
          <w:rFonts w:cs="Arial"/>
          <w:b/>
          <w:bCs/>
        </w:rPr>
      </w:pPr>
    </w:p>
    <w:p w14:paraId="2B2A6179" w14:textId="58151985" w:rsidR="00A91670" w:rsidRDefault="00A91670" w:rsidP="00A91670">
      <w:pPr>
        <w:rPr>
          <w:rFonts w:cs="Arial"/>
        </w:rPr>
      </w:pPr>
      <w:r>
        <w:rPr>
          <w:rFonts w:cs="Arial"/>
        </w:rPr>
        <w:t>The National Safety Council (NSC) estimates that 25% of all accidents happen while a vehicle is backing up. It is estimated that 210 people die every year in vehicle backing accidents.</w:t>
      </w:r>
    </w:p>
    <w:p w14:paraId="3C80EC71" w14:textId="38FB7ED2" w:rsidR="00A91670" w:rsidRDefault="00A91670" w:rsidP="00A91670">
      <w:pPr>
        <w:rPr>
          <w:rFonts w:cs="Arial"/>
        </w:rPr>
      </w:pPr>
    </w:p>
    <w:p w14:paraId="233D1AFA" w14:textId="776CCE7F" w:rsidR="00A91670" w:rsidRDefault="00A91670" w:rsidP="00A91670">
      <w:pPr>
        <w:pStyle w:val="Heading5"/>
      </w:pPr>
      <w:r>
        <w:t>Preventing Backing Accidents:</w:t>
      </w:r>
    </w:p>
    <w:p w14:paraId="183EE210" w14:textId="77777777" w:rsidR="00A91670" w:rsidRDefault="00A91670" w:rsidP="00A91670">
      <w:pPr>
        <w:rPr>
          <w:rFonts w:cs="Arial"/>
        </w:rPr>
      </w:pPr>
      <w:r>
        <w:rPr>
          <w:rFonts w:cs="Arial"/>
        </w:rPr>
        <w:t>Planning in advance can help minimize the likelihood of an accident while backing:</w:t>
      </w:r>
    </w:p>
    <w:p w14:paraId="3F735169" w14:textId="77777777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Position your vehicle so that it is not necessary to back up.</w:t>
      </w:r>
    </w:p>
    <w:p w14:paraId="4606FB91" w14:textId="31FBF59B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When parking try </w:t>
      </w:r>
      <w:r w:rsidR="003C3C1A">
        <w:rPr>
          <w:rFonts w:ascii="Arial" w:eastAsia="Times New Roman" w:hAnsi="Arial" w:cs="Arial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 xml:space="preserve"> find a slot without neighboring cars.</w:t>
      </w:r>
    </w:p>
    <w:p w14:paraId="14EDBC06" w14:textId="77777777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possible, back into a parking space.</w:t>
      </w:r>
    </w:p>
    <w:p w14:paraId="7F52FD8E" w14:textId="77777777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possible, back up to the left where objects on the driver’s side can be seen.</w:t>
      </w:r>
    </w:p>
    <w:p w14:paraId="2DD62673" w14:textId="77777777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When possible, use another person as a spotter to help while backing up.</w:t>
      </w:r>
    </w:p>
    <w:p w14:paraId="0B8DD8FB" w14:textId="77777777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Never allow the spotter to walk backwards while giving instructions.</w:t>
      </w:r>
    </w:p>
    <w:p w14:paraId="5BC9C86F" w14:textId="77777777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Conduct a walk-around of the vehicle to identify hazards.</w:t>
      </w:r>
    </w:p>
    <w:p w14:paraId="671B2D74" w14:textId="77777777" w:rsidR="00A91670" w:rsidRDefault="00A91670" w:rsidP="00A91670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Use both mirrors and check over shoulders when backing up.</w:t>
      </w:r>
    </w:p>
    <w:p w14:paraId="18ABA0E5" w14:textId="77777777" w:rsidR="00A91670" w:rsidRDefault="00A91670" w:rsidP="00A91670">
      <w:pPr>
        <w:rPr>
          <w:rFonts w:cs="Arial"/>
        </w:rPr>
      </w:pPr>
    </w:p>
    <w:p w14:paraId="0B483E4C" w14:textId="0FF5BB5B" w:rsidR="00A91670" w:rsidRDefault="00A91670" w:rsidP="00A91670">
      <w:pPr>
        <w:rPr>
          <w:rFonts w:cs="Arial"/>
        </w:rPr>
      </w:pPr>
      <w:r>
        <w:rPr>
          <w:rFonts w:cs="Arial"/>
        </w:rPr>
        <w:t>Know your vehicle clearances (front, back</w:t>
      </w:r>
      <w:r w:rsidR="003C3C1A">
        <w:rPr>
          <w:rFonts w:cs="Arial"/>
        </w:rPr>
        <w:t>,</w:t>
      </w:r>
      <w:r>
        <w:rPr>
          <w:rFonts w:cs="Arial"/>
        </w:rPr>
        <w:t xml:space="preserve"> sides</w:t>
      </w:r>
      <w:r w:rsidR="003C3C1A">
        <w:rPr>
          <w:rFonts w:cs="Arial"/>
        </w:rPr>
        <w:t>,</w:t>
      </w:r>
      <w:r>
        <w:rPr>
          <w:rFonts w:cs="Arial"/>
        </w:rPr>
        <w:t xml:space="preserve"> and below) and be mindful of blind spots.</w:t>
      </w:r>
    </w:p>
    <w:p w14:paraId="6D8A9990" w14:textId="77777777" w:rsidR="00A91670" w:rsidRDefault="00A91670" w:rsidP="00A91670">
      <w:pPr>
        <w:rPr>
          <w:rFonts w:cs="Arial"/>
        </w:rPr>
      </w:pPr>
    </w:p>
    <w:p w14:paraId="79320CBD" w14:textId="77777777" w:rsidR="00A91670" w:rsidRDefault="00A91670" w:rsidP="00A91670">
      <w:pPr>
        <w:rPr>
          <w:rFonts w:cs="Arial"/>
        </w:rPr>
      </w:pPr>
      <w:r>
        <w:rPr>
          <w:rFonts w:cs="Arial"/>
        </w:rPr>
        <w:t>Factors in backing collisions:</w:t>
      </w:r>
    </w:p>
    <w:p w14:paraId="101FB05D" w14:textId="77777777" w:rsidR="00A91670" w:rsidRDefault="00A91670" w:rsidP="00A91670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Moving backwards without first looking to ensure the area behind the vehicle is clear.</w:t>
      </w:r>
    </w:p>
    <w:p w14:paraId="2ABDA372" w14:textId="61214130" w:rsidR="00A91670" w:rsidRDefault="00A91670" w:rsidP="00A91670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side mirrors, incorrect shape and size</w:t>
      </w:r>
      <w:r w:rsidR="003C3C1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or improperly mounted.</w:t>
      </w:r>
    </w:p>
    <w:p w14:paraId="48342714" w14:textId="77777777" w:rsidR="00A91670" w:rsidRDefault="00A91670" w:rsidP="00A91670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Obstructed blind spots.</w:t>
      </w:r>
    </w:p>
    <w:p w14:paraId="13CBFBDE" w14:textId="53CEB1F1" w:rsidR="00A91670" w:rsidRDefault="00A91670" w:rsidP="00A91670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Turning while backing out</w:t>
      </w:r>
      <w:r w:rsidR="003C3C1A">
        <w:rPr>
          <w:rFonts w:ascii="Arial" w:eastAsia="Times New Roman" w:hAnsi="Arial" w:cs="Arial"/>
          <w:sz w:val="24"/>
          <w:szCs w:val="24"/>
        </w:rPr>
        <w:t>.</w:t>
      </w:r>
    </w:p>
    <w:p w14:paraId="138A1FB6" w14:textId="3B8D4CC8" w:rsidR="00A91670" w:rsidRDefault="00A91670" w:rsidP="00A91670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Distractions caused by pedestrians, traffic</w:t>
      </w:r>
      <w:r w:rsidR="003C3C1A">
        <w:rPr>
          <w:rFonts w:ascii="Arial" w:eastAsia="Times New Roman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or improper signaling by spotter.</w:t>
      </w:r>
    </w:p>
    <w:p w14:paraId="34EF351A" w14:textId="77777777" w:rsidR="00A91670" w:rsidRDefault="00A91670" w:rsidP="00A91670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Physical barriers that move behind the vehicle prior to or during backing.</w:t>
      </w:r>
    </w:p>
    <w:p w14:paraId="57D4F1D2" w14:textId="77777777" w:rsidR="00A91670" w:rsidRDefault="00A91670" w:rsidP="00A91670">
      <w:pPr>
        <w:rPr>
          <w:rFonts w:cs="Arial"/>
        </w:rPr>
      </w:pPr>
    </w:p>
    <w:p w14:paraId="1F4DFB27" w14:textId="77777777" w:rsidR="00A91670" w:rsidRDefault="00A91670" w:rsidP="00A91670">
      <w:pPr>
        <w:rPr>
          <w:rFonts w:cs="Arial"/>
        </w:rPr>
      </w:pPr>
      <w:r>
        <w:rPr>
          <w:rFonts w:cs="Arial"/>
        </w:rPr>
        <w:t>Practical tips to consider:</w:t>
      </w:r>
    </w:p>
    <w:p w14:paraId="0DA8D64C" w14:textId="77777777" w:rsidR="00A9167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equipped, use a rear window defogger to melt ice and keep the rear windshield clear.</w:t>
      </w:r>
    </w:p>
    <w:p w14:paraId="2131CDE5" w14:textId="77777777" w:rsidR="00A9167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Perform a vehicle walk-around if practical.</w:t>
      </w:r>
    </w:p>
    <w:p w14:paraId="0EB48B15" w14:textId="77777777" w:rsidR="00A9167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Look overhead for safe clearance.</w:t>
      </w:r>
    </w:p>
    <w:p w14:paraId="3F4863A5" w14:textId="77777777" w:rsidR="00A9167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Avoid backing and turning simultaneously.</w:t>
      </w:r>
    </w:p>
    <w:p w14:paraId="57238190" w14:textId="77777777" w:rsidR="00A9167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Check side mirrors for cleanliness and adjustment.</w:t>
      </w:r>
    </w:p>
    <w:p w14:paraId="082E5C3D" w14:textId="77777777" w:rsidR="00A9167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Start moving slowly initially to allow vehicles/pedestrians to move out of the way.</w:t>
      </w:r>
    </w:p>
    <w:p w14:paraId="75954B5A" w14:textId="77777777" w:rsidR="00A9167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Stop before loading dock contact and get out to check the final distance.</w:t>
      </w:r>
    </w:p>
    <w:p w14:paraId="7B78A890" w14:textId="77777777" w:rsidR="00A91670" w:rsidRPr="00BE4160" w:rsidRDefault="00A91670" w:rsidP="00A91670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Backup slowly in order to stop quickly, if needed.</w:t>
      </w:r>
    </w:p>
    <w:p w14:paraId="4878429A" w14:textId="489FDBCC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37BFF062" w14:textId="5975C02F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155AAA16" w14:textId="523BCDC1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68C9098A" w14:textId="037FF0DE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E48202E" w14:textId="243AD08E" w:rsidR="006F50A8" w:rsidRDefault="006F50A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F5F9925" w14:textId="11831E2D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6E295007" w14:textId="41F018C6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32F34410" w14:textId="3986F560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9803C5E" w14:textId="1798A97C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6AAAA86" w14:textId="6C5CC486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3DEC2D75" w14:textId="2898C72F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81E1C36" w14:textId="062CF7B2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627245C" w14:textId="26AA95D8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94350B0" w14:textId="267B6C3F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67F46D8C" w14:textId="271B8AB3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66A4ABA6" w14:textId="5659E91A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2507691" w14:textId="73E176A2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B911C83" w14:textId="78FFAA93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33FB335" w14:textId="3DCA97A6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0289945" w14:textId="508CAE01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3FFC3035" w14:textId="48D244E9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5AA6873" w14:textId="3575DA65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5482DA3" w14:textId="3D0B6AA1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A0686F7" w14:textId="6774A1D2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070EB4E" w14:textId="06FFC60A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1D5D11AD" w14:textId="167BE6FD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A593E88" w14:textId="3CC0B598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80363AB" w14:textId="45137861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16FDF23D" w14:textId="2742CF33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913A47A" w14:textId="1199CB11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5410107C" w14:textId="07553F90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6C743AF8" w14:textId="42073D1F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AC0A003" w14:textId="3AC74D16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AE50F1A" w14:textId="1080FE36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3FA52613" w14:textId="3DB2732E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01F9821B" w14:textId="5C0109D8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EE37A9D" w14:textId="67E3AD07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2471D723" w14:textId="77777777" w:rsidR="00A91670" w:rsidRDefault="00A91670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45D7E8A5" w14:textId="77777777" w:rsidR="00B242D8" w:rsidRDefault="00B242D8" w:rsidP="00EA6982">
      <w:pPr>
        <w:spacing w:before="50" w:line="264" w:lineRule="auto"/>
        <w:ind w:right="38"/>
        <w:jc w:val="both"/>
        <w:rPr>
          <w:color w:val="B5B8B7"/>
          <w:sz w:val="12"/>
        </w:rPr>
      </w:pPr>
    </w:p>
    <w:p w14:paraId="7733A4EB" w14:textId="7B2ADDDD" w:rsidR="005E5840" w:rsidRPr="009C3C61" w:rsidRDefault="005E5840" w:rsidP="00EA6982">
      <w:pPr>
        <w:spacing w:before="50" w:line="264" w:lineRule="auto"/>
        <w:ind w:right="38"/>
        <w:jc w:val="both"/>
        <w:rPr>
          <w:color w:val="B5B8B7"/>
          <w:spacing w:val="-11"/>
          <w:sz w:val="12"/>
        </w:rPr>
      </w:pP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in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document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was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obtained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from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sources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which,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to 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best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writer’s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knowledge,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are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authentic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4"/>
          <w:sz w:val="12"/>
        </w:rPr>
        <w:t xml:space="preserve"> </w:t>
      </w:r>
      <w:r>
        <w:rPr>
          <w:color w:val="B5B8B7"/>
          <w:sz w:val="12"/>
        </w:rPr>
        <w:t>reliable.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z w:val="12"/>
        </w:rPr>
        <w:t>Arthur</w:t>
      </w:r>
      <w:r>
        <w:rPr>
          <w:color w:val="B5B8B7"/>
          <w:spacing w:val="-5"/>
          <w:sz w:val="12"/>
        </w:rPr>
        <w:t xml:space="preserve"> </w:t>
      </w:r>
      <w:r>
        <w:rPr>
          <w:color w:val="B5B8B7"/>
          <w:spacing w:val="-10"/>
          <w:sz w:val="12"/>
        </w:rPr>
        <w:t xml:space="preserve">J. </w:t>
      </w:r>
      <w:r>
        <w:rPr>
          <w:color w:val="B5B8B7"/>
          <w:sz w:val="12"/>
        </w:rPr>
        <w:t>Gallagher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&amp;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Co.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makes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guarantee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of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results</w:t>
      </w:r>
      <w:r>
        <w:rPr>
          <w:color w:val="B5B8B7"/>
          <w:spacing w:val="-8"/>
          <w:sz w:val="12"/>
        </w:rPr>
        <w:t xml:space="preserve"> </w:t>
      </w:r>
      <w:r>
        <w:rPr>
          <w:color w:val="B5B8B7"/>
          <w:sz w:val="12"/>
        </w:rPr>
        <w:t>and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assumes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no</w:t>
      </w:r>
      <w:r>
        <w:rPr>
          <w:color w:val="B5B8B7"/>
          <w:spacing w:val="-7"/>
          <w:sz w:val="12"/>
        </w:rPr>
        <w:t xml:space="preserve"> </w:t>
      </w:r>
      <w:r>
        <w:rPr>
          <w:color w:val="B5B8B7"/>
          <w:sz w:val="12"/>
        </w:rPr>
        <w:t>liability in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connection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with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either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the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information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9"/>
          <w:sz w:val="12"/>
        </w:rPr>
        <w:t xml:space="preserve"> </w:t>
      </w:r>
      <w:r>
        <w:rPr>
          <w:color w:val="B5B8B7"/>
          <w:sz w:val="12"/>
        </w:rPr>
        <w:t>recommendations</w:t>
      </w:r>
      <w:r>
        <w:rPr>
          <w:color w:val="B5B8B7"/>
          <w:spacing w:val="-10"/>
          <w:sz w:val="12"/>
        </w:rPr>
        <w:t xml:space="preserve"> </w:t>
      </w:r>
      <w:r>
        <w:rPr>
          <w:color w:val="B5B8B7"/>
          <w:sz w:val="12"/>
        </w:rPr>
        <w:t>obtained in</w:t>
      </w:r>
      <w:r>
        <w:rPr>
          <w:color w:val="B5B8B7"/>
          <w:spacing w:val="-12"/>
          <w:sz w:val="12"/>
        </w:rPr>
        <w:t xml:space="preserve"> </w:t>
      </w:r>
      <w:r>
        <w:rPr>
          <w:color w:val="B5B8B7"/>
          <w:sz w:val="12"/>
        </w:rPr>
        <w:t>this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document.</w:t>
      </w:r>
      <w:r>
        <w:rPr>
          <w:color w:val="B5B8B7"/>
          <w:spacing w:val="-11"/>
          <w:sz w:val="12"/>
        </w:rPr>
        <w:t xml:space="preserve"> </w:t>
      </w:r>
      <w:r w:rsidR="00F72B7F">
        <w:rPr>
          <w:color w:val="B5B8B7"/>
          <w:spacing w:val="-3"/>
          <w:sz w:val="12"/>
        </w:rPr>
        <w:t>Moreover, it</w:t>
      </w:r>
      <w:r w:rsidR="009C3C61"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cannot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be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assumed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that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every</w:t>
      </w:r>
      <w:r>
        <w:rPr>
          <w:color w:val="B5B8B7"/>
          <w:spacing w:val="-11"/>
          <w:sz w:val="12"/>
        </w:rPr>
        <w:t xml:space="preserve"> </w:t>
      </w:r>
      <w:r>
        <w:rPr>
          <w:color w:val="B5B8B7"/>
          <w:sz w:val="12"/>
        </w:rPr>
        <w:t>acceptable procedure is included in this document or that abnormal or unusual circumstances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may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not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warrant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require</w:t>
      </w:r>
      <w:r>
        <w:rPr>
          <w:color w:val="B5B8B7"/>
          <w:spacing w:val="-31"/>
          <w:sz w:val="12"/>
        </w:rPr>
        <w:t xml:space="preserve"> </w:t>
      </w:r>
      <w:r>
        <w:rPr>
          <w:color w:val="B5B8B7"/>
          <w:sz w:val="12"/>
        </w:rPr>
        <w:t>further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or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additional</w:t>
      </w:r>
      <w:r>
        <w:rPr>
          <w:color w:val="B5B8B7"/>
          <w:spacing w:val="-30"/>
          <w:sz w:val="12"/>
        </w:rPr>
        <w:t xml:space="preserve"> </w:t>
      </w:r>
      <w:r>
        <w:rPr>
          <w:color w:val="B5B8B7"/>
          <w:sz w:val="12"/>
        </w:rPr>
        <w:t>procedures.</w:t>
      </w:r>
    </w:p>
    <w:sectPr w:rsidR="005E5840" w:rsidRPr="009C3C61" w:rsidSect="00206D3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312" w:right="1440" w:bottom="1080" w:left="1440" w:header="21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A943D" w14:textId="77777777" w:rsidR="0072150A" w:rsidRDefault="0072150A" w:rsidP="00374DAB">
      <w:r>
        <w:separator/>
      </w:r>
    </w:p>
  </w:endnote>
  <w:endnote w:type="continuationSeparator" w:id="0">
    <w:p w14:paraId="3482FC15" w14:textId="77777777" w:rsidR="0072150A" w:rsidRDefault="0072150A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Goth BT">
    <w:altName w:val="Microsoft YaHe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B58" w14:textId="676A994F" w:rsidR="00D21A68" w:rsidRPr="006A2EFE" w:rsidRDefault="009C3C61" w:rsidP="009C3C61">
    <w:pPr>
      <w:pStyle w:val="Footer"/>
      <w:spacing w:after="60"/>
      <w:ind w:left="-1440"/>
      <w:rPr>
        <w:rFonts w:asciiTheme="minorHAnsi" w:hAnsiTheme="minorHAnsi" w:cstheme="minorHAnsi"/>
        <w:sz w:val="12"/>
        <w:szCs w:val="12"/>
      </w:rPr>
    </w:pPr>
    <w:r>
      <w:rPr>
        <w:noProof/>
      </w:rPr>
      <w:drawing>
        <wp:inline distT="0" distB="0" distL="0" distR="0" wp14:anchorId="7F88566E" wp14:editId="41A491B0">
          <wp:extent cx="7780020" cy="909955"/>
          <wp:effectExtent l="0" t="0" r="0" b="4445"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081" cy="91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28534" w14:textId="66E742FE" w:rsidR="00AF0C13" w:rsidRDefault="00AF0C13" w:rsidP="00AF0C13">
    <w:pPr>
      <w:pStyle w:val="Footer"/>
      <w:tabs>
        <w:tab w:val="center" w:pos="4680"/>
        <w:tab w:val="right" w:pos="9360"/>
      </w:tabs>
      <w:ind w:left="-1350"/>
      <w:jc w:val="center"/>
    </w:pPr>
    <w:r>
      <w:rPr>
        <w:noProof/>
      </w:rPr>
      <w:drawing>
        <wp:inline distT="0" distB="0" distL="0" distR="0" wp14:anchorId="2C680A50" wp14:editId="5A792506">
          <wp:extent cx="7650480" cy="967740"/>
          <wp:effectExtent l="0" t="0" r="7620" b="3810"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025" cy="967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DDE986" w14:textId="0A403670" w:rsidR="00A730B9" w:rsidRPr="006A2EFE" w:rsidRDefault="00A730B9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3F12" w14:textId="77777777" w:rsidR="0072150A" w:rsidRDefault="0072150A" w:rsidP="00374DAB">
      <w:r>
        <w:separator/>
      </w:r>
    </w:p>
  </w:footnote>
  <w:footnote w:type="continuationSeparator" w:id="0">
    <w:p w14:paraId="7F2D2A3B" w14:textId="77777777" w:rsidR="0072150A" w:rsidRDefault="0072150A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023A" w14:textId="5A6923C1" w:rsidR="00DE5A78" w:rsidRPr="00954987" w:rsidRDefault="00F4624E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F4624E">
      <w:rPr>
        <w:noProof/>
        <w:color w:val="808080" w:themeColor="background1" w:themeShade="80"/>
        <w:sz w:val="28"/>
        <w:szCs w:val="28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0E8D795C" wp14:editId="73C444AE">
              <wp:simplePos x="0" y="0"/>
              <wp:positionH relativeFrom="column">
                <wp:posOffset>3238500</wp:posOffset>
              </wp:positionH>
              <wp:positionV relativeFrom="paragraph">
                <wp:posOffset>-1188720</wp:posOffset>
              </wp:positionV>
              <wp:extent cx="3482340" cy="9829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982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8DCC5" w14:textId="239A287E" w:rsidR="00F4624E" w:rsidRPr="00180ABC" w:rsidRDefault="00F4624E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Safety Spotlight</w:t>
                          </w:r>
                          <w:r w:rsidR="00180ABC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:</w:t>
                          </w:r>
                        </w:p>
                        <w:p w14:paraId="236FDF52" w14:textId="6813BBB6" w:rsidR="00F4624E" w:rsidRPr="00180ABC" w:rsidRDefault="00A91670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Safe Vehicle Backing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D79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5pt;margin-top:-93.6pt;width:274.2pt;height:77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" filled="f" stroked="f">
              <v:textbox>
                <w:txbxContent>
                  <w:p w14:paraId="10C8DCC5" w14:textId="239A287E" w:rsidR="00F4624E" w:rsidRPr="00180ABC" w:rsidRDefault="00F4624E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Safety Spotlight</w:t>
                    </w:r>
                    <w:r w:rsidR="00180ABC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:</w:t>
                    </w:r>
                  </w:p>
                  <w:p w14:paraId="236FDF52" w14:textId="6813BBB6" w:rsidR="00F4624E" w:rsidRPr="00180ABC" w:rsidRDefault="00A91670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Safe Vehicle Backing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3C61"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6704" behindDoc="1" locked="1" layoutInCell="1" allowOverlap="1" wp14:anchorId="171EF0FD" wp14:editId="5EA0C905">
          <wp:simplePos x="0" y="0"/>
          <wp:positionH relativeFrom="page">
            <wp:posOffset>548640</wp:posOffset>
          </wp:positionH>
          <wp:positionV relativeFrom="topMargin">
            <wp:align>bottom</wp:align>
          </wp:positionV>
          <wp:extent cx="7810500" cy="1973580"/>
          <wp:effectExtent l="0" t="0" r="0" b="7620"/>
          <wp:wrapNone/>
          <wp:docPr id="206" name="Picture 20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10500" cy="197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58752" behindDoc="1" locked="1" layoutInCell="1" allowOverlap="1" wp14:anchorId="1D5B0C47" wp14:editId="602ED0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10500" cy="2235200"/>
          <wp:effectExtent l="0" t="0" r="0" b="0"/>
          <wp:wrapNone/>
          <wp:docPr id="208" name="Picture 208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809030" cy="223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4304C19"/>
    <w:multiLevelType w:val="hybridMultilevel"/>
    <w:tmpl w:val="4EFE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B59F2"/>
    <w:multiLevelType w:val="multilevel"/>
    <w:tmpl w:val="D074753A"/>
    <w:lvl w:ilvl="0">
      <w:start w:val="1"/>
      <w:numFmt w:val="bullet"/>
      <w:pStyle w:val="Bullet-GallagherBlu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1"/>
        <w:sz w:val="20"/>
      </w:rPr>
    </w:lvl>
    <w:lvl w:ilvl="1">
      <w:start w:val="1"/>
      <w:numFmt w:val="bullet"/>
      <w:pStyle w:val="Black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pStyle w:val="Black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pStyle w:val="Black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F042D71"/>
    <w:multiLevelType w:val="hybridMultilevel"/>
    <w:tmpl w:val="E1CC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BA4"/>
    <w:multiLevelType w:val="hybridMultilevel"/>
    <w:tmpl w:val="9D54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B43B1"/>
    <w:multiLevelType w:val="hybridMultilevel"/>
    <w:tmpl w:val="64EA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6681A"/>
    <w:multiLevelType w:val="hybridMultilevel"/>
    <w:tmpl w:val="7BE2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3" w15:restartNumberingAfterBreak="0">
    <w:nsid w:val="32243EEC"/>
    <w:multiLevelType w:val="hybridMultilevel"/>
    <w:tmpl w:val="47EC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F21C0"/>
    <w:multiLevelType w:val="hybridMultilevel"/>
    <w:tmpl w:val="5220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113F"/>
    <w:multiLevelType w:val="hybridMultilevel"/>
    <w:tmpl w:val="7EEA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F7A38"/>
    <w:multiLevelType w:val="hybridMultilevel"/>
    <w:tmpl w:val="16F6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6409"/>
    <w:multiLevelType w:val="multilevel"/>
    <w:tmpl w:val="57B88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pStyle w:val="Blue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pStyle w:val="BlueBullet3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CC43BB1"/>
    <w:multiLevelType w:val="hybridMultilevel"/>
    <w:tmpl w:val="506A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25E6"/>
    <w:multiLevelType w:val="hybridMultilevel"/>
    <w:tmpl w:val="211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3" w15:restartNumberingAfterBreak="0">
    <w:nsid w:val="57772891"/>
    <w:multiLevelType w:val="hybridMultilevel"/>
    <w:tmpl w:val="12DA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7AC6"/>
    <w:multiLevelType w:val="hybridMultilevel"/>
    <w:tmpl w:val="865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4338B"/>
    <w:multiLevelType w:val="hybridMultilevel"/>
    <w:tmpl w:val="240C2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60FDD"/>
    <w:multiLevelType w:val="hybridMultilevel"/>
    <w:tmpl w:val="1CF6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DCB2EDB"/>
    <w:multiLevelType w:val="hybridMultilevel"/>
    <w:tmpl w:val="43A4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21"/>
  </w:num>
  <w:num w:numId="7">
    <w:abstractNumId w:val="17"/>
  </w:num>
  <w:num w:numId="8">
    <w:abstractNumId w:val="17"/>
  </w:num>
  <w:num w:numId="9">
    <w:abstractNumId w:val="17"/>
  </w:num>
  <w:num w:numId="10">
    <w:abstractNumId w:val="20"/>
  </w:num>
  <w:num w:numId="11">
    <w:abstractNumId w:val="10"/>
  </w:num>
  <w:num w:numId="12">
    <w:abstractNumId w:val="9"/>
  </w:num>
  <w:num w:numId="13">
    <w:abstractNumId w:val="3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7"/>
  </w:num>
  <w:num w:numId="24">
    <w:abstractNumId w:val="0"/>
  </w:num>
  <w:num w:numId="25">
    <w:abstractNumId w:val="14"/>
  </w:num>
  <w:num w:numId="26">
    <w:abstractNumId w:val="16"/>
  </w:num>
  <w:num w:numId="27">
    <w:abstractNumId w:val="8"/>
  </w:num>
  <w:num w:numId="28">
    <w:abstractNumId w:val="28"/>
  </w:num>
  <w:num w:numId="29">
    <w:abstractNumId w:val="11"/>
  </w:num>
  <w:num w:numId="30">
    <w:abstractNumId w:val="25"/>
  </w:num>
  <w:num w:numId="31">
    <w:abstractNumId w:val="6"/>
  </w:num>
  <w:num w:numId="32">
    <w:abstractNumId w:val="7"/>
  </w:num>
  <w:num w:numId="33">
    <w:abstractNumId w:val="24"/>
  </w:num>
  <w:num w:numId="34">
    <w:abstractNumId w:val="19"/>
  </w:num>
  <w:num w:numId="35">
    <w:abstractNumId w:val="26"/>
  </w:num>
  <w:num w:numId="36">
    <w:abstractNumId w:val="18"/>
  </w:num>
  <w:num w:numId="37">
    <w:abstractNumId w:val="4"/>
  </w:num>
  <w:num w:numId="38">
    <w:abstractNumId w:val="15"/>
  </w:num>
  <w:num w:numId="39">
    <w:abstractNumId w:val="2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B"/>
    <w:rsid w:val="00007EE7"/>
    <w:rsid w:val="000121AB"/>
    <w:rsid w:val="00014D46"/>
    <w:rsid w:val="00065F74"/>
    <w:rsid w:val="000F0DFB"/>
    <w:rsid w:val="00100FD1"/>
    <w:rsid w:val="001019E5"/>
    <w:rsid w:val="00151E53"/>
    <w:rsid w:val="00180ABC"/>
    <w:rsid w:val="00181F7A"/>
    <w:rsid w:val="00184A39"/>
    <w:rsid w:val="001A450E"/>
    <w:rsid w:val="001C5153"/>
    <w:rsid w:val="001C5299"/>
    <w:rsid w:val="001D3955"/>
    <w:rsid w:val="001E120A"/>
    <w:rsid w:val="001E7659"/>
    <w:rsid w:val="001F50AD"/>
    <w:rsid w:val="00201AC9"/>
    <w:rsid w:val="00206D38"/>
    <w:rsid w:val="00224C9B"/>
    <w:rsid w:val="002372DD"/>
    <w:rsid w:val="00237ED8"/>
    <w:rsid w:val="00263375"/>
    <w:rsid w:val="00270718"/>
    <w:rsid w:val="002A3EE3"/>
    <w:rsid w:val="002A48F2"/>
    <w:rsid w:val="002C29D3"/>
    <w:rsid w:val="002C4909"/>
    <w:rsid w:val="002E292B"/>
    <w:rsid w:val="002E77C1"/>
    <w:rsid w:val="00345DE1"/>
    <w:rsid w:val="0035141D"/>
    <w:rsid w:val="00374DAB"/>
    <w:rsid w:val="003A1038"/>
    <w:rsid w:val="003C3C1A"/>
    <w:rsid w:val="003C65F8"/>
    <w:rsid w:val="003D4096"/>
    <w:rsid w:val="003E319D"/>
    <w:rsid w:val="003F0A0D"/>
    <w:rsid w:val="00401DD8"/>
    <w:rsid w:val="00424A7D"/>
    <w:rsid w:val="00437FD6"/>
    <w:rsid w:val="004536F5"/>
    <w:rsid w:val="00461618"/>
    <w:rsid w:val="004724F7"/>
    <w:rsid w:val="005149ED"/>
    <w:rsid w:val="0057468A"/>
    <w:rsid w:val="005A40FF"/>
    <w:rsid w:val="005B5B11"/>
    <w:rsid w:val="005C096A"/>
    <w:rsid w:val="005C391F"/>
    <w:rsid w:val="005C3CCC"/>
    <w:rsid w:val="005D4314"/>
    <w:rsid w:val="005E5840"/>
    <w:rsid w:val="005F5D63"/>
    <w:rsid w:val="005F77D3"/>
    <w:rsid w:val="0061767B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6F50A8"/>
    <w:rsid w:val="00703737"/>
    <w:rsid w:val="007109CA"/>
    <w:rsid w:val="00715154"/>
    <w:rsid w:val="0072150A"/>
    <w:rsid w:val="00740BE4"/>
    <w:rsid w:val="00747A76"/>
    <w:rsid w:val="00783748"/>
    <w:rsid w:val="00787AE8"/>
    <w:rsid w:val="007B50F7"/>
    <w:rsid w:val="007E11DC"/>
    <w:rsid w:val="0080189E"/>
    <w:rsid w:val="008019FC"/>
    <w:rsid w:val="00820336"/>
    <w:rsid w:val="008361D0"/>
    <w:rsid w:val="0083785E"/>
    <w:rsid w:val="008651A8"/>
    <w:rsid w:val="00871018"/>
    <w:rsid w:val="00883FA9"/>
    <w:rsid w:val="008B4B74"/>
    <w:rsid w:val="008D116D"/>
    <w:rsid w:val="008E2245"/>
    <w:rsid w:val="008E734E"/>
    <w:rsid w:val="008F71F7"/>
    <w:rsid w:val="009052DD"/>
    <w:rsid w:val="00954987"/>
    <w:rsid w:val="00960DAD"/>
    <w:rsid w:val="0097128B"/>
    <w:rsid w:val="00972BC7"/>
    <w:rsid w:val="00980097"/>
    <w:rsid w:val="009931A6"/>
    <w:rsid w:val="009C3C61"/>
    <w:rsid w:val="009E6ADC"/>
    <w:rsid w:val="00A3220A"/>
    <w:rsid w:val="00A33ADD"/>
    <w:rsid w:val="00A622A5"/>
    <w:rsid w:val="00A730B9"/>
    <w:rsid w:val="00A74AF1"/>
    <w:rsid w:val="00A80413"/>
    <w:rsid w:val="00A91670"/>
    <w:rsid w:val="00A95F6F"/>
    <w:rsid w:val="00A97E9E"/>
    <w:rsid w:val="00AB302F"/>
    <w:rsid w:val="00AD75DC"/>
    <w:rsid w:val="00AF0B07"/>
    <w:rsid w:val="00AF0C13"/>
    <w:rsid w:val="00B242D8"/>
    <w:rsid w:val="00B440AB"/>
    <w:rsid w:val="00B83400"/>
    <w:rsid w:val="00BB3CE8"/>
    <w:rsid w:val="00C0105A"/>
    <w:rsid w:val="00C01563"/>
    <w:rsid w:val="00C26AD2"/>
    <w:rsid w:val="00C3728B"/>
    <w:rsid w:val="00C4083A"/>
    <w:rsid w:val="00C64761"/>
    <w:rsid w:val="00CC6466"/>
    <w:rsid w:val="00CF2C27"/>
    <w:rsid w:val="00CF4C15"/>
    <w:rsid w:val="00D106B6"/>
    <w:rsid w:val="00D21A68"/>
    <w:rsid w:val="00D2685A"/>
    <w:rsid w:val="00D44B42"/>
    <w:rsid w:val="00D473FF"/>
    <w:rsid w:val="00D51B2B"/>
    <w:rsid w:val="00D60B45"/>
    <w:rsid w:val="00DC2B1A"/>
    <w:rsid w:val="00DC50F3"/>
    <w:rsid w:val="00DD05A3"/>
    <w:rsid w:val="00DE4882"/>
    <w:rsid w:val="00DE5A78"/>
    <w:rsid w:val="00DE799A"/>
    <w:rsid w:val="00E16911"/>
    <w:rsid w:val="00E50EFE"/>
    <w:rsid w:val="00E838D4"/>
    <w:rsid w:val="00E94A3A"/>
    <w:rsid w:val="00EA6982"/>
    <w:rsid w:val="00EA728F"/>
    <w:rsid w:val="00EB3A13"/>
    <w:rsid w:val="00EF4638"/>
    <w:rsid w:val="00F376A0"/>
    <w:rsid w:val="00F377F1"/>
    <w:rsid w:val="00F4624E"/>
    <w:rsid w:val="00F65E38"/>
    <w:rsid w:val="00F72B7F"/>
    <w:rsid w:val="00F73688"/>
    <w:rsid w:val="00F80589"/>
    <w:rsid w:val="00FE19D6"/>
    <w:rsid w:val="00FE3EA8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  <w15:docId w15:val="{B3A06120-1F58-4BEC-B598-D094618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80189E"/>
    <w:pPr>
      <w:spacing w:after="240"/>
      <w:outlineLvl w:val="4"/>
    </w:pPr>
    <w:rPr>
      <w:b/>
      <w:bCs/>
      <w:iCs/>
      <w:noProof/>
      <w:color w:val="6FACD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80189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0189E"/>
    <w:rPr>
      <w:rFonts w:ascii="Arial" w:eastAsia="Times New Roman" w:hAnsi="Arial"/>
      <w:sz w:val="24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numPr>
        <w:numId w:val="2"/>
      </w:num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numPr>
        <w:ilvl w:val="1"/>
        <w:numId w:val="5"/>
      </w:num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6A2EFE"/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E50EFE"/>
    <w:pPr>
      <w:numPr>
        <w:ilvl w:val="1"/>
        <w:numId w:val="9"/>
      </w:numPr>
    </w:pPr>
    <w:rPr>
      <w:rFonts w:cs="Arial"/>
      <w:szCs w:val="20"/>
    </w:rPr>
  </w:style>
  <w:style w:type="paragraph" w:customStyle="1" w:styleId="BlueBullet3">
    <w:name w:val="Blue Bullet 3"/>
    <w:basedOn w:val="Normal"/>
    <w:rsid w:val="00E50EFE"/>
    <w:pPr>
      <w:numPr>
        <w:ilvl w:val="2"/>
        <w:numId w:val="9"/>
      </w:numPr>
    </w:pPr>
    <w:rPr>
      <w:rFonts w:cs="Arial"/>
      <w:szCs w:val="20"/>
    </w:rPr>
  </w:style>
  <w:style w:type="paragraph" w:customStyle="1" w:styleId="BlueBullet4">
    <w:name w:val="Blue Bullet 4"/>
    <w:basedOn w:val="Normal"/>
    <w:rsid w:val="00E50EFE"/>
    <w:pPr>
      <w:numPr>
        <w:ilvl w:val="3"/>
        <w:numId w:val="9"/>
      </w:numPr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80189E"/>
    <w:rPr>
      <w:rFonts w:ascii="Arial" w:eastAsia="Times New Roman" w:hAnsi="Arial"/>
      <w:b/>
      <w:bCs/>
      <w:iCs/>
      <w:noProof/>
      <w:color w:val="6FACD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80189E"/>
    <w:pPr>
      <w:spacing w:before="20" w:after="20"/>
    </w:pPr>
    <w:rPr>
      <w:sz w:val="22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80189E"/>
    <w:pPr>
      <w:keepNext/>
      <w:spacing w:before="180" w:after="60"/>
    </w:pPr>
    <w:rPr>
      <w:rFonts w:ascii="Arial Bold" w:hAnsi="Arial Bold"/>
      <w:b/>
      <w:color w:val="00263E" w:themeColor="text2"/>
      <w:sz w:val="28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2B5D9A" w:themeColor="accent4" w:themeShade="BF"/>
    </w:rPr>
    <w:tblPr>
      <w:tblStyleRowBandSize w:val="1"/>
      <w:tblStyleColBandSize w:val="1"/>
      <w:tblBorders>
        <w:top w:val="single" w:sz="8" w:space="0" w:color="407EC9" w:themeColor="accent4"/>
        <w:bottom w:val="single" w:sz="8" w:space="0" w:color="407E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EC9" w:themeColor="accent4"/>
          <w:left w:val="nil"/>
          <w:bottom w:val="single" w:sz="8" w:space="0" w:color="407E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FF1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6F9ED6" w:themeColor="accent4" w:themeTint="BF"/>
        <w:left w:val="single" w:sz="8" w:space="0" w:color="6F9ED6" w:themeColor="accent4" w:themeTint="BF"/>
        <w:bottom w:val="single" w:sz="8" w:space="0" w:color="6F9ED6" w:themeColor="accent4" w:themeTint="BF"/>
        <w:right w:val="single" w:sz="8" w:space="0" w:color="6F9ED6" w:themeColor="accent4" w:themeTint="BF"/>
        <w:insideH w:val="single" w:sz="8" w:space="0" w:color="6F9E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  <w:shd w:val="clear" w:color="auto" w:fill="407E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ED6" w:themeColor="accent4" w:themeTint="BF"/>
          <w:left w:val="single" w:sz="8" w:space="0" w:color="6F9ED6" w:themeColor="accent4" w:themeTint="BF"/>
          <w:bottom w:val="single" w:sz="8" w:space="0" w:color="6F9ED6" w:themeColor="accent4" w:themeTint="BF"/>
          <w:right w:val="single" w:sz="8" w:space="0" w:color="6F9E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F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F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3" w:themeTint="BF"/>
        <w:left w:val="single" w:sz="8" w:space="0" w:color="E79E6C" w:themeColor="accent3" w:themeTint="BF"/>
        <w:bottom w:val="single" w:sz="8" w:space="0" w:color="E79E6C" w:themeColor="accent3" w:themeTint="BF"/>
        <w:right w:val="single" w:sz="8" w:space="0" w:color="E79E6C" w:themeColor="accent3" w:themeTint="BF"/>
        <w:insideH w:val="single" w:sz="8" w:space="0" w:color="E79E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3" w:themeTint="BF"/>
          <w:left w:val="single" w:sz="8" w:space="0" w:color="E79E6C" w:themeColor="accent3" w:themeTint="BF"/>
          <w:bottom w:val="single" w:sz="8" w:space="0" w:color="E79E6C" w:themeColor="accent3" w:themeTint="BF"/>
          <w:right w:val="single" w:sz="8" w:space="0" w:color="E79E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E07E3C" w:themeColor="accent3"/>
        <w:left w:val="single" w:sz="8" w:space="0" w:color="E07E3C" w:themeColor="accent3"/>
        <w:bottom w:val="single" w:sz="8" w:space="0" w:color="E07E3C" w:themeColor="accent3"/>
        <w:right w:val="single" w:sz="8" w:space="0" w:color="E07E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E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  <w:tblStylePr w:type="band1Horz">
      <w:tblPr/>
      <w:tcPr>
        <w:tcBorders>
          <w:top w:val="single" w:sz="8" w:space="0" w:color="E07E3C" w:themeColor="accent3"/>
          <w:left w:val="single" w:sz="8" w:space="0" w:color="E07E3C" w:themeColor="accent3"/>
          <w:bottom w:val="single" w:sz="8" w:space="0" w:color="E07E3C" w:themeColor="accent3"/>
          <w:right w:val="single" w:sz="8" w:space="0" w:color="E07E3C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949300" w:themeColor="accent2"/>
        <w:left w:val="single" w:sz="8" w:space="0" w:color="949300" w:themeColor="accent2"/>
        <w:bottom w:val="single" w:sz="8" w:space="0" w:color="949300" w:themeColor="accent2"/>
        <w:right w:val="single" w:sz="8" w:space="0" w:color="949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9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  <w:tblStylePr w:type="band1Horz">
      <w:tblPr/>
      <w:tcPr>
        <w:tcBorders>
          <w:top w:val="single" w:sz="8" w:space="0" w:color="949300" w:themeColor="accent2"/>
          <w:left w:val="single" w:sz="8" w:space="0" w:color="949300" w:themeColor="accent2"/>
          <w:bottom w:val="single" w:sz="8" w:space="0" w:color="949300" w:themeColor="accent2"/>
          <w:right w:val="single" w:sz="8" w:space="0" w:color="949300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6FACDE" w:themeColor="accent1"/>
        <w:left w:val="single" w:sz="8" w:space="0" w:color="6FACDE" w:themeColor="accent1"/>
        <w:bottom w:val="single" w:sz="8" w:space="0" w:color="6FACDE" w:themeColor="accent1"/>
        <w:right w:val="single" w:sz="8" w:space="0" w:color="6FAC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  <w:tblStylePr w:type="band1Horz">
      <w:tblPr/>
      <w:tcPr>
        <w:tcBorders>
          <w:top w:val="single" w:sz="8" w:space="0" w:color="6FACDE" w:themeColor="accent1"/>
          <w:left w:val="single" w:sz="8" w:space="0" w:color="6FACDE" w:themeColor="accent1"/>
          <w:bottom w:val="single" w:sz="8" w:space="0" w:color="6FACDE" w:themeColor="accent1"/>
          <w:right w:val="single" w:sz="8" w:space="0" w:color="6FACDE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514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 Palette">
      <a:dk1>
        <a:srgbClr val="000000"/>
      </a:dk1>
      <a:lt1>
        <a:srgbClr val="FFFFFF"/>
      </a:lt1>
      <a:dk2>
        <a:srgbClr val="00263E"/>
      </a:dk2>
      <a:lt2>
        <a:srgbClr val="A4C8E1"/>
      </a:lt2>
      <a:accent1>
        <a:srgbClr val="6FACDE"/>
      </a:accent1>
      <a:accent2>
        <a:srgbClr val="949300"/>
      </a:accent2>
      <a:accent3>
        <a:srgbClr val="E07E3C"/>
      </a:accent3>
      <a:accent4>
        <a:srgbClr val="407EC9"/>
      </a:accent4>
      <a:accent5>
        <a:srgbClr val="F0B323"/>
      </a:accent5>
      <a:accent6>
        <a:srgbClr val="C6AA76"/>
      </a:accent6>
      <a:hlink>
        <a:srgbClr val="407EC9"/>
      </a:hlink>
      <a:folHlink>
        <a:srgbClr val="A4C8E1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F72516-3B74-47DB-AD44-47B452A2400F}">
  <ds:schemaRefs>
    <ds:schemaRef ds:uri="http://schemas.microsoft.com/office/infopath/2007/PartnerControls"/>
    <ds:schemaRef ds:uri="http://purl.org/dc/terms/"/>
    <ds:schemaRef ds:uri="0e770d08-728b-4a77-bcf7-6637b6aaabd8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1f58718-2655-4806-9278-5aaf2ff3751b"/>
    <ds:schemaRef ds:uri="2cc20d44-25e2-42c8-b7c6-0a08ac232e09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52A0292-E6D5-443A-99EB-3015A9F0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Template-Word - .5 margins</vt:lpstr>
    </vt:vector>
  </TitlesOfParts>
  <Company>Gallagher Benefit Services, Inc.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Template-Word - .5 margins</dc:title>
  <dc:creator>GBS</dc:creator>
  <cp:lastModifiedBy>Brett Beoubay</cp:lastModifiedBy>
  <cp:revision>2</cp:revision>
  <cp:lastPrinted>2019-04-08T20:12:00Z</cp:lastPrinted>
  <dcterms:created xsi:type="dcterms:W3CDTF">2021-10-19T12:18:00Z</dcterms:created>
  <dcterms:modified xsi:type="dcterms:W3CDTF">2021-10-19T12:18:00Z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