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68A6" w14:textId="6D8A6302" w:rsidR="009F1DE1" w:rsidRDefault="00332DB0" w:rsidP="00332DB0">
      <w:pPr>
        <w:pStyle w:val="RegItemFirstLine"/>
      </w:pPr>
      <w:bookmarkStart w:id="0" w:name="TextCutPoint"/>
      <w:r>
        <w:t>DECLARATION OF EMERGENCY</w:t>
      </w:r>
    </w:p>
    <w:p w14:paraId="3DB10D49" w14:textId="11DBEA72" w:rsidR="00332DB0" w:rsidRDefault="00332DB0" w:rsidP="00332DB0">
      <w:pPr>
        <w:pStyle w:val="RegDepartment"/>
      </w:pPr>
      <w:bookmarkStart w:id="1" w:name="BreakPoint"/>
      <w:bookmarkEnd w:id="1"/>
      <w:r>
        <w:t xml:space="preserve">Department of Agriculture and </w:t>
      </w:r>
      <w:r w:rsidR="00C06773">
        <w:t>Forestry</w:t>
      </w:r>
    </w:p>
    <w:p w14:paraId="6B6861F2" w14:textId="1E827A27" w:rsidR="00332DB0" w:rsidRPr="00332DB0" w:rsidRDefault="00332DB0" w:rsidP="00332DB0">
      <w:pPr>
        <w:pStyle w:val="RegDepartment"/>
      </w:pPr>
      <w:r>
        <w:t>Office of Agriculture and Environmental Sciences</w:t>
      </w:r>
    </w:p>
    <w:p w14:paraId="37139B1B" w14:textId="77777777" w:rsidR="00332DB0" w:rsidRDefault="001322AF" w:rsidP="00332DB0">
      <w:pPr>
        <w:pStyle w:val="RegCodeTitle"/>
      </w:pPr>
      <w:r w:rsidRPr="001322AF">
        <w:t>Agricultural Chemistry and Seed Commission</w:t>
      </w:r>
    </w:p>
    <w:p w14:paraId="504B4844" w14:textId="3CBDCA24" w:rsidR="00332DB0" w:rsidRDefault="001322AF" w:rsidP="00332DB0">
      <w:pPr>
        <w:pStyle w:val="RegItemTitle"/>
        <w:spacing w:before="240"/>
      </w:pPr>
      <w:r w:rsidRPr="001322AF">
        <w:t xml:space="preserve">Removal of Sampling for the </w:t>
      </w:r>
      <w:r w:rsidR="00C06773">
        <w:br/>
      </w:r>
      <w:r w:rsidRPr="001322AF">
        <w:t>Yellow Leaf Virus in the Field (LAC 7:XIII.763)</w:t>
      </w:r>
    </w:p>
    <w:p w14:paraId="366249D5" w14:textId="06323C98" w:rsidR="001322AF" w:rsidRPr="001322AF" w:rsidRDefault="001322AF" w:rsidP="00332DB0">
      <w:pPr>
        <w:pStyle w:val="A0"/>
      </w:pPr>
      <w:r w:rsidRPr="001322AF">
        <w:t>The Department of Agriculture and Forestry finds it necessary to enact an Emergency Rule to prevent an imminent threat to public welfare. This rule was recently presented at an open meeting of the Agricultural Chemistry and Seed Commission on May 6, 2026, with no questions or comments from the commission members. A public hearing was held on May 15, 2026, to provide the public with an opportunity to speak on the proposed changes; no comments or questions were received.</w:t>
      </w:r>
    </w:p>
    <w:p w14:paraId="73B72F77" w14:textId="77777777" w:rsidR="001322AF" w:rsidRPr="001322AF" w:rsidRDefault="001322AF" w:rsidP="00332DB0">
      <w:pPr>
        <w:pStyle w:val="A0"/>
      </w:pPr>
      <w:r w:rsidRPr="001322AF">
        <w:t xml:space="preserve">Currently, LAC </w:t>
      </w:r>
      <w:proofErr w:type="gramStart"/>
      <w:r w:rsidRPr="001322AF">
        <w:t>7:XIII</w:t>
      </w:r>
      <w:proofErr w:type="gramEnd"/>
      <w:r w:rsidRPr="001322AF">
        <w:t xml:space="preserve">.763 requires at least three field inspections annually by Department of Agriculture and Forestry inspectors to verify that certified </w:t>
      </w:r>
      <w:proofErr w:type="spellStart"/>
      <w:r w:rsidRPr="001322AF">
        <w:t>seedcane</w:t>
      </w:r>
      <w:proofErr w:type="spellEnd"/>
      <w:r w:rsidRPr="001322AF">
        <w:t xml:space="preserve"> meets field standards. The main concern is a potential shortage of certified sugarcane seed stock, which is free from major diseases and of superior quality compared to non-certified seed. This premium seed stock is sold to growers and is used for many years—often over a decade—from the initial planting. When growers use lower-quality, non-certified </w:t>
      </w:r>
      <w:proofErr w:type="gramStart"/>
      <w:r w:rsidRPr="001322AF">
        <w:t>seed</w:t>
      </w:r>
      <w:proofErr w:type="gramEnd"/>
      <w:r w:rsidRPr="001322AF">
        <w:t xml:space="preserve">, the health and yield of subsequent harvests decline, and the seed’s viability diminishes more quickly. This could result in many acres remaining unplanted if standards are relaxed this growing season. Industry data indicates that one acre of certified </w:t>
      </w:r>
      <w:proofErr w:type="spellStart"/>
      <w:r w:rsidRPr="001322AF">
        <w:t>seedcane</w:t>
      </w:r>
      <w:proofErr w:type="spellEnd"/>
      <w:r w:rsidRPr="001322AF">
        <w:t xml:space="preserve"> typically results in the planting of approximately seven acres.</w:t>
      </w:r>
    </w:p>
    <w:p w14:paraId="55A4E62F" w14:textId="55BE575F" w:rsidR="001322AF" w:rsidRPr="001322AF" w:rsidRDefault="001322AF" w:rsidP="00332DB0">
      <w:pPr>
        <w:pStyle w:val="A0"/>
      </w:pPr>
      <w:r w:rsidRPr="001322AF">
        <w:t>Advancements in testing technology over recent years have improved the sensitivity of detecting the sugarcane yellow leaf virus compared to previous methods. However, this heightened sensitivity increases the likelihood of field rejection, especially given the current 20</w:t>
      </w:r>
      <w:r w:rsidR="00332DB0">
        <w:t xml:space="preserve"> percent</w:t>
      </w:r>
      <w:r w:rsidRPr="001322AF">
        <w:t xml:space="preserve"> threshold in the rules. Testing occurs in June and is usually completed by early July. For each failed test, the Department must take a resample, and LSU AgCenter must perform an additional confirmatory test. The LSU AgCenter has also indicated they lack the resources, personnel, time, and funding necessary to perform the new, more accurate PCR testing for these samples. The older testing method (TBIA) is less reliable and much less sensitive than PCR. While LSU has the capacity to conduct PCR tests on greenhouse-grown foundation stock, they do not have sufficient resources for field samples, which last year numbered nearly 200. The time required to process and retest samples often conflicts with the </w:t>
      </w:r>
      <w:proofErr w:type="spellStart"/>
      <w:r w:rsidRPr="001322AF">
        <w:t>seedcane</w:t>
      </w:r>
      <w:proofErr w:type="spellEnd"/>
      <w:r w:rsidRPr="001322AF">
        <w:t xml:space="preserve"> harvesting schedule, which begins as early as late July—well before the main crop harvest in September or October.</w:t>
      </w:r>
    </w:p>
    <w:p w14:paraId="321F7FF4" w14:textId="77777777" w:rsidR="001322AF" w:rsidRPr="001322AF" w:rsidRDefault="001322AF" w:rsidP="00332DB0">
      <w:pPr>
        <w:pStyle w:val="A0"/>
      </w:pPr>
      <w:r w:rsidRPr="001322AF">
        <w:t xml:space="preserve">Industry stakeholders, including LSU AgCenter, the American Sugarcane League, </w:t>
      </w:r>
      <w:proofErr w:type="spellStart"/>
      <w:r w:rsidRPr="001322AF">
        <w:t>Sugartech</w:t>
      </w:r>
      <w:proofErr w:type="spellEnd"/>
      <w:r w:rsidRPr="001322AF">
        <w:t xml:space="preserve">, and Certis, agree that removing in-field sampling for yellow leaf virus, while maintaining greenhouse standards, will ensure that farmers and commercial growers have adequate access to certified </w:t>
      </w:r>
      <w:proofErr w:type="spellStart"/>
      <w:r w:rsidRPr="001322AF">
        <w:t>seedcane</w:t>
      </w:r>
      <w:proofErr w:type="spellEnd"/>
      <w:r w:rsidRPr="001322AF">
        <w:t>. This approach is critical to preventing degradation of the industry’s healthy seed program and maintaining industry stability.</w:t>
      </w:r>
    </w:p>
    <w:p w14:paraId="7D7C762C" w14:textId="77777777" w:rsidR="001322AF" w:rsidRPr="001322AF" w:rsidRDefault="001322AF" w:rsidP="00332DB0">
      <w:pPr>
        <w:pStyle w:val="RegCodeTitle"/>
      </w:pPr>
      <w:r w:rsidRPr="001322AF">
        <w:t>Title 7</w:t>
      </w:r>
    </w:p>
    <w:p w14:paraId="2ACE8194" w14:textId="77777777" w:rsidR="001322AF" w:rsidRPr="001322AF" w:rsidRDefault="001322AF" w:rsidP="00332DB0">
      <w:pPr>
        <w:pStyle w:val="RegCodeTitle"/>
      </w:pPr>
      <w:r w:rsidRPr="001322AF">
        <w:t>AGRICULTURE AND ANIMALS</w:t>
      </w:r>
    </w:p>
    <w:p w14:paraId="4F4DCD87" w14:textId="1D0B63F6" w:rsidR="001322AF" w:rsidRPr="001322AF" w:rsidRDefault="001322AF" w:rsidP="00332DB0">
      <w:pPr>
        <w:pStyle w:val="RegCodePart"/>
      </w:pPr>
      <w:bookmarkStart w:id="2" w:name="Tempiii"/>
      <w:r w:rsidRPr="001322AF">
        <w:t>Part XIII.</w:t>
      </w:r>
      <w:r w:rsidR="00332DB0">
        <w:t xml:space="preserve">  </w:t>
      </w:r>
      <w:r w:rsidRPr="001322AF">
        <w:t>Seeds</w:t>
      </w:r>
    </w:p>
    <w:bookmarkEnd w:id="2"/>
    <w:p w14:paraId="76D287CF" w14:textId="34A2D38A" w:rsidR="001322AF" w:rsidRPr="001322AF" w:rsidRDefault="001322AF" w:rsidP="00332DB0">
      <w:pPr>
        <w:pStyle w:val="Chapter"/>
      </w:pPr>
      <w:r w:rsidRPr="001322AF">
        <w:t>Chapter 7.</w:t>
      </w:r>
      <w:r w:rsidR="008C6D93">
        <w:tab/>
      </w:r>
      <w:r w:rsidRPr="001322AF">
        <w:t>Certification of Specific Crops/Varieties</w:t>
      </w:r>
    </w:p>
    <w:p w14:paraId="38B52856" w14:textId="6FABBA74" w:rsidR="00332DB0" w:rsidRDefault="001322AF" w:rsidP="00332DB0">
      <w:pPr>
        <w:pStyle w:val="Chapter"/>
      </w:pPr>
      <w:r w:rsidRPr="001322AF">
        <w:t>Subchapter B.</w:t>
      </w:r>
      <w:r w:rsidR="008C6D93">
        <w:tab/>
      </w:r>
      <w:r w:rsidRPr="001322AF">
        <w:t xml:space="preserve">Grain and Row Crop Seeds </w:t>
      </w:r>
    </w:p>
    <w:p w14:paraId="61B20E82" w14:textId="77777777" w:rsidR="00332DB0" w:rsidRDefault="001322AF" w:rsidP="00332DB0">
      <w:pPr>
        <w:pStyle w:val="Section"/>
      </w:pPr>
      <w:r w:rsidRPr="001322AF">
        <w:t>§763.</w:t>
      </w:r>
      <w:r w:rsidRPr="001322AF">
        <w:tab/>
        <w:t>Sugarcane (Tissue Culture) Certification Standards</w:t>
      </w:r>
    </w:p>
    <w:p w14:paraId="6B086C03" w14:textId="2E442045" w:rsidR="001322AF" w:rsidRPr="001322AF" w:rsidRDefault="001322AF" w:rsidP="00C06773">
      <w:pPr>
        <w:pStyle w:val="A0"/>
        <w:tabs>
          <w:tab w:val="clear" w:pos="907"/>
          <w:tab w:val="left" w:pos="990"/>
        </w:tabs>
      </w:pPr>
      <w:r w:rsidRPr="001322AF">
        <w:t xml:space="preserve">A. </w:t>
      </w:r>
      <w:r w:rsidR="00C06773">
        <w:t>-</w:t>
      </w:r>
      <w:r w:rsidRPr="001322AF">
        <w:t xml:space="preserve"> C.1.</w:t>
      </w:r>
      <w:r w:rsidRPr="001322AF">
        <w:tab/>
        <w:t>…</w:t>
      </w:r>
    </w:p>
    <w:p w14:paraId="3D248E2D" w14:textId="77777777" w:rsidR="001322AF" w:rsidRPr="001322AF" w:rsidRDefault="001322AF" w:rsidP="00332DB0">
      <w:pPr>
        <w:pStyle w:val="A0"/>
      </w:pPr>
      <w:r w:rsidRPr="001322AF">
        <w:t>D.</w:t>
      </w:r>
      <w:r w:rsidRPr="001322AF">
        <w:tab/>
        <w:t>…</w:t>
      </w:r>
    </w:p>
    <w:p w14:paraId="477199F5" w14:textId="1C7B1244" w:rsidR="001322AF" w:rsidRDefault="001322AF" w:rsidP="00332DB0">
      <w:pPr>
        <w:pStyle w:val="A0"/>
      </w:pPr>
      <w:r w:rsidRPr="001322AF">
        <w:t>E.</w:t>
      </w:r>
      <w:r w:rsidRPr="001322AF">
        <w:tab/>
        <w:t>Field Standards</w:t>
      </w:r>
    </w:p>
    <w:p w14:paraId="24AE6C90" w14:textId="77777777" w:rsidR="00C06773" w:rsidRPr="001322AF" w:rsidRDefault="00C06773" w:rsidP="00332DB0">
      <w:pPr>
        <w:pStyle w:val="A0"/>
      </w:pPr>
    </w:p>
    <w:tbl>
      <w:tblPr>
        <w:tblW w:w="5022"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72"/>
        <w:gridCol w:w="985"/>
        <w:gridCol w:w="1080"/>
        <w:gridCol w:w="1085"/>
      </w:tblGrid>
      <w:tr w:rsidR="001322AF" w:rsidRPr="001322AF" w14:paraId="171E975B" w14:textId="77777777" w:rsidTr="00C06773">
        <w:trPr>
          <w:cantSplit/>
          <w:trHeight w:hRule="exact" w:val="288"/>
          <w:tblHeader/>
          <w:jc w:val="center"/>
        </w:trPr>
        <w:tc>
          <w:tcPr>
            <w:tcW w:w="1872" w:type="dxa"/>
            <w:shd w:val="clear" w:color="BFBFBF" w:fill="BFBFBF"/>
            <w:vAlign w:val="bottom"/>
          </w:tcPr>
          <w:p w14:paraId="6C2C3055" w14:textId="77777777" w:rsidR="001322AF" w:rsidRPr="00C06773" w:rsidRDefault="001322AF" w:rsidP="00C06773">
            <w:pPr>
              <w:tabs>
                <w:tab w:val="left" w:pos="180"/>
                <w:tab w:val="left" w:pos="360"/>
              </w:tabs>
              <w:jc w:val="center"/>
              <w:rPr>
                <w:b/>
                <w:bCs/>
                <w:sz w:val="16"/>
                <w:szCs w:val="16"/>
              </w:rPr>
            </w:pPr>
            <w:r w:rsidRPr="00C06773">
              <w:rPr>
                <w:b/>
                <w:bCs/>
                <w:sz w:val="16"/>
                <w:szCs w:val="16"/>
              </w:rPr>
              <w:t>Factor</w:t>
            </w:r>
          </w:p>
        </w:tc>
        <w:tc>
          <w:tcPr>
            <w:tcW w:w="985" w:type="dxa"/>
            <w:shd w:val="clear" w:color="BFBFBF" w:fill="BFBFBF"/>
            <w:vAlign w:val="bottom"/>
          </w:tcPr>
          <w:p w14:paraId="76470F08" w14:textId="77777777" w:rsidR="001322AF" w:rsidRPr="00C06773" w:rsidRDefault="001322AF" w:rsidP="00C06773">
            <w:pPr>
              <w:tabs>
                <w:tab w:val="left" w:pos="180"/>
                <w:tab w:val="left" w:pos="360"/>
              </w:tabs>
              <w:jc w:val="center"/>
              <w:rPr>
                <w:b/>
                <w:bCs/>
                <w:sz w:val="16"/>
                <w:szCs w:val="16"/>
              </w:rPr>
            </w:pPr>
            <w:r w:rsidRPr="00C06773">
              <w:rPr>
                <w:b/>
                <w:bCs/>
                <w:sz w:val="16"/>
                <w:szCs w:val="16"/>
              </w:rPr>
              <w:t>Foundation</w:t>
            </w:r>
          </w:p>
        </w:tc>
        <w:tc>
          <w:tcPr>
            <w:tcW w:w="1080" w:type="dxa"/>
            <w:shd w:val="clear" w:color="BFBFBF" w:fill="BFBFBF"/>
            <w:vAlign w:val="bottom"/>
          </w:tcPr>
          <w:p w14:paraId="1F18A450" w14:textId="77777777" w:rsidR="001322AF" w:rsidRPr="00C06773" w:rsidRDefault="001322AF" w:rsidP="00C06773">
            <w:pPr>
              <w:tabs>
                <w:tab w:val="left" w:pos="180"/>
                <w:tab w:val="left" w:pos="360"/>
              </w:tabs>
              <w:jc w:val="center"/>
              <w:rPr>
                <w:b/>
                <w:bCs/>
                <w:sz w:val="16"/>
                <w:szCs w:val="16"/>
              </w:rPr>
            </w:pPr>
            <w:r w:rsidRPr="00C06773">
              <w:rPr>
                <w:b/>
                <w:bCs/>
                <w:sz w:val="16"/>
                <w:szCs w:val="16"/>
              </w:rPr>
              <w:t>Registered</w:t>
            </w:r>
          </w:p>
        </w:tc>
        <w:tc>
          <w:tcPr>
            <w:tcW w:w="1085" w:type="dxa"/>
            <w:shd w:val="clear" w:color="BFBFBF" w:fill="BFBFBF"/>
            <w:vAlign w:val="bottom"/>
          </w:tcPr>
          <w:p w14:paraId="0F645507" w14:textId="77777777" w:rsidR="001322AF" w:rsidRPr="00C06773" w:rsidRDefault="001322AF" w:rsidP="00C06773">
            <w:pPr>
              <w:tabs>
                <w:tab w:val="left" w:pos="180"/>
                <w:tab w:val="left" w:pos="360"/>
              </w:tabs>
              <w:jc w:val="center"/>
              <w:rPr>
                <w:b/>
                <w:bCs/>
                <w:sz w:val="16"/>
                <w:szCs w:val="16"/>
              </w:rPr>
            </w:pPr>
            <w:r w:rsidRPr="00C06773">
              <w:rPr>
                <w:b/>
                <w:bCs/>
                <w:sz w:val="16"/>
                <w:szCs w:val="16"/>
              </w:rPr>
              <w:t>Certified</w:t>
            </w:r>
          </w:p>
        </w:tc>
      </w:tr>
      <w:tr w:rsidR="001322AF" w:rsidRPr="001322AF" w14:paraId="7DD4FBB3" w14:textId="77777777" w:rsidTr="00C06773">
        <w:trPr>
          <w:cantSplit/>
          <w:trHeight w:hRule="exact" w:val="296"/>
          <w:tblHeader/>
          <w:jc w:val="center"/>
        </w:trPr>
        <w:tc>
          <w:tcPr>
            <w:tcW w:w="1872" w:type="dxa"/>
            <w:vAlign w:val="center"/>
          </w:tcPr>
          <w:p w14:paraId="0BA13F2D" w14:textId="77777777" w:rsidR="001322AF" w:rsidRPr="00C06773" w:rsidRDefault="001322AF" w:rsidP="00C06773">
            <w:pPr>
              <w:tabs>
                <w:tab w:val="left" w:pos="180"/>
                <w:tab w:val="left" w:pos="360"/>
              </w:tabs>
              <w:rPr>
                <w:sz w:val="16"/>
                <w:szCs w:val="16"/>
              </w:rPr>
            </w:pPr>
            <w:r w:rsidRPr="00C06773">
              <w:rPr>
                <w:sz w:val="16"/>
                <w:szCs w:val="16"/>
              </w:rPr>
              <w:t>Isolation</w:t>
            </w:r>
          </w:p>
        </w:tc>
        <w:tc>
          <w:tcPr>
            <w:tcW w:w="985" w:type="dxa"/>
            <w:vAlign w:val="center"/>
          </w:tcPr>
          <w:p w14:paraId="44014EE7" w14:textId="77777777" w:rsidR="001322AF" w:rsidRPr="00C06773" w:rsidRDefault="001322AF" w:rsidP="00C06773">
            <w:pPr>
              <w:tabs>
                <w:tab w:val="left" w:pos="180"/>
                <w:tab w:val="left" w:pos="360"/>
              </w:tabs>
              <w:jc w:val="center"/>
              <w:rPr>
                <w:sz w:val="16"/>
                <w:szCs w:val="16"/>
              </w:rPr>
            </w:pPr>
            <w:r w:rsidRPr="00C06773">
              <w:rPr>
                <w:sz w:val="16"/>
                <w:szCs w:val="16"/>
              </w:rPr>
              <w:t>10 ft.</w:t>
            </w:r>
          </w:p>
        </w:tc>
        <w:tc>
          <w:tcPr>
            <w:tcW w:w="1080" w:type="dxa"/>
            <w:vAlign w:val="center"/>
          </w:tcPr>
          <w:p w14:paraId="013CDE8C" w14:textId="77777777" w:rsidR="001322AF" w:rsidRPr="00C06773" w:rsidRDefault="001322AF" w:rsidP="00C06773">
            <w:pPr>
              <w:tabs>
                <w:tab w:val="left" w:pos="180"/>
                <w:tab w:val="left" w:pos="360"/>
              </w:tabs>
              <w:jc w:val="center"/>
              <w:rPr>
                <w:sz w:val="16"/>
                <w:szCs w:val="16"/>
              </w:rPr>
            </w:pPr>
            <w:r w:rsidRPr="00C06773">
              <w:rPr>
                <w:sz w:val="16"/>
                <w:szCs w:val="16"/>
              </w:rPr>
              <w:t>10 ft.</w:t>
            </w:r>
          </w:p>
        </w:tc>
        <w:tc>
          <w:tcPr>
            <w:tcW w:w="1085" w:type="dxa"/>
            <w:vAlign w:val="center"/>
          </w:tcPr>
          <w:p w14:paraId="1732402F" w14:textId="77777777" w:rsidR="001322AF" w:rsidRPr="00C06773" w:rsidRDefault="001322AF" w:rsidP="00C06773">
            <w:pPr>
              <w:tabs>
                <w:tab w:val="left" w:pos="180"/>
                <w:tab w:val="left" w:pos="360"/>
              </w:tabs>
              <w:jc w:val="center"/>
              <w:rPr>
                <w:sz w:val="16"/>
                <w:szCs w:val="16"/>
              </w:rPr>
            </w:pPr>
            <w:r w:rsidRPr="00C06773">
              <w:rPr>
                <w:sz w:val="16"/>
                <w:szCs w:val="16"/>
              </w:rPr>
              <w:t>10 ft.</w:t>
            </w:r>
          </w:p>
        </w:tc>
      </w:tr>
      <w:tr w:rsidR="001322AF" w:rsidRPr="001322AF" w14:paraId="0180F03B" w14:textId="77777777" w:rsidTr="00C06773">
        <w:trPr>
          <w:cantSplit/>
          <w:trHeight w:hRule="exact" w:val="269"/>
          <w:tblHeader/>
          <w:jc w:val="center"/>
        </w:trPr>
        <w:tc>
          <w:tcPr>
            <w:tcW w:w="1872" w:type="dxa"/>
            <w:vAlign w:val="center"/>
          </w:tcPr>
          <w:p w14:paraId="6EC9094F" w14:textId="77777777" w:rsidR="001322AF" w:rsidRPr="00C06773" w:rsidRDefault="001322AF" w:rsidP="00C06773">
            <w:pPr>
              <w:tabs>
                <w:tab w:val="left" w:pos="180"/>
                <w:tab w:val="left" w:pos="360"/>
              </w:tabs>
              <w:rPr>
                <w:sz w:val="16"/>
                <w:szCs w:val="16"/>
              </w:rPr>
            </w:pPr>
            <w:r w:rsidRPr="00C06773">
              <w:rPr>
                <w:sz w:val="16"/>
                <w:szCs w:val="16"/>
              </w:rPr>
              <w:t>Other Varieties (obvious)</w:t>
            </w:r>
          </w:p>
        </w:tc>
        <w:tc>
          <w:tcPr>
            <w:tcW w:w="985" w:type="dxa"/>
            <w:vAlign w:val="center"/>
          </w:tcPr>
          <w:p w14:paraId="317706EC"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3E5162E0" w14:textId="77777777" w:rsidR="001322AF" w:rsidRPr="00C06773" w:rsidRDefault="001322AF" w:rsidP="00C06773">
            <w:pPr>
              <w:tabs>
                <w:tab w:val="left" w:pos="180"/>
                <w:tab w:val="left" w:pos="360"/>
              </w:tabs>
              <w:jc w:val="center"/>
              <w:rPr>
                <w:sz w:val="16"/>
                <w:szCs w:val="16"/>
              </w:rPr>
            </w:pPr>
            <w:r w:rsidRPr="00C06773">
              <w:rPr>
                <w:sz w:val="16"/>
                <w:szCs w:val="16"/>
              </w:rPr>
              <w:t>1.00%</w:t>
            </w:r>
          </w:p>
        </w:tc>
        <w:tc>
          <w:tcPr>
            <w:tcW w:w="1085" w:type="dxa"/>
            <w:vAlign w:val="center"/>
          </w:tcPr>
          <w:p w14:paraId="534B0EBB" w14:textId="77777777" w:rsidR="001322AF" w:rsidRPr="00C06773" w:rsidRDefault="001322AF" w:rsidP="00C06773">
            <w:pPr>
              <w:tabs>
                <w:tab w:val="left" w:pos="180"/>
                <w:tab w:val="left" w:pos="360"/>
              </w:tabs>
              <w:jc w:val="center"/>
              <w:rPr>
                <w:sz w:val="16"/>
                <w:szCs w:val="16"/>
              </w:rPr>
            </w:pPr>
            <w:r w:rsidRPr="00C06773">
              <w:rPr>
                <w:sz w:val="16"/>
                <w:szCs w:val="16"/>
              </w:rPr>
              <w:t>1.00%</w:t>
            </w:r>
          </w:p>
        </w:tc>
      </w:tr>
      <w:tr w:rsidR="001322AF" w:rsidRPr="001322AF" w14:paraId="4356D781" w14:textId="77777777" w:rsidTr="00C06773">
        <w:trPr>
          <w:cantSplit/>
          <w:trHeight w:hRule="exact" w:val="251"/>
          <w:tblHeader/>
          <w:jc w:val="center"/>
        </w:trPr>
        <w:tc>
          <w:tcPr>
            <w:tcW w:w="1872" w:type="dxa"/>
            <w:vAlign w:val="center"/>
          </w:tcPr>
          <w:p w14:paraId="4A8CC82C" w14:textId="77777777" w:rsidR="001322AF" w:rsidRPr="00C06773" w:rsidRDefault="001322AF" w:rsidP="00C06773">
            <w:pPr>
              <w:tabs>
                <w:tab w:val="left" w:pos="180"/>
                <w:tab w:val="left" w:pos="360"/>
              </w:tabs>
              <w:rPr>
                <w:sz w:val="16"/>
                <w:szCs w:val="16"/>
              </w:rPr>
            </w:pPr>
            <w:r w:rsidRPr="00C06773">
              <w:rPr>
                <w:sz w:val="16"/>
                <w:szCs w:val="16"/>
              </w:rPr>
              <w:t>Off-Type (definite)</w:t>
            </w:r>
          </w:p>
        </w:tc>
        <w:tc>
          <w:tcPr>
            <w:tcW w:w="985" w:type="dxa"/>
            <w:vAlign w:val="center"/>
          </w:tcPr>
          <w:p w14:paraId="15E8176E"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03D794EE" w14:textId="77777777" w:rsidR="001322AF" w:rsidRPr="00C06773" w:rsidRDefault="001322AF" w:rsidP="00C06773">
            <w:pPr>
              <w:tabs>
                <w:tab w:val="left" w:pos="180"/>
                <w:tab w:val="left" w:pos="360"/>
              </w:tabs>
              <w:jc w:val="center"/>
              <w:rPr>
                <w:sz w:val="16"/>
                <w:szCs w:val="16"/>
              </w:rPr>
            </w:pPr>
            <w:r w:rsidRPr="00C06773">
              <w:rPr>
                <w:sz w:val="16"/>
                <w:szCs w:val="16"/>
              </w:rPr>
              <w:t>1.00%</w:t>
            </w:r>
          </w:p>
        </w:tc>
        <w:tc>
          <w:tcPr>
            <w:tcW w:w="1085" w:type="dxa"/>
            <w:vAlign w:val="center"/>
          </w:tcPr>
          <w:p w14:paraId="00792A42" w14:textId="77777777" w:rsidR="001322AF" w:rsidRPr="00C06773" w:rsidRDefault="001322AF" w:rsidP="00C06773">
            <w:pPr>
              <w:tabs>
                <w:tab w:val="left" w:pos="180"/>
                <w:tab w:val="left" w:pos="360"/>
              </w:tabs>
              <w:jc w:val="center"/>
              <w:rPr>
                <w:sz w:val="16"/>
                <w:szCs w:val="16"/>
              </w:rPr>
            </w:pPr>
            <w:r w:rsidRPr="00C06773">
              <w:rPr>
                <w:sz w:val="16"/>
                <w:szCs w:val="16"/>
              </w:rPr>
              <w:t>1.00%</w:t>
            </w:r>
          </w:p>
        </w:tc>
      </w:tr>
      <w:tr w:rsidR="001322AF" w:rsidRPr="001322AF" w14:paraId="21F53743" w14:textId="77777777" w:rsidTr="00C06773">
        <w:trPr>
          <w:cantSplit/>
          <w:trHeight w:hRule="exact" w:val="269"/>
          <w:tblHeader/>
          <w:jc w:val="center"/>
        </w:trPr>
        <w:tc>
          <w:tcPr>
            <w:tcW w:w="5022" w:type="dxa"/>
            <w:gridSpan w:val="4"/>
            <w:vAlign w:val="center"/>
          </w:tcPr>
          <w:p w14:paraId="75964C2C" w14:textId="77777777" w:rsidR="001322AF" w:rsidRPr="00C06773" w:rsidRDefault="001322AF" w:rsidP="00C06773">
            <w:pPr>
              <w:tabs>
                <w:tab w:val="left" w:pos="180"/>
                <w:tab w:val="left" w:pos="360"/>
              </w:tabs>
              <w:rPr>
                <w:sz w:val="16"/>
                <w:szCs w:val="16"/>
              </w:rPr>
            </w:pPr>
            <w:r w:rsidRPr="00C06773">
              <w:rPr>
                <w:sz w:val="16"/>
                <w:szCs w:val="16"/>
              </w:rPr>
              <w:t>Noxious Weeds:</w:t>
            </w:r>
          </w:p>
        </w:tc>
      </w:tr>
      <w:tr w:rsidR="001322AF" w:rsidRPr="001322AF" w14:paraId="20B13C9C" w14:textId="77777777" w:rsidTr="00C06773">
        <w:trPr>
          <w:cantSplit/>
          <w:trHeight w:hRule="exact" w:val="359"/>
          <w:tblHeader/>
          <w:jc w:val="center"/>
        </w:trPr>
        <w:tc>
          <w:tcPr>
            <w:tcW w:w="1872" w:type="dxa"/>
            <w:vAlign w:val="center"/>
          </w:tcPr>
          <w:p w14:paraId="5755C1CE" w14:textId="77777777" w:rsidR="001322AF" w:rsidRPr="00C06773" w:rsidRDefault="001322AF" w:rsidP="00C06773">
            <w:pPr>
              <w:tabs>
                <w:tab w:val="left" w:pos="180"/>
                <w:tab w:val="left" w:pos="360"/>
              </w:tabs>
              <w:rPr>
                <w:sz w:val="16"/>
                <w:szCs w:val="16"/>
              </w:rPr>
            </w:pPr>
            <w:r w:rsidRPr="00C06773">
              <w:rPr>
                <w:sz w:val="16"/>
                <w:szCs w:val="16"/>
              </w:rPr>
              <w:t>Johnsongrass</w:t>
            </w:r>
          </w:p>
        </w:tc>
        <w:tc>
          <w:tcPr>
            <w:tcW w:w="985" w:type="dxa"/>
            <w:vAlign w:val="center"/>
          </w:tcPr>
          <w:p w14:paraId="0FF8EC15"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5B8598DA" w14:textId="77777777" w:rsidR="001322AF" w:rsidRPr="00C06773" w:rsidRDefault="001322AF" w:rsidP="00C06773">
            <w:pPr>
              <w:tabs>
                <w:tab w:val="left" w:pos="180"/>
                <w:tab w:val="left" w:pos="360"/>
              </w:tabs>
              <w:jc w:val="center"/>
              <w:rPr>
                <w:sz w:val="16"/>
                <w:szCs w:val="16"/>
              </w:rPr>
            </w:pPr>
            <w:r w:rsidRPr="00C06773">
              <w:rPr>
                <w:sz w:val="16"/>
                <w:szCs w:val="16"/>
              </w:rPr>
              <w:t>5 Plants/Acre</w:t>
            </w:r>
          </w:p>
        </w:tc>
        <w:tc>
          <w:tcPr>
            <w:tcW w:w="1085" w:type="dxa"/>
            <w:vAlign w:val="center"/>
          </w:tcPr>
          <w:p w14:paraId="2F45B804" w14:textId="77777777" w:rsidR="001322AF" w:rsidRPr="00C06773" w:rsidRDefault="001322AF" w:rsidP="00C06773">
            <w:pPr>
              <w:tabs>
                <w:tab w:val="left" w:pos="180"/>
                <w:tab w:val="left" w:pos="360"/>
              </w:tabs>
              <w:jc w:val="center"/>
              <w:rPr>
                <w:sz w:val="16"/>
                <w:szCs w:val="16"/>
              </w:rPr>
            </w:pPr>
            <w:r w:rsidRPr="00C06773">
              <w:rPr>
                <w:sz w:val="16"/>
                <w:szCs w:val="16"/>
              </w:rPr>
              <w:t>5 Plants/ Acre</w:t>
            </w:r>
          </w:p>
        </w:tc>
      </w:tr>
      <w:tr w:rsidR="001322AF" w:rsidRPr="001322AF" w14:paraId="1E7883C7" w14:textId="77777777" w:rsidTr="00C06773">
        <w:trPr>
          <w:cantSplit/>
          <w:trHeight w:hRule="exact" w:val="323"/>
          <w:tblHeader/>
          <w:jc w:val="center"/>
        </w:trPr>
        <w:tc>
          <w:tcPr>
            <w:tcW w:w="1872" w:type="dxa"/>
            <w:vAlign w:val="center"/>
          </w:tcPr>
          <w:p w14:paraId="4A6EE744" w14:textId="77777777" w:rsidR="001322AF" w:rsidRPr="00C06773" w:rsidRDefault="001322AF" w:rsidP="00C06773">
            <w:pPr>
              <w:tabs>
                <w:tab w:val="left" w:pos="180"/>
                <w:tab w:val="left" w:pos="360"/>
              </w:tabs>
              <w:rPr>
                <w:sz w:val="16"/>
                <w:szCs w:val="16"/>
              </w:rPr>
            </w:pPr>
            <w:proofErr w:type="spellStart"/>
            <w:r w:rsidRPr="00C06773">
              <w:rPr>
                <w:sz w:val="16"/>
                <w:szCs w:val="16"/>
              </w:rPr>
              <w:t>Itchgrass</w:t>
            </w:r>
            <w:proofErr w:type="spellEnd"/>
          </w:p>
        </w:tc>
        <w:tc>
          <w:tcPr>
            <w:tcW w:w="985" w:type="dxa"/>
            <w:vAlign w:val="center"/>
          </w:tcPr>
          <w:p w14:paraId="1BAAF731"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08D9E454" w14:textId="77777777" w:rsidR="001322AF" w:rsidRPr="00C06773" w:rsidRDefault="001322AF" w:rsidP="00C06773">
            <w:pPr>
              <w:tabs>
                <w:tab w:val="left" w:pos="180"/>
                <w:tab w:val="left" w:pos="360"/>
              </w:tabs>
              <w:jc w:val="center"/>
              <w:rPr>
                <w:sz w:val="16"/>
                <w:szCs w:val="16"/>
              </w:rPr>
            </w:pPr>
            <w:r w:rsidRPr="00C06773">
              <w:rPr>
                <w:sz w:val="16"/>
                <w:szCs w:val="16"/>
              </w:rPr>
              <w:t>1 Plant/Acre</w:t>
            </w:r>
          </w:p>
        </w:tc>
        <w:tc>
          <w:tcPr>
            <w:tcW w:w="1085" w:type="dxa"/>
            <w:vAlign w:val="center"/>
          </w:tcPr>
          <w:p w14:paraId="2A190F9B" w14:textId="77777777" w:rsidR="001322AF" w:rsidRPr="00C06773" w:rsidRDefault="001322AF" w:rsidP="00C06773">
            <w:pPr>
              <w:tabs>
                <w:tab w:val="left" w:pos="180"/>
                <w:tab w:val="left" w:pos="360"/>
              </w:tabs>
              <w:jc w:val="center"/>
              <w:rPr>
                <w:sz w:val="16"/>
                <w:szCs w:val="16"/>
              </w:rPr>
            </w:pPr>
            <w:r w:rsidRPr="00C06773">
              <w:rPr>
                <w:sz w:val="16"/>
                <w:szCs w:val="16"/>
              </w:rPr>
              <w:t>1 Plant/ Acre</w:t>
            </w:r>
          </w:p>
        </w:tc>
      </w:tr>
      <w:tr w:rsidR="001322AF" w:rsidRPr="001322AF" w14:paraId="5E0E1843" w14:textId="77777777" w:rsidTr="00C06773">
        <w:trPr>
          <w:cantSplit/>
          <w:trHeight w:hRule="exact" w:val="296"/>
          <w:tblHeader/>
          <w:jc w:val="center"/>
        </w:trPr>
        <w:tc>
          <w:tcPr>
            <w:tcW w:w="1872" w:type="dxa"/>
            <w:vAlign w:val="center"/>
          </w:tcPr>
          <w:p w14:paraId="1064344D" w14:textId="77777777" w:rsidR="001322AF" w:rsidRPr="00C06773" w:rsidRDefault="001322AF" w:rsidP="00C06773">
            <w:pPr>
              <w:tabs>
                <w:tab w:val="left" w:pos="180"/>
                <w:tab w:val="left" w:pos="360"/>
              </w:tabs>
              <w:rPr>
                <w:sz w:val="16"/>
                <w:szCs w:val="16"/>
              </w:rPr>
            </w:pPr>
            <w:r w:rsidRPr="00C06773">
              <w:rPr>
                <w:sz w:val="16"/>
                <w:szCs w:val="16"/>
              </w:rPr>
              <w:t>Black Nightshade</w:t>
            </w:r>
          </w:p>
        </w:tc>
        <w:tc>
          <w:tcPr>
            <w:tcW w:w="985" w:type="dxa"/>
            <w:vAlign w:val="center"/>
          </w:tcPr>
          <w:p w14:paraId="6F371AA1"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30057638" w14:textId="77777777" w:rsidR="001322AF" w:rsidRPr="00C06773" w:rsidRDefault="001322AF" w:rsidP="00C06773">
            <w:pPr>
              <w:tabs>
                <w:tab w:val="left" w:pos="180"/>
                <w:tab w:val="left" w:pos="360"/>
              </w:tabs>
              <w:jc w:val="center"/>
              <w:rPr>
                <w:sz w:val="16"/>
                <w:szCs w:val="16"/>
              </w:rPr>
            </w:pPr>
            <w:r w:rsidRPr="00C06773">
              <w:rPr>
                <w:sz w:val="16"/>
                <w:szCs w:val="16"/>
              </w:rPr>
              <w:t>3 Plants/Acre</w:t>
            </w:r>
          </w:p>
        </w:tc>
        <w:tc>
          <w:tcPr>
            <w:tcW w:w="1085" w:type="dxa"/>
            <w:vAlign w:val="center"/>
          </w:tcPr>
          <w:p w14:paraId="5C951331" w14:textId="77777777" w:rsidR="001322AF" w:rsidRPr="00C06773" w:rsidRDefault="001322AF" w:rsidP="00C06773">
            <w:pPr>
              <w:tabs>
                <w:tab w:val="left" w:pos="180"/>
                <w:tab w:val="left" w:pos="360"/>
              </w:tabs>
              <w:jc w:val="center"/>
              <w:rPr>
                <w:sz w:val="16"/>
                <w:szCs w:val="16"/>
              </w:rPr>
            </w:pPr>
            <w:r w:rsidRPr="00C06773">
              <w:rPr>
                <w:sz w:val="16"/>
                <w:szCs w:val="16"/>
              </w:rPr>
              <w:t>3 Plants/Acre</w:t>
            </w:r>
          </w:p>
        </w:tc>
      </w:tr>
      <w:tr w:rsidR="001322AF" w:rsidRPr="001322AF" w14:paraId="0612E831" w14:textId="77777777" w:rsidTr="00C06773">
        <w:trPr>
          <w:cantSplit/>
          <w:trHeight w:hRule="exact" w:val="233"/>
          <w:tblHeader/>
          <w:jc w:val="center"/>
        </w:trPr>
        <w:tc>
          <w:tcPr>
            <w:tcW w:w="5022" w:type="dxa"/>
            <w:gridSpan w:val="4"/>
            <w:vAlign w:val="center"/>
          </w:tcPr>
          <w:p w14:paraId="5DC5BDE5" w14:textId="77777777" w:rsidR="001322AF" w:rsidRPr="00C06773" w:rsidRDefault="001322AF" w:rsidP="00C06773">
            <w:pPr>
              <w:tabs>
                <w:tab w:val="left" w:pos="180"/>
                <w:tab w:val="left" w:pos="360"/>
              </w:tabs>
              <w:rPr>
                <w:sz w:val="16"/>
                <w:szCs w:val="16"/>
              </w:rPr>
            </w:pPr>
            <w:r w:rsidRPr="00C06773">
              <w:rPr>
                <w:sz w:val="16"/>
                <w:szCs w:val="16"/>
              </w:rPr>
              <w:t>Harmful Diseases:</w:t>
            </w:r>
          </w:p>
        </w:tc>
      </w:tr>
      <w:tr w:rsidR="001322AF" w:rsidRPr="001322AF" w14:paraId="09646E3F" w14:textId="77777777" w:rsidTr="00C06773">
        <w:trPr>
          <w:cantSplit/>
          <w:trHeight w:hRule="exact" w:val="302"/>
          <w:tblHeader/>
          <w:jc w:val="center"/>
        </w:trPr>
        <w:tc>
          <w:tcPr>
            <w:tcW w:w="1872" w:type="dxa"/>
            <w:vAlign w:val="center"/>
          </w:tcPr>
          <w:p w14:paraId="1E6245CB" w14:textId="77777777" w:rsidR="001322AF" w:rsidRPr="00C06773" w:rsidRDefault="001322AF" w:rsidP="00C06773">
            <w:pPr>
              <w:tabs>
                <w:tab w:val="left" w:pos="180"/>
                <w:tab w:val="left" w:pos="360"/>
              </w:tabs>
              <w:rPr>
                <w:sz w:val="16"/>
                <w:szCs w:val="16"/>
              </w:rPr>
            </w:pPr>
            <w:r w:rsidRPr="00C06773">
              <w:rPr>
                <w:sz w:val="16"/>
                <w:szCs w:val="16"/>
              </w:rPr>
              <w:t>**Sugarcane Mosaic</w:t>
            </w:r>
          </w:p>
        </w:tc>
        <w:tc>
          <w:tcPr>
            <w:tcW w:w="985" w:type="dxa"/>
            <w:vAlign w:val="center"/>
          </w:tcPr>
          <w:p w14:paraId="3B1C33BE"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43F9E64D" w14:textId="77777777" w:rsidR="001322AF" w:rsidRPr="00C06773" w:rsidRDefault="001322AF" w:rsidP="00C06773">
            <w:pPr>
              <w:tabs>
                <w:tab w:val="left" w:pos="180"/>
                <w:tab w:val="left" w:pos="360"/>
              </w:tabs>
              <w:jc w:val="center"/>
              <w:rPr>
                <w:sz w:val="16"/>
                <w:szCs w:val="16"/>
              </w:rPr>
            </w:pPr>
            <w:r w:rsidRPr="00C06773">
              <w:rPr>
                <w:sz w:val="16"/>
                <w:szCs w:val="16"/>
              </w:rPr>
              <w:t>10.00%</w:t>
            </w:r>
          </w:p>
        </w:tc>
        <w:tc>
          <w:tcPr>
            <w:tcW w:w="1085" w:type="dxa"/>
            <w:vAlign w:val="center"/>
          </w:tcPr>
          <w:p w14:paraId="6504EF7D" w14:textId="77777777" w:rsidR="001322AF" w:rsidRPr="00C06773" w:rsidRDefault="001322AF" w:rsidP="00C06773">
            <w:pPr>
              <w:tabs>
                <w:tab w:val="left" w:pos="180"/>
                <w:tab w:val="left" w:pos="360"/>
              </w:tabs>
              <w:jc w:val="center"/>
              <w:rPr>
                <w:sz w:val="16"/>
                <w:szCs w:val="16"/>
              </w:rPr>
            </w:pPr>
            <w:r w:rsidRPr="00C06773">
              <w:rPr>
                <w:sz w:val="16"/>
                <w:szCs w:val="16"/>
              </w:rPr>
              <w:t>10.00%</w:t>
            </w:r>
          </w:p>
        </w:tc>
      </w:tr>
      <w:tr w:rsidR="001322AF" w:rsidRPr="001322AF" w14:paraId="759ACAA8" w14:textId="77777777" w:rsidTr="00C06773">
        <w:trPr>
          <w:cantSplit/>
          <w:trHeight w:hRule="exact" w:val="288"/>
          <w:tblHeader/>
          <w:jc w:val="center"/>
        </w:trPr>
        <w:tc>
          <w:tcPr>
            <w:tcW w:w="1872" w:type="dxa"/>
            <w:vAlign w:val="center"/>
          </w:tcPr>
          <w:p w14:paraId="6CE62693" w14:textId="77777777" w:rsidR="001322AF" w:rsidRPr="00C06773" w:rsidRDefault="001322AF" w:rsidP="00C06773">
            <w:pPr>
              <w:tabs>
                <w:tab w:val="left" w:pos="180"/>
                <w:tab w:val="left" w:pos="360"/>
              </w:tabs>
              <w:rPr>
                <w:sz w:val="16"/>
                <w:szCs w:val="16"/>
              </w:rPr>
            </w:pPr>
            <w:r w:rsidRPr="00C06773">
              <w:rPr>
                <w:sz w:val="16"/>
                <w:szCs w:val="16"/>
              </w:rPr>
              <w:t>**Sugarcane Smut</w:t>
            </w:r>
          </w:p>
        </w:tc>
        <w:tc>
          <w:tcPr>
            <w:tcW w:w="985" w:type="dxa"/>
            <w:vAlign w:val="center"/>
          </w:tcPr>
          <w:p w14:paraId="5462BE60" w14:textId="77777777" w:rsidR="001322AF" w:rsidRPr="00C06773" w:rsidRDefault="001322AF" w:rsidP="00C06773">
            <w:pPr>
              <w:tabs>
                <w:tab w:val="left" w:pos="180"/>
                <w:tab w:val="left" w:pos="360"/>
              </w:tabs>
              <w:jc w:val="center"/>
              <w:rPr>
                <w:sz w:val="16"/>
                <w:szCs w:val="16"/>
              </w:rPr>
            </w:pPr>
            <w:r w:rsidRPr="00C06773">
              <w:rPr>
                <w:sz w:val="16"/>
                <w:szCs w:val="16"/>
              </w:rPr>
              <w:t>None</w:t>
            </w:r>
          </w:p>
        </w:tc>
        <w:tc>
          <w:tcPr>
            <w:tcW w:w="1080" w:type="dxa"/>
            <w:vAlign w:val="center"/>
          </w:tcPr>
          <w:p w14:paraId="6B2E5525" w14:textId="77777777" w:rsidR="001322AF" w:rsidRPr="00C06773" w:rsidRDefault="001322AF" w:rsidP="00C06773">
            <w:pPr>
              <w:tabs>
                <w:tab w:val="left" w:pos="180"/>
                <w:tab w:val="left" w:pos="360"/>
              </w:tabs>
              <w:jc w:val="center"/>
              <w:rPr>
                <w:sz w:val="16"/>
                <w:szCs w:val="16"/>
              </w:rPr>
            </w:pPr>
            <w:r w:rsidRPr="00C06773">
              <w:rPr>
                <w:sz w:val="16"/>
                <w:szCs w:val="16"/>
              </w:rPr>
              <w:t>0.50%</w:t>
            </w:r>
          </w:p>
        </w:tc>
        <w:tc>
          <w:tcPr>
            <w:tcW w:w="1085" w:type="dxa"/>
            <w:vAlign w:val="center"/>
          </w:tcPr>
          <w:p w14:paraId="6B855856" w14:textId="77777777" w:rsidR="001322AF" w:rsidRPr="00C06773" w:rsidRDefault="001322AF" w:rsidP="00C06773">
            <w:pPr>
              <w:tabs>
                <w:tab w:val="left" w:pos="180"/>
                <w:tab w:val="left" w:pos="360"/>
              </w:tabs>
              <w:jc w:val="center"/>
              <w:rPr>
                <w:sz w:val="16"/>
                <w:szCs w:val="16"/>
              </w:rPr>
            </w:pPr>
            <w:r w:rsidRPr="00C06773">
              <w:rPr>
                <w:sz w:val="16"/>
                <w:szCs w:val="16"/>
              </w:rPr>
              <w:t>0.50%</w:t>
            </w:r>
          </w:p>
        </w:tc>
      </w:tr>
      <w:tr w:rsidR="001322AF" w:rsidRPr="001322AF" w14:paraId="04E2D402" w14:textId="77777777" w:rsidTr="00C06773">
        <w:trPr>
          <w:cantSplit/>
          <w:trHeight w:hRule="exact" w:val="404"/>
          <w:tblHeader/>
          <w:jc w:val="center"/>
        </w:trPr>
        <w:tc>
          <w:tcPr>
            <w:tcW w:w="1872" w:type="dxa"/>
          </w:tcPr>
          <w:p w14:paraId="4E5D9321" w14:textId="77777777" w:rsidR="001322AF" w:rsidRPr="00C06773" w:rsidRDefault="001322AF" w:rsidP="00C06773">
            <w:pPr>
              <w:tabs>
                <w:tab w:val="left" w:pos="180"/>
                <w:tab w:val="left" w:pos="360"/>
              </w:tabs>
              <w:rPr>
                <w:sz w:val="16"/>
                <w:szCs w:val="16"/>
              </w:rPr>
            </w:pPr>
            <w:r w:rsidRPr="00C06773">
              <w:rPr>
                <w:sz w:val="16"/>
                <w:szCs w:val="16"/>
              </w:rPr>
              <w:t>Harmful Insects:</w:t>
            </w:r>
          </w:p>
          <w:p w14:paraId="76E23BD1" w14:textId="77777777" w:rsidR="001322AF" w:rsidRPr="00C06773" w:rsidRDefault="001322AF" w:rsidP="00C06773">
            <w:pPr>
              <w:tabs>
                <w:tab w:val="left" w:pos="180"/>
                <w:tab w:val="left" w:pos="360"/>
              </w:tabs>
              <w:rPr>
                <w:sz w:val="16"/>
                <w:szCs w:val="16"/>
              </w:rPr>
            </w:pPr>
            <w:r w:rsidRPr="00C06773">
              <w:rPr>
                <w:sz w:val="16"/>
                <w:szCs w:val="16"/>
              </w:rPr>
              <w:t>***Sugarcane Stem Borers</w:t>
            </w:r>
          </w:p>
        </w:tc>
        <w:tc>
          <w:tcPr>
            <w:tcW w:w="985" w:type="dxa"/>
          </w:tcPr>
          <w:p w14:paraId="601DB12B" w14:textId="77777777" w:rsidR="001322AF" w:rsidRPr="00C06773" w:rsidRDefault="001322AF" w:rsidP="00C06773">
            <w:pPr>
              <w:tabs>
                <w:tab w:val="left" w:pos="180"/>
                <w:tab w:val="left" w:pos="360"/>
              </w:tabs>
              <w:jc w:val="center"/>
              <w:rPr>
                <w:sz w:val="16"/>
                <w:szCs w:val="16"/>
              </w:rPr>
            </w:pPr>
            <w:r w:rsidRPr="00C06773">
              <w:rPr>
                <w:sz w:val="16"/>
                <w:szCs w:val="16"/>
              </w:rPr>
              <w:t xml:space="preserve">None </w:t>
            </w:r>
            <w:r w:rsidRPr="00C06773">
              <w:rPr>
                <w:sz w:val="16"/>
                <w:szCs w:val="16"/>
              </w:rPr>
              <w:br/>
            </w:r>
            <w:proofErr w:type="spellStart"/>
            <w:r w:rsidRPr="00C06773">
              <w:rPr>
                <w:sz w:val="16"/>
                <w:szCs w:val="16"/>
              </w:rPr>
              <w:t>None</w:t>
            </w:r>
            <w:proofErr w:type="spellEnd"/>
          </w:p>
        </w:tc>
        <w:tc>
          <w:tcPr>
            <w:tcW w:w="1080" w:type="dxa"/>
          </w:tcPr>
          <w:p w14:paraId="6E229C5B" w14:textId="77777777" w:rsidR="001322AF" w:rsidRPr="00C06773" w:rsidRDefault="001322AF" w:rsidP="00C06773">
            <w:pPr>
              <w:tabs>
                <w:tab w:val="left" w:pos="180"/>
                <w:tab w:val="left" w:pos="360"/>
              </w:tabs>
              <w:jc w:val="center"/>
              <w:rPr>
                <w:sz w:val="16"/>
                <w:szCs w:val="16"/>
              </w:rPr>
            </w:pPr>
            <w:r w:rsidRPr="00C06773">
              <w:rPr>
                <w:sz w:val="16"/>
                <w:szCs w:val="16"/>
              </w:rPr>
              <w:t>None</w:t>
            </w:r>
          </w:p>
          <w:p w14:paraId="40D531D0" w14:textId="77777777" w:rsidR="001322AF" w:rsidRPr="00C06773" w:rsidRDefault="001322AF" w:rsidP="00C06773">
            <w:pPr>
              <w:tabs>
                <w:tab w:val="left" w:pos="180"/>
                <w:tab w:val="left" w:pos="360"/>
              </w:tabs>
              <w:jc w:val="center"/>
              <w:rPr>
                <w:sz w:val="16"/>
                <w:szCs w:val="16"/>
              </w:rPr>
            </w:pPr>
            <w:r w:rsidRPr="00C06773">
              <w:rPr>
                <w:sz w:val="16"/>
                <w:szCs w:val="16"/>
              </w:rPr>
              <w:t>5.00%</w:t>
            </w:r>
          </w:p>
        </w:tc>
        <w:tc>
          <w:tcPr>
            <w:tcW w:w="1085" w:type="dxa"/>
          </w:tcPr>
          <w:p w14:paraId="4DE4E1FC" w14:textId="77777777" w:rsidR="001322AF" w:rsidRPr="00C06773" w:rsidRDefault="001322AF" w:rsidP="00C06773">
            <w:pPr>
              <w:tabs>
                <w:tab w:val="left" w:pos="180"/>
                <w:tab w:val="left" w:pos="360"/>
              </w:tabs>
              <w:jc w:val="center"/>
              <w:rPr>
                <w:sz w:val="16"/>
                <w:szCs w:val="16"/>
              </w:rPr>
            </w:pPr>
            <w:r w:rsidRPr="00C06773">
              <w:rPr>
                <w:sz w:val="16"/>
                <w:szCs w:val="16"/>
              </w:rPr>
              <w:t>None</w:t>
            </w:r>
          </w:p>
          <w:p w14:paraId="60BE7030" w14:textId="77777777" w:rsidR="001322AF" w:rsidRPr="00C06773" w:rsidRDefault="001322AF" w:rsidP="00C06773">
            <w:pPr>
              <w:tabs>
                <w:tab w:val="left" w:pos="180"/>
                <w:tab w:val="left" w:pos="360"/>
              </w:tabs>
              <w:jc w:val="center"/>
              <w:rPr>
                <w:sz w:val="16"/>
                <w:szCs w:val="16"/>
              </w:rPr>
            </w:pPr>
            <w:r w:rsidRPr="00C06773">
              <w:rPr>
                <w:sz w:val="16"/>
                <w:szCs w:val="16"/>
              </w:rPr>
              <w:t>5.00%</w:t>
            </w:r>
          </w:p>
        </w:tc>
      </w:tr>
      <w:tr w:rsidR="001322AF" w:rsidRPr="001322AF" w14:paraId="53DA828A" w14:textId="77777777" w:rsidTr="00C06773">
        <w:trPr>
          <w:cantSplit/>
          <w:trHeight w:hRule="exact" w:val="296"/>
          <w:tblHeader/>
          <w:jc w:val="center"/>
        </w:trPr>
        <w:tc>
          <w:tcPr>
            <w:tcW w:w="5022" w:type="dxa"/>
            <w:gridSpan w:val="4"/>
            <w:vAlign w:val="center"/>
          </w:tcPr>
          <w:p w14:paraId="0CEBF9CA" w14:textId="77777777" w:rsidR="001322AF" w:rsidRPr="00C06773" w:rsidRDefault="001322AF" w:rsidP="00C06773">
            <w:pPr>
              <w:tabs>
                <w:tab w:val="left" w:pos="180"/>
                <w:tab w:val="left" w:pos="360"/>
              </w:tabs>
              <w:rPr>
                <w:sz w:val="16"/>
                <w:szCs w:val="16"/>
              </w:rPr>
            </w:pPr>
            <w:bookmarkStart w:id="3" w:name="Place"/>
            <w:r w:rsidRPr="00C06773">
              <w:rPr>
                <w:sz w:val="16"/>
                <w:szCs w:val="16"/>
              </w:rPr>
              <w:t>**Plants exhibiting symptoms</w:t>
            </w:r>
          </w:p>
        </w:tc>
      </w:tr>
      <w:tr w:rsidR="001322AF" w:rsidRPr="001322AF" w14:paraId="09DFB8DE" w14:textId="77777777" w:rsidTr="00C06773">
        <w:trPr>
          <w:cantSplit/>
          <w:trHeight w:hRule="exact" w:val="314"/>
          <w:tblHeader/>
          <w:jc w:val="center"/>
        </w:trPr>
        <w:tc>
          <w:tcPr>
            <w:tcW w:w="5022" w:type="dxa"/>
            <w:gridSpan w:val="4"/>
            <w:vAlign w:val="center"/>
          </w:tcPr>
          <w:p w14:paraId="167E646F" w14:textId="1DCF7CA3" w:rsidR="001322AF" w:rsidRPr="00C06773" w:rsidRDefault="001322AF" w:rsidP="00C06773">
            <w:pPr>
              <w:tabs>
                <w:tab w:val="left" w:pos="180"/>
                <w:tab w:val="left" w:pos="360"/>
              </w:tabs>
              <w:rPr>
                <w:sz w:val="16"/>
                <w:szCs w:val="16"/>
              </w:rPr>
            </w:pPr>
            <w:bookmarkStart w:id="4" w:name="End"/>
            <w:bookmarkEnd w:id="3"/>
            <w:r w:rsidRPr="00C06773">
              <w:rPr>
                <w:sz w:val="16"/>
                <w:szCs w:val="16"/>
              </w:rPr>
              <w:t>***Determined by percentage of internodes bored</w:t>
            </w:r>
            <w:bookmarkEnd w:id="4"/>
          </w:p>
        </w:tc>
      </w:tr>
    </w:tbl>
    <w:p w14:paraId="66C3C0A6" w14:textId="77777777" w:rsidR="001322AF" w:rsidRPr="001322AF" w:rsidRDefault="001322AF" w:rsidP="001322AF"/>
    <w:p w14:paraId="5E63F347" w14:textId="22B0DD0A" w:rsidR="00332DB0" w:rsidRDefault="001322AF" w:rsidP="00332DB0">
      <w:pPr>
        <w:pStyle w:val="A0"/>
      </w:pPr>
      <w:r w:rsidRPr="001322AF">
        <w:t xml:space="preserve">F. </w:t>
      </w:r>
      <w:r w:rsidR="00C06773">
        <w:t>-</w:t>
      </w:r>
      <w:r w:rsidRPr="001322AF">
        <w:t xml:space="preserve"> G.2.c.</w:t>
      </w:r>
      <w:r w:rsidRPr="001322AF">
        <w:tab/>
        <w:t>…</w:t>
      </w:r>
    </w:p>
    <w:p w14:paraId="73E92A91" w14:textId="06E3709D" w:rsidR="001322AF" w:rsidRPr="001322AF" w:rsidRDefault="001322AF" w:rsidP="00332DB0">
      <w:pPr>
        <w:pStyle w:val="AuthorityNote"/>
      </w:pPr>
      <w:r w:rsidRPr="001322AF">
        <w:t>AUTHORITY NOTE</w:t>
      </w:r>
      <w:proofErr w:type="gramStart"/>
      <w:r w:rsidRPr="001322AF">
        <w:t>:</w:t>
      </w:r>
      <w:r w:rsidRPr="001322AF">
        <w:tab/>
      </w:r>
      <w:r w:rsidRPr="001322AF">
        <w:tab/>
        <w:t>Promulgated</w:t>
      </w:r>
      <w:proofErr w:type="gramEnd"/>
      <w:r w:rsidRPr="001322AF">
        <w:t xml:space="preserve"> in accordance with R.S. 3:1433.</w:t>
      </w:r>
    </w:p>
    <w:p w14:paraId="0CAA311D" w14:textId="73B499E2" w:rsidR="00332DB0" w:rsidRDefault="001322AF" w:rsidP="00332DB0">
      <w:pPr>
        <w:pStyle w:val="HistoricalNote"/>
      </w:pPr>
      <w:r w:rsidRPr="001322AF">
        <w:t>HISTORICAL NOTE:</w:t>
      </w:r>
      <w:r w:rsidR="00332DB0">
        <w:t xml:space="preserve"> </w:t>
      </w:r>
      <w:r w:rsidRPr="001322AF">
        <w:t>Promulgated by the Department of Agriculture and Forestry, Office of Agricultural and Environmental Sciences, Seed Commission, LR 12:825 (December 1986), amended by the Department of Agriculture and Forestry, Office of Agricultural and Environmental Sciences, LR 23:1284 (October 1997), amended by the Department of Agriculture and Forestry, Office of the Commissioner, Seed Commission, LR 30:1143 (June 2004), amended by the Department of Agriculture and Forestry, Office of Agricultural and Environmental Sciences, Seed Commission, LR 33:1609 (August 2007), LR 36:1223 (June 2010), repromulgated by the Department of Agriculture and Forestry, Office of Agricultural and Environmental Sciences, Agricultural Chemistry and Seed Commission, LR 39:2729 (October 2013), amended LR 40:756 (April 2014), LR 42:212 (February 2016), LR 43:1898 (October 2017), LR 51:1571 (October 2025), LR 52</w:t>
      </w:r>
    </w:p>
    <w:p w14:paraId="6B6531D4" w14:textId="77777777" w:rsidR="00332DB0" w:rsidRPr="00C06773" w:rsidRDefault="00332DB0" w:rsidP="00332DB0">
      <w:pPr>
        <w:pStyle w:val="HistoricalNote"/>
      </w:pPr>
    </w:p>
    <w:p w14:paraId="34D71171" w14:textId="77777777" w:rsidR="001322AF" w:rsidRPr="001322AF" w:rsidRDefault="001322AF" w:rsidP="00332DB0">
      <w:pPr>
        <w:pStyle w:val="RegSignature"/>
      </w:pPr>
      <w:bookmarkStart w:id="5" w:name="Temp"/>
      <w:r w:rsidRPr="001322AF">
        <w:t>Mike Strain, DVM</w:t>
      </w:r>
    </w:p>
    <w:p w14:paraId="71727A3A" w14:textId="3EDB6FDB" w:rsidR="00332DB0" w:rsidRDefault="001322AF" w:rsidP="00332DB0">
      <w:pPr>
        <w:pStyle w:val="RegSignature"/>
      </w:pPr>
      <w:r w:rsidRPr="001322AF">
        <w:t>Commissioner</w:t>
      </w:r>
      <w:bookmarkStart w:id="6" w:name="ParasHere"/>
    </w:p>
    <w:p w14:paraId="7F725B56" w14:textId="0E480B86" w:rsidR="00332DB0" w:rsidRPr="001322AF" w:rsidRDefault="00332DB0" w:rsidP="00332DB0">
      <w:pPr>
        <w:pStyle w:val="RegLogNumber"/>
      </w:pPr>
      <w:bookmarkStart w:id="7" w:name="LastPara"/>
      <w:bookmarkStart w:id="8" w:name="Here"/>
      <w:bookmarkEnd w:id="5"/>
      <w:bookmarkEnd w:id="6"/>
      <w:bookmarkEnd w:id="7"/>
      <w:bookmarkEnd w:id="8"/>
      <w:r>
        <w:t>2606#009</w:t>
      </w:r>
      <w:bookmarkEnd w:id="0"/>
    </w:p>
    <w:sectPr w:rsidR="00332DB0" w:rsidRPr="001322AF" w:rsidSect="009F1DE1">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A1263" w14:textId="77777777" w:rsidR="00E70E24" w:rsidRDefault="00E70E24">
      <w:r>
        <w:separator/>
      </w:r>
    </w:p>
  </w:endnote>
  <w:endnote w:type="continuationSeparator" w:id="0">
    <w:p w14:paraId="3C0B6CCF" w14:textId="77777777" w:rsidR="00E70E24" w:rsidRDefault="00E7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9450" w14:textId="77777777" w:rsidR="00E70E24" w:rsidRDefault="00E70E24">
      <w:r>
        <w:separator/>
      </w:r>
    </w:p>
  </w:footnote>
  <w:footnote w:type="continuationSeparator" w:id="0">
    <w:p w14:paraId="41BC10B9" w14:textId="77777777" w:rsidR="00E70E24" w:rsidRDefault="00E70E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Agriculture and Environmental Sciences"/>
    <w:docVar w:name="ChosenSubDepartment" w:val="Office of Agriculture and Environmental Sciences"/>
    <w:docVar w:name="CreationDate" w:val="6/1/2026 10:21:17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Department of Conservation and Energy%%%Office of Enforcement@@@Department of Conservation and Energy"/>
    <w:docVar w:name="Dept(185)" w:val="Department of State Civil Service%%%Division of Administrative Law@@@Department of State Civil Service"/>
    <w:docVar w:name="Dept(186)" w:val="Department of Conservation and Energy%%%Office of Enforcement@@@Department of Conservation and Energy"/>
    <w:docVar w:name="Dept(187)" w:val="Governor, Office of the%%%State Board of Examiners of Interior Designers@@@Governor, Office of the"/>
    <w:docVar w:name="Dept(188)" w:val="Louisiana Works%%%Louisiana Rehabilitation Services@@@Louisiana Works"/>
    <w:docVar w:name="Dept(189)" w:val="Governor, Office of the%%%Auctioneers Licensing Board@@@Governor, Office of the"/>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moval of Sampling for the Yellow Leaf Virus in the Field (LAC 7:XIII.763) "/>
    <w:docVar w:name="DocType" w:val="EMR"/>
    <w:docVar w:name="ExoSeq" w:val="xx"/>
    <w:docVar w:name="FootnotesPresent" w:val="False"/>
    <w:docVar w:name="GovernorName" w:val="Jeff Landry"/>
    <w:docVar w:name="GovInitials" w:val="JML"/>
    <w:docVar w:name="LogInMonth" w:val="06"/>
    <w:docVar w:name="LogInSeq" w:val="009"/>
    <w:docVar w:name="LogInYear" w:val="26"/>
    <w:docVar w:name="PubDate" w:val="May 20, 2026"/>
    <w:docVar w:name="RegNumber" w:val="5"/>
    <w:docVar w:name="RegVolume" w:val="52"/>
    <w:docVar w:name="SecOfStateName" w:val="Nancy Landry"/>
    <w:docVar w:name="StartPageNumber" w:val="1"/>
    <w:docVar w:name="UserInitials" w:val="abm"/>
  </w:docVars>
  <w:rsids>
    <w:rsidRoot w:val="001322AF"/>
    <w:rsid w:val="00004CF8"/>
    <w:rsid w:val="000062B1"/>
    <w:rsid w:val="0001034C"/>
    <w:rsid w:val="00012018"/>
    <w:rsid w:val="00020089"/>
    <w:rsid w:val="00021232"/>
    <w:rsid w:val="00025E22"/>
    <w:rsid w:val="00027626"/>
    <w:rsid w:val="000341A6"/>
    <w:rsid w:val="00034A59"/>
    <w:rsid w:val="00037FE6"/>
    <w:rsid w:val="0004017D"/>
    <w:rsid w:val="00042686"/>
    <w:rsid w:val="00043219"/>
    <w:rsid w:val="00043DBD"/>
    <w:rsid w:val="000450BF"/>
    <w:rsid w:val="0004516E"/>
    <w:rsid w:val="00054C5E"/>
    <w:rsid w:val="00063D86"/>
    <w:rsid w:val="00065397"/>
    <w:rsid w:val="00071533"/>
    <w:rsid w:val="000721BE"/>
    <w:rsid w:val="00090ACE"/>
    <w:rsid w:val="000A3ACC"/>
    <w:rsid w:val="000A3CED"/>
    <w:rsid w:val="000B0F05"/>
    <w:rsid w:val="000B1E1B"/>
    <w:rsid w:val="000B23E4"/>
    <w:rsid w:val="000B3BFA"/>
    <w:rsid w:val="000B71E7"/>
    <w:rsid w:val="000C0944"/>
    <w:rsid w:val="000C3A02"/>
    <w:rsid w:val="000D04F7"/>
    <w:rsid w:val="000D0E94"/>
    <w:rsid w:val="000D10A3"/>
    <w:rsid w:val="000D319A"/>
    <w:rsid w:val="000D4060"/>
    <w:rsid w:val="000D7FE6"/>
    <w:rsid w:val="000E4997"/>
    <w:rsid w:val="000E613D"/>
    <w:rsid w:val="000F03F7"/>
    <w:rsid w:val="000F1068"/>
    <w:rsid w:val="000F1FFE"/>
    <w:rsid w:val="00101FFC"/>
    <w:rsid w:val="001104A1"/>
    <w:rsid w:val="00110E22"/>
    <w:rsid w:val="00125B25"/>
    <w:rsid w:val="001322AF"/>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51F9"/>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2DB0"/>
    <w:rsid w:val="00334C77"/>
    <w:rsid w:val="0034220B"/>
    <w:rsid w:val="003434B6"/>
    <w:rsid w:val="00345948"/>
    <w:rsid w:val="0034687F"/>
    <w:rsid w:val="00347686"/>
    <w:rsid w:val="0036355E"/>
    <w:rsid w:val="00382C58"/>
    <w:rsid w:val="003845C9"/>
    <w:rsid w:val="00387EC3"/>
    <w:rsid w:val="003A77C6"/>
    <w:rsid w:val="003B1AF7"/>
    <w:rsid w:val="003B1C6E"/>
    <w:rsid w:val="003B6129"/>
    <w:rsid w:val="003B6F57"/>
    <w:rsid w:val="003C73C5"/>
    <w:rsid w:val="003D3C4D"/>
    <w:rsid w:val="003D7EB4"/>
    <w:rsid w:val="003E1D26"/>
    <w:rsid w:val="003E5250"/>
    <w:rsid w:val="003E57C8"/>
    <w:rsid w:val="003F1997"/>
    <w:rsid w:val="003F1A48"/>
    <w:rsid w:val="00404DAF"/>
    <w:rsid w:val="004051D4"/>
    <w:rsid w:val="00405E86"/>
    <w:rsid w:val="004161F7"/>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258E3"/>
    <w:rsid w:val="00527FB1"/>
    <w:rsid w:val="0053093B"/>
    <w:rsid w:val="00531791"/>
    <w:rsid w:val="00542B5D"/>
    <w:rsid w:val="00553BF9"/>
    <w:rsid w:val="00561BA6"/>
    <w:rsid w:val="00580F53"/>
    <w:rsid w:val="00586010"/>
    <w:rsid w:val="005861CE"/>
    <w:rsid w:val="0059625F"/>
    <w:rsid w:val="005A5295"/>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55CB7"/>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0EE0"/>
    <w:rsid w:val="00826AE8"/>
    <w:rsid w:val="00831329"/>
    <w:rsid w:val="0083241F"/>
    <w:rsid w:val="00842FBD"/>
    <w:rsid w:val="0084616A"/>
    <w:rsid w:val="00850683"/>
    <w:rsid w:val="00857C02"/>
    <w:rsid w:val="00860658"/>
    <w:rsid w:val="00866B03"/>
    <w:rsid w:val="00871798"/>
    <w:rsid w:val="008745D4"/>
    <w:rsid w:val="00874DB3"/>
    <w:rsid w:val="0088451C"/>
    <w:rsid w:val="00884FCD"/>
    <w:rsid w:val="00892E43"/>
    <w:rsid w:val="00897D30"/>
    <w:rsid w:val="008A074A"/>
    <w:rsid w:val="008A1892"/>
    <w:rsid w:val="008A22A9"/>
    <w:rsid w:val="008A61B0"/>
    <w:rsid w:val="008A724A"/>
    <w:rsid w:val="008B046A"/>
    <w:rsid w:val="008B2992"/>
    <w:rsid w:val="008C1C14"/>
    <w:rsid w:val="008C6D93"/>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1DE1"/>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074E9"/>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C3AD6"/>
    <w:rsid w:val="00BE7D1D"/>
    <w:rsid w:val="00BF71F9"/>
    <w:rsid w:val="00C06773"/>
    <w:rsid w:val="00C11013"/>
    <w:rsid w:val="00C14E09"/>
    <w:rsid w:val="00C17394"/>
    <w:rsid w:val="00C17CE4"/>
    <w:rsid w:val="00C269FF"/>
    <w:rsid w:val="00C33FC5"/>
    <w:rsid w:val="00C34C2E"/>
    <w:rsid w:val="00C374F8"/>
    <w:rsid w:val="00C427D6"/>
    <w:rsid w:val="00C50AE8"/>
    <w:rsid w:val="00C532A7"/>
    <w:rsid w:val="00C61878"/>
    <w:rsid w:val="00C61C9E"/>
    <w:rsid w:val="00C635A2"/>
    <w:rsid w:val="00C64CC6"/>
    <w:rsid w:val="00C65B0B"/>
    <w:rsid w:val="00C748F4"/>
    <w:rsid w:val="00C74CAD"/>
    <w:rsid w:val="00C93669"/>
    <w:rsid w:val="00CA1160"/>
    <w:rsid w:val="00CA6530"/>
    <w:rsid w:val="00CA6D3E"/>
    <w:rsid w:val="00CB24DD"/>
    <w:rsid w:val="00CB316F"/>
    <w:rsid w:val="00CC1204"/>
    <w:rsid w:val="00CD03B3"/>
    <w:rsid w:val="00CD092A"/>
    <w:rsid w:val="00CD0F15"/>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53678"/>
    <w:rsid w:val="00D6285D"/>
    <w:rsid w:val="00D715C9"/>
    <w:rsid w:val="00D7366F"/>
    <w:rsid w:val="00D75AF8"/>
    <w:rsid w:val="00D84D23"/>
    <w:rsid w:val="00D85EE2"/>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0E24"/>
    <w:rsid w:val="00E7451D"/>
    <w:rsid w:val="00E74C25"/>
    <w:rsid w:val="00E82BC5"/>
    <w:rsid w:val="00E87D6F"/>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16882"/>
    <w:rsid w:val="00F213E6"/>
    <w:rsid w:val="00F24A53"/>
    <w:rsid w:val="00F24E75"/>
    <w:rsid w:val="00F33857"/>
    <w:rsid w:val="00F40496"/>
    <w:rsid w:val="00F42167"/>
    <w:rsid w:val="00F42742"/>
    <w:rsid w:val="00F46D22"/>
    <w:rsid w:val="00F52005"/>
    <w:rsid w:val="00F55E94"/>
    <w:rsid w:val="00F604C4"/>
    <w:rsid w:val="00F65A42"/>
    <w:rsid w:val="00F77A91"/>
    <w:rsid w:val="00F86ADB"/>
    <w:rsid w:val="00F9000E"/>
    <w:rsid w:val="00F951F6"/>
    <w:rsid w:val="00FA0F48"/>
    <w:rsid w:val="00FA1EB7"/>
    <w:rsid w:val="00FA4696"/>
    <w:rsid w:val="00FA5103"/>
    <w:rsid w:val="00FA5480"/>
    <w:rsid w:val="00FA710C"/>
    <w:rsid w:val="00FB56D1"/>
    <w:rsid w:val="00FB68F0"/>
    <w:rsid w:val="00FC243B"/>
    <w:rsid w:val="00FC321F"/>
    <w:rsid w:val="00FC32EE"/>
    <w:rsid w:val="00FC5A43"/>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A00E0"/>
  <w15:chartTrackingRefBased/>
  <w15:docId w15:val="{25EE406D-986D-4973-ADEC-C9CA1CBF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773"/>
  </w:style>
  <w:style w:type="paragraph" w:styleId="Heading1">
    <w:name w:val="heading 1"/>
    <w:basedOn w:val="Normal"/>
    <w:next w:val="Normal"/>
    <w:qFormat/>
    <w:rsid w:val="00C06773"/>
    <w:pPr>
      <w:keepNext/>
      <w:outlineLvl w:val="0"/>
    </w:pPr>
    <w:rPr>
      <w:vanish/>
    </w:rPr>
  </w:style>
  <w:style w:type="character" w:default="1" w:styleId="DefaultParagraphFont">
    <w:name w:val="Default Paragraph Font"/>
    <w:semiHidden/>
    <w:rsid w:val="00C0677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C06773"/>
  </w:style>
  <w:style w:type="paragraph" w:styleId="Header">
    <w:name w:val="header"/>
    <w:basedOn w:val="Normal"/>
    <w:rsid w:val="00C06773"/>
    <w:pPr>
      <w:tabs>
        <w:tab w:val="center" w:pos="4320"/>
        <w:tab w:val="right" w:pos="8640"/>
      </w:tabs>
    </w:pPr>
  </w:style>
  <w:style w:type="paragraph" w:styleId="Footer">
    <w:name w:val="footer"/>
    <w:basedOn w:val="Normal"/>
    <w:rsid w:val="00C06773"/>
    <w:pPr>
      <w:tabs>
        <w:tab w:val="center" w:pos="4320"/>
        <w:tab w:val="right" w:pos="8640"/>
      </w:tabs>
    </w:pPr>
  </w:style>
  <w:style w:type="paragraph" w:customStyle="1" w:styleId="a">
    <w:name w:val="(a)."/>
    <w:basedOn w:val="Text"/>
    <w:rsid w:val="00C06773"/>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C067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C06773"/>
    <w:pPr>
      <w:tabs>
        <w:tab w:val="decimal" w:pos="1440"/>
        <w:tab w:val="left" w:pos="1728"/>
      </w:tabs>
      <w:jc w:val="both"/>
      <w:outlineLvl w:val="8"/>
    </w:pPr>
    <w:rPr>
      <w:kern w:val="2"/>
    </w:rPr>
  </w:style>
  <w:style w:type="paragraph" w:customStyle="1" w:styleId="1">
    <w:name w:val="1."/>
    <w:basedOn w:val="Normal"/>
    <w:rsid w:val="00C06773"/>
    <w:pPr>
      <w:tabs>
        <w:tab w:val="left" w:pos="720"/>
        <w:tab w:val="left" w:pos="979"/>
        <w:tab w:val="left" w:pos="1152"/>
      </w:tabs>
      <w:ind w:firstLine="360"/>
      <w:jc w:val="both"/>
      <w:outlineLvl w:val="4"/>
    </w:pPr>
    <w:rPr>
      <w:kern w:val="2"/>
    </w:rPr>
  </w:style>
  <w:style w:type="paragraph" w:customStyle="1" w:styleId="A0">
    <w:name w:val="A."/>
    <w:basedOn w:val="Normal"/>
    <w:rsid w:val="00C06773"/>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C06773"/>
    <w:pPr>
      <w:tabs>
        <w:tab w:val="left" w:pos="907"/>
      </w:tabs>
      <w:ind w:firstLine="547"/>
      <w:jc w:val="both"/>
      <w:outlineLvl w:val="5"/>
    </w:pPr>
    <w:rPr>
      <w:kern w:val="2"/>
    </w:rPr>
  </w:style>
  <w:style w:type="paragraph" w:customStyle="1" w:styleId="AuthorityNote">
    <w:name w:val="Authority Note"/>
    <w:basedOn w:val="Normal"/>
    <w:link w:val="AuthorityNoteChar"/>
    <w:rsid w:val="00C067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C06773"/>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C06773"/>
    <w:pPr>
      <w:tabs>
        <w:tab w:val="clear" w:pos="8640"/>
        <w:tab w:val="right" w:pos="4320"/>
      </w:tabs>
      <w:spacing w:before="60"/>
    </w:pPr>
    <w:rPr>
      <w:rFonts w:ascii="Arial" w:hAnsi="Arial"/>
      <w:i/>
      <w:sz w:val="16"/>
    </w:rPr>
  </w:style>
  <w:style w:type="paragraph" w:customStyle="1" w:styleId="FooterOdd">
    <w:name w:val="FooterOdd"/>
    <w:basedOn w:val="Footer"/>
    <w:rsid w:val="00C06773"/>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C06773"/>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C06773"/>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C06773"/>
    <w:pPr>
      <w:spacing w:after="120"/>
      <w:ind w:firstLine="187"/>
      <w:jc w:val="both"/>
    </w:pPr>
    <w:rPr>
      <w:kern w:val="2"/>
      <w:sz w:val="16"/>
    </w:rPr>
  </w:style>
  <w:style w:type="character" w:styleId="PageNumber">
    <w:name w:val="page number"/>
    <w:rsid w:val="00C06773"/>
    <w:rPr>
      <w:rFonts w:ascii="Times New Roman" w:hAnsi="Times New Roman"/>
      <w:dstrike w:val="0"/>
      <w:color w:val="auto"/>
      <w:sz w:val="20"/>
      <w:vertAlign w:val="baseline"/>
    </w:rPr>
  </w:style>
  <w:style w:type="paragraph" w:customStyle="1" w:styleId="RegCodePart">
    <w:name w:val="Reg Code Part"/>
    <w:rsid w:val="00C06773"/>
    <w:pPr>
      <w:keepNext/>
      <w:jc w:val="center"/>
    </w:pPr>
    <w:rPr>
      <w:b/>
      <w:noProof/>
    </w:rPr>
  </w:style>
  <w:style w:type="paragraph" w:customStyle="1" w:styleId="RegFE1">
    <w:name w:val="Reg F&amp;E 1"/>
    <w:rsid w:val="00C06773"/>
    <w:pPr>
      <w:ind w:left="288" w:hanging="288"/>
      <w:jc w:val="both"/>
    </w:pPr>
    <w:rPr>
      <w:noProof/>
      <w:spacing w:val="-10"/>
      <w:sz w:val="18"/>
    </w:rPr>
  </w:style>
  <w:style w:type="paragraph" w:customStyle="1" w:styleId="RegFE2">
    <w:name w:val="Reg F&amp;E 2"/>
    <w:rsid w:val="00C06773"/>
    <w:pPr>
      <w:ind w:left="288" w:firstLine="288"/>
      <w:jc w:val="both"/>
    </w:pPr>
    <w:rPr>
      <w:noProof/>
      <w:sz w:val="18"/>
    </w:rPr>
  </w:style>
  <w:style w:type="paragraph" w:customStyle="1" w:styleId="Section">
    <w:name w:val="Section"/>
    <w:basedOn w:val="Normal"/>
    <w:rsid w:val="00C06773"/>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C06773"/>
    <w:pPr>
      <w:keepNext/>
      <w:keepLines/>
      <w:spacing w:after="120"/>
      <w:outlineLvl w:val="1"/>
    </w:pPr>
    <w:rPr>
      <w:sz w:val="28"/>
    </w:rPr>
  </w:style>
  <w:style w:type="paragraph" w:customStyle="1" w:styleId="RegCodeTitle">
    <w:name w:val="Reg Code Title"/>
    <w:basedOn w:val="Normal"/>
    <w:next w:val="Normal"/>
    <w:rsid w:val="00C06773"/>
    <w:pPr>
      <w:keepNext/>
      <w:jc w:val="center"/>
    </w:pPr>
    <w:rPr>
      <w:b/>
      <w:kern w:val="28"/>
    </w:rPr>
  </w:style>
  <w:style w:type="paragraph" w:customStyle="1" w:styleId="DD1">
    <w:name w:val="DD1"/>
    <w:rsid w:val="00C06773"/>
    <w:rPr>
      <w:noProof/>
    </w:rPr>
  </w:style>
  <w:style w:type="paragraph" w:customStyle="1" w:styleId="RegDepartment">
    <w:name w:val="Reg Department"/>
    <w:next w:val="RegSubDepartment"/>
    <w:rsid w:val="00C06773"/>
    <w:pPr>
      <w:keepNext/>
      <w:jc w:val="center"/>
    </w:pPr>
    <w:rPr>
      <w:b/>
      <w:noProof/>
    </w:rPr>
  </w:style>
  <w:style w:type="paragraph" w:customStyle="1" w:styleId="RegSubDepartment">
    <w:name w:val="Reg SubDepartment"/>
    <w:rsid w:val="00C06773"/>
    <w:pPr>
      <w:keepNext/>
      <w:spacing w:after="240"/>
      <w:jc w:val="center"/>
    </w:pPr>
    <w:rPr>
      <w:b/>
      <w:noProof/>
      <w:sz w:val="22"/>
    </w:rPr>
  </w:style>
  <w:style w:type="paragraph" w:customStyle="1" w:styleId="RegItemTitle">
    <w:name w:val="Reg Item Title"/>
    <w:rsid w:val="00C06773"/>
    <w:pPr>
      <w:keepNext/>
      <w:spacing w:after="240"/>
      <w:jc w:val="center"/>
    </w:pPr>
    <w:rPr>
      <w:noProof/>
    </w:rPr>
  </w:style>
  <w:style w:type="paragraph" w:customStyle="1" w:styleId="ExoA">
    <w:name w:val="Exo A."/>
    <w:basedOn w:val="Normal"/>
    <w:rsid w:val="00C06773"/>
    <w:pPr>
      <w:tabs>
        <w:tab w:val="left" w:pos="936"/>
      </w:tabs>
      <w:spacing w:line="240" w:lineRule="exact"/>
      <w:ind w:left="360" w:right="360" w:firstLine="187"/>
      <w:jc w:val="both"/>
    </w:pPr>
  </w:style>
  <w:style w:type="paragraph" w:customStyle="1" w:styleId="ExoNormal">
    <w:name w:val="Exo Normal"/>
    <w:rsid w:val="00C06773"/>
    <w:pPr>
      <w:tabs>
        <w:tab w:val="left" w:pos="1656"/>
      </w:tabs>
      <w:ind w:firstLine="360"/>
      <w:jc w:val="both"/>
    </w:pPr>
    <w:rPr>
      <w:noProof/>
    </w:rPr>
  </w:style>
  <w:style w:type="paragraph" w:customStyle="1" w:styleId="RegItemFirstLine">
    <w:name w:val="Reg Item First Line"/>
    <w:next w:val="RegDepartment"/>
    <w:rsid w:val="00C06773"/>
    <w:pPr>
      <w:keepNext/>
      <w:tabs>
        <w:tab w:val="left" w:pos="-1440"/>
      </w:tabs>
      <w:spacing w:after="120"/>
      <w:jc w:val="center"/>
    </w:pPr>
    <w:rPr>
      <w:b/>
      <w:noProof/>
    </w:rPr>
  </w:style>
  <w:style w:type="paragraph" w:customStyle="1" w:styleId="RegSignature">
    <w:name w:val="Reg Signature"/>
    <w:basedOn w:val="Normal"/>
    <w:rsid w:val="00C06773"/>
    <w:pPr>
      <w:keepNext/>
      <w:ind w:left="2160"/>
      <w:jc w:val="both"/>
    </w:pPr>
  </w:style>
  <w:style w:type="paragraph" w:customStyle="1" w:styleId="ExoSecOfState">
    <w:name w:val="Exo SecOfState"/>
    <w:rsid w:val="00C06773"/>
    <w:pPr>
      <w:keepNext/>
    </w:pPr>
    <w:rPr>
      <w:noProof/>
    </w:rPr>
  </w:style>
  <w:style w:type="paragraph" w:customStyle="1" w:styleId="RegDoubleIndent">
    <w:name w:val="Reg Double Indent"/>
    <w:rsid w:val="00C06773"/>
    <w:pPr>
      <w:ind w:left="432" w:right="432"/>
      <w:jc w:val="both"/>
    </w:pPr>
    <w:rPr>
      <w:noProof/>
    </w:rPr>
  </w:style>
  <w:style w:type="paragraph" w:customStyle="1" w:styleId="RegLogNumber">
    <w:name w:val="Reg Log Number"/>
    <w:rsid w:val="00C06773"/>
    <w:rPr>
      <w:noProof/>
      <w:sz w:val="16"/>
    </w:rPr>
  </w:style>
  <w:style w:type="paragraph" w:customStyle="1" w:styleId="RegSectionTitle">
    <w:name w:val="RegSectionTitle"/>
    <w:rsid w:val="00C06773"/>
    <w:pPr>
      <w:jc w:val="center"/>
    </w:pPr>
    <w:rPr>
      <w:rFonts w:ascii="Arial" w:hAnsi="Arial"/>
      <w:b/>
      <w:noProof/>
      <w:sz w:val="48"/>
    </w:rPr>
  </w:style>
  <w:style w:type="character" w:customStyle="1" w:styleId="AuthorityNoteChar">
    <w:name w:val="Authority Note Char"/>
    <w:link w:val="AuthorityNote"/>
    <w:locked/>
    <w:rsid w:val="001322AF"/>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my%20document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2</TotalTime>
  <Pages>1</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3</cp:revision>
  <cp:lastPrinted>2026-06-01T15:26:00Z</cp:lastPrinted>
  <dcterms:created xsi:type="dcterms:W3CDTF">2026-06-01T15:42:00Z</dcterms:created>
  <dcterms:modified xsi:type="dcterms:W3CDTF">2026-06-01T15:42:00Z</dcterms:modified>
</cp:coreProperties>
</file>