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BA48F" w14:textId="77777777" w:rsidR="0016424E" w:rsidRDefault="0016424E" w:rsidP="00564341">
      <w:pPr>
        <w:spacing w:after="0" w:line="240" w:lineRule="auto"/>
      </w:pPr>
    </w:p>
    <w:p w14:paraId="6305085E" w14:textId="77777777" w:rsidR="00570E1D" w:rsidRDefault="00570E1D" w:rsidP="00564341">
      <w:pPr>
        <w:spacing w:after="0" w:line="240" w:lineRule="auto"/>
      </w:pPr>
    </w:p>
    <w:p w14:paraId="531EF941" w14:textId="77777777" w:rsidR="003B3FDC" w:rsidRPr="003B3FDC" w:rsidRDefault="003B3FDC" w:rsidP="00564341">
      <w:pPr>
        <w:spacing w:after="0" w:line="240" w:lineRule="auto"/>
        <w:rPr>
          <w:b/>
          <w:sz w:val="24"/>
          <w:szCs w:val="24"/>
        </w:rPr>
      </w:pPr>
      <w:r w:rsidRPr="003B3FDC">
        <w:t xml:space="preserve"> </w:t>
      </w:r>
      <w:r w:rsidRPr="003B3FDC">
        <w:rPr>
          <w:b/>
          <w:sz w:val="24"/>
          <w:szCs w:val="24"/>
        </w:rPr>
        <w:t>GUIDELINES FOR LINE ITEM APPPROPRIATION COOPERATIVE ENDEAVORS</w:t>
      </w:r>
    </w:p>
    <w:p w14:paraId="664D1D29" w14:textId="77777777" w:rsidR="00570E1D" w:rsidRPr="003B3FDC" w:rsidRDefault="003B3FDC" w:rsidP="00564341">
      <w:pPr>
        <w:spacing w:after="0" w:line="240" w:lineRule="auto"/>
        <w:rPr>
          <w:b/>
          <w:sz w:val="24"/>
          <w:szCs w:val="24"/>
        </w:rPr>
      </w:pPr>
      <w:r w:rsidRPr="003B3FDC">
        <w:rPr>
          <w:b/>
          <w:sz w:val="24"/>
          <w:szCs w:val="24"/>
        </w:rPr>
        <w:t>Accompanies Executive Order JML 24-115</w:t>
      </w:r>
      <w:r>
        <w:rPr>
          <w:b/>
          <w:sz w:val="24"/>
          <w:szCs w:val="24"/>
        </w:rPr>
        <w:t>: Accountability for Line Item Appropriations</w:t>
      </w:r>
      <w:r w:rsidRPr="003B3FDC">
        <w:rPr>
          <w:b/>
          <w:sz w:val="24"/>
          <w:szCs w:val="24"/>
        </w:rPr>
        <w:t xml:space="preserve">  </w:t>
      </w:r>
    </w:p>
    <w:p w14:paraId="376492F9" w14:textId="77777777" w:rsidR="003B3FDC" w:rsidRPr="003B3FDC" w:rsidRDefault="003B3FDC" w:rsidP="00564341">
      <w:pPr>
        <w:spacing w:after="0" w:line="240" w:lineRule="auto"/>
        <w:rPr>
          <w:b/>
          <w:sz w:val="24"/>
          <w:szCs w:val="24"/>
        </w:rPr>
      </w:pPr>
    </w:p>
    <w:p w14:paraId="1A7EF716" w14:textId="77777777" w:rsidR="00570E1D" w:rsidRDefault="00570E1D" w:rsidP="00564341">
      <w:pPr>
        <w:spacing w:after="0" w:line="240" w:lineRule="auto"/>
      </w:pPr>
    </w:p>
    <w:p w14:paraId="13D9C0B1" w14:textId="77777777" w:rsidR="00FF7F3F" w:rsidRPr="003B3FDC" w:rsidRDefault="00FF7F3F" w:rsidP="00FF7F3F">
      <w:pPr>
        <w:jc w:val="both"/>
        <w:rPr>
          <w:sz w:val="24"/>
          <w:szCs w:val="24"/>
        </w:rPr>
      </w:pPr>
      <w:r w:rsidRPr="003B3FDC">
        <w:rPr>
          <w:sz w:val="24"/>
          <w:szCs w:val="24"/>
        </w:rPr>
        <w:t>When submitting cooperative endeavor agreements required by Executive Order</w:t>
      </w:r>
      <w:r w:rsidR="003B3FDC" w:rsidRPr="003B3FDC">
        <w:rPr>
          <w:sz w:val="24"/>
          <w:szCs w:val="24"/>
        </w:rPr>
        <w:t xml:space="preserve"> JML 24-115</w:t>
      </w:r>
      <w:r w:rsidRPr="003B3FDC">
        <w:rPr>
          <w:sz w:val="24"/>
          <w:szCs w:val="24"/>
        </w:rPr>
        <w:t xml:space="preserve">, each agreement must be prepared on the Line Item Appropriation Cooperative Endeavor Agreement format published by the Office of State Procurement </w:t>
      </w:r>
      <w:hyperlink r:id="rId7" w:history="1">
        <w:r w:rsidR="007B78E0" w:rsidRPr="0050575D">
          <w:rPr>
            <w:rStyle w:val="Hyperlink"/>
            <w:sz w:val="24"/>
            <w:szCs w:val="24"/>
          </w:rPr>
          <w:t>https://www.doa.la.gov/media/oi0fb5la/liatemplate2024.docx</w:t>
        </w:r>
      </w:hyperlink>
      <w:r w:rsidRPr="0050575D">
        <w:rPr>
          <w:sz w:val="24"/>
          <w:szCs w:val="24"/>
        </w:rPr>
        <w:t xml:space="preserve"> and must be accompanied by:</w:t>
      </w:r>
    </w:p>
    <w:p w14:paraId="23C1F489" w14:textId="77777777" w:rsidR="00FF7F3F" w:rsidRPr="003B3FDC" w:rsidRDefault="00FF7F3F" w:rsidP="00FF7F3F">
      <w:pPr>
        <w:pStyle w:val="ListParagraph"/>
        <w:numPr>
          <w:ilvl w:val="0"/>
          <w:numId w:val="1"/>
        </w:numPr>
        <w:jc w:val="both"/>
        <w:rPr>
          <w:rFonts w:ascii="Times New Roman" w:hAnsi="Times New Roman"/>
          <w:szCs w:val="24"/>
        </w:rPr>
      </w:pPr>
      <w:r w:rsidRPr="003B3FDC">
        <w:rPr>
          <w:rFonts w:ascii="Times New Roman" w:hAnsi="Times New Roman"/>
          <w:szCs w:val="24"/>
        </w:rPr>
        <w:t>BA-22 or other appropriate budget form showing funds are available</w:t>
      </w:r>
    </w:p>
    <w:p w14:paraId="62CEE204" w14:textId="77777777" w:rsidR="00FF7F3F" w:rsidRPr="003B3FDC" w:rsidRDefault="00FF7F3F" w:rsidP="00FF7F3F">
      <w:pPr>
        <w:jc w:val="both"/>
        <w:rPr>
          <w:sz w:val="24"/>
          <w:szCs w:val="24"/>
        </w:rPr>
      </w:pPr>
    </w:p>
    <w:p w14:paraId="35C1A0C6" w14:textId="77777777" w:rsidR="00FF7F3F" w:rsidRPr="003B3FDC" w:rsidRDefault="00FF7F3F" w:rsidP="00FF7F3F">
      <w:pPr>
        <w:pStyle w:val="ListParagraph"/>
        <w:numPr>
          <w:ilvl w:val="0"/>
          <w:numId w:val="1"/>
        </w:numPr>
        <w:jc w:val="both"/>
        <w:rPr>
          <w:rFonts w:ascii="Times New Roman" w:hAnsi="Times New Roman"/>
          <w:szCs w:val="24"/>
        </w:rPr>
      </w:pPr>
      <w:r w:rsidRPr="003B3FDC">
        <w:rPr>
          <w:rFonts w:ascii="Times New Roman" w:hAnsi="Times New Roman"/>
          <w:szCs w:val="24"/>
        </w:rPr>
        <w:t>Board Resolution providing authority for the person signing the agreement, if the recipient is a corporation, for profit or not for profit</w:t>
      </w:r>
    </w:p>
    <w:p w14:paraId="6041A64B" w14:textId="77777777" w:rsidR="00FF7F3F" w:rsidRPr="003B3FDC" w:rsidRDefault="00FF7F3F" w:rsidP="00FF7F3F">
      <w:pPr>
        <w:jc w:val="both"/>
        <w:rPr>
          <w:sz w:val="24"/>
          <w:szCs w:val="24"/>
        </w:rPr>
      </w:pPr>
    </w:p>
    <w:p w14:paraId="51956755" w14:textId="77777777" w:rsidR="00FF7F3F" w:rsidRPr="003B3FDC" w:rsidRDefault="003B3FDC" w:rsidP="00FF7F3F">
      <w:pPr>
        <w:pStyle w:val="ListParagraph"/>
        <w:numPr>
          <w:ilvl w:val="0"/>
          <w:numId w:val="2"/>
        </w:numPr>
        <w:jc w:val="both"/>
        <w:rPr>
          <w:rFonts w:ascii="Times New Roman" w:hAnsi="Times New Roman"/>
          <w:szCs w:val="24"/>
        </w:rPr>
      </w:pPr>
      <w:r>
        <w:rPr>
          <w:rFonts w:ascii="Times New Roman" w:hAnsi="Times New Roman"/>
          <w:szCs w:val="24"/>
        </w:rPr>
        <w:t>E</w:t>
      </w:r>
      <w:r w:rsidR="00FF7F3F" w:rsidRPr="003B3FDC">
        <w:rPr>
          <w:rFonts w:ascii="Times New Roman" w:hAnsi="Times New Roman"/>
          <w:szCs w:val="24"/>
        </w:rPr>
        <w:t xml:space="preserve">vidence that </w:t>
      </w:r>
      <w:r>
        <w:rPr>
          <w:rFonts w:ascii="Times New Roman" w:hAnsi="Times New Roman"/>
          <w:szCs w:val="24"/>
        </w:rPr>
        <w:t xml:space="preserve">the </w:t>
      </w:r>
      <w:r w:rsidR="00FF7F3F" w:rsidRPr="003B3FDC">
        <w:rPr>
          <w:rFonts w:ascii="Times New Roman" w:hAnsi="Times New Roman"/>
          <w:szCs w:val="24"/>
        </w:rPr>
        <w:t>recipient is in good standing with the Secretary of State’s office if the recipient is required to register with the Secretary of State’s office. This may be obtained either from the recipient or from the Secretary of State’s website.</w:t>
      </w:r>
    </w:p>
    <w:p w14:paraId="6BAA0AC8" w14:textId="77777777" w:rsidR="00FF7F3F" w:rsidRPr="003B3FDC" w:rsidRDefault="00FF7F3F" w:rsidP="00FF7F3F">
      <w:pPr>
        <w:jc w:val="both"/>
        <w:rPr>
          <w:sz w:val="24"/>
          <w:szCs w:val="24"/>
        </w:rPr>
      </w:pPr>
    </w:p>
    <w:p w14:paraId="756C91DD" w14:textId="77777777" w:rsidR="00FF7F3F" w:rsidRPr="003B3FDC" w:rsidRDefault="003B3FDC" w:rsidP="00FF7F3F">
      <w:pPr>
        <w:pStyle w:val="ListParagraph"/>
        <w:numPr>
          <w:ilvl w:val="0"/>
          <w:numId w:val="2"/>
        </w:numPr>
        <w:jc w:val="both"/>
        <w:rPr>
          <w:rFonts w:ascii="Times New Roman" w:hAnsi="Times New Roman"/>
          <w:szCs w:val="24"/>
        </w:rPr>
      </w:pPr>
      <w:r>
        <w:rPr>
          <w:rFonts w:ascii="Times New Roman" w:hAnsi="Times New Roman"/>
          <w:szCs w:val="24"/>
        </w:rPr>
        <w:t>W</w:t>
      </w:r>
      <w:r w:rsidR="00FF7F3F" w:rsidRPr="003B3FDC">
        <w:rPr>
          <w:rFonts w:ascii="Times New Roman" w:hAnsi="Times New Roman"/>
          <w:szCs w:val="24"/>
        </w:rPr>
        <w:t>ritten explanation of the reasons for delayed submission to OSP for approval, if the agreement is submitted more than 45 days after its effective date</w:t>
      </w:r>
    </w:p>
    <w:p w14:paraId="6124CB30" w14:textId="77777777" w:rsidR="00FF7F3F" w:rsidRPr="003B3FDC" w:rsidRDefault="00FF7F3F" w:rsidP="00FF7F3F">
      <w:pPr>
        <w:jc w:val="both"/>
        <w:rPr>
          <w:sz w:val="24"/>
          <w:szCs w:val="24"/>
        </w:rPr>
      </w:pPr>
    </w:p>
    <w:p w14:paraId="5B93CCAC" w14:textId="77777777" w:rsidR="00FF7F3F" w:rsidRPr="003B3FDC" w:rsidRDefault="00FF7F3F" w:rsidP="00FF7F3F">
      <w:pPr>
        <w:jc w:val="both"/>
        <w:rPr>
          <w:sz w:val="24"/>
          <w:szCs w:val="24"/>
        </w:rPr>
      </w:pPr>
      <w:r w:rsidRPr="003B3FDC">
        <w:rPr>
          <w:sz w:val="24"/>
          <w:szCs w:val="24"/>
        </w:rPr>
        <w:t>It will be the funding agency’s responsibility to negotiate appropriate goals and performance measures with the recipient which accurately reflect the program objectives, which must serve a public purpose. The level of detail should correspond to the level of activity within each individual program. For example, funding for equipment for a local government may have very simple, straightforward performance criteria</w:t>
      </w:r>
      <w:r w:rsidR="003B3FDC">
        <w:rPr>
          <w:sz w:val="24"/>
          <w:szCs w:val="24"/>
        </w:rPr>
        <w:t>, whereas a</w:t>
      </w:r>
      <w:r w:rsidRPr="003B3FDC">
        <w:rPr>
          <w:sz w:val="24"/>
          <w:szCs w:val="24"/>
        </w:rPr>
        <w:t xml:space="preserve"> program providing social services may require detailed performance criteria with multiple goals</w:t>
      </w:r>
      <w:r w:rsidR="003B3FDC">
        <w:rPr>
          <w:sz w:val="24"/>
          <w:szCs w:val="24"/>
        </w:rPr>
        <w:t xml:space="preserve"> and </w:t>
      </w:r>
      <w:r w:rsidRPr="003B3FDC">
        <w:rPr>
          <w:sz w:val="24"/>
          <w:szCs w:val="24"/>
        </w:rPr>
        <w:t>activities to achieve program objectives.</w:t>
      </w:r>
    </w:p>
    <w:p w14:paraId="501FD353" w14:textId="77777777" w:rsidR="00FF7F3F" w:rsidRPr="00D55537" w:rsidRDefault="00FF7F3F" w:rsidP="00FF7F3F">
      <w:pPr>
        <w:jc w:val="both"/>
        <w:rPr>
          <w:sz w:val="24"/>
          <w:szCs w:val="24"/>
        </w:rPr>
      </w:pPr>
      <w:r w:rsidRPr="00D55537">
        <w:rPr>
          <w:sz w:val="24"/>
          <w:szCs w:val="24"/>
        </w:rPr>
        <w:t>It will be the funding agency’s responsibility to ensure that the recipient complies with Executive Order</w:t>
      </w:r>
      <w:r w:rsidR="00765D19">
        <w:rPr>
          <w:sz w:val="24"/>
          <w:szCs w:val="24"/>
        </w:rPr>
        <w:t>s</w:t>
      </w:r>
      <w:r w:rsidRPr="00D55537">
        <w:rPr>
          <w:sz w:val="24"/>
          <w:szCs w:val="24"/>
        </w:rPr>
        <w:t xml:space="preserve"> </w:t>
      </w:r>
      <w:r w:rsidR="00D55537" w:rsidRPr="00D55537">
        <w:rPr>
          <w:sz w:val="24"/>
          <w:szCs w:val="24"/>
        </w:rPr>
        <w:t>JML 24-115</w:t>
      </w:r>
      <w:r w:rsidR="00D55537">
        <w:rPr>
          <w:sz w:val="24"/>
          <w:szCs w:val="24"/>
        </w:rPr>
        <w:t xml:space="preserve">, JML 24-113 </w:t>
      </w:r>
      <w:r w:rsidRPr="00D55537">
        <w:rPr>
          <w:sz w:val="24"/>
          <w:szCs w:val="24"/>
        </w:rPr>
        <w:t xml:space="preserve">and any applicable law. A comprehensive budget shall be </w:t>
      </w:r>
      <w:r w:rsidR="00D55537">
        <w:rPr>
          <w:sz w:val="24"/>
          <w:szCs w:val="24"/>
        </w:rPr>
        <w:t xml:space="preserve">provided </w:t>
      </w:r>
      <w:r w:rsidRPr="00D55537">
        <w:rPr>
          <w:sz w:val="24"/>
          <w:szCs w:val="24"/>
        </w:rPr>
        <w:t xml:space="preserve">to the legislative auditor and the agency showing all anticipated uses of the </w:t>
      </w:r>
      <w:r w:rsidR="00D55537">
        <w:rPr>
          <w:sz w:val="24"/>
          <w:szCs w:val="24"/>
        </w:rPr>
        <w:t>Line Item Ap</w:t>
      </w:r>
      <w:r w:rsidRPr="00D55537">
        <w:rPr>
          <w:sz w:val="24"/>
          <w:szCs w:val="24"/>
        </w:rPr>
        <w:t xml:space="preserve">propriation, </w:t>
      </w:r>
      <w:r w:rsidR="00D55537">
        <w:rPr>
          <w:sz w:val="24"/>
          <w:szCs w:val="24"/>
        </w:rPr>
        <w:t xml:space="preserve">other sources of revenue and expenditures funded by the appropriation, </w:t>
      </w:r>
      <w:r w:rsidRPr="00D55537">
        <w:rPr>
          <w:sz w:val="24"/>
          <w:szCs w:val="24"/>
        </w:rPr>
        <w:t xml:space="preserve">an estimate </w:t>
      </w:r>
      <w:r w:rsidRPr="00D55537">
        <w:rPr>
          <w:sz w:val="24"/>
          <w:szCs w:val="24"/>
        </w:rPr>
        <w:lastRenderedPageBreak/>
        <w:t xml:space="preserve">of the duration of the project, </w:t>
      </w:r>
      <w:r w:rsidR="00D55537">
        <w:rPr>
          <w:sz w:val="24"/>
          <w:szCs w:val="24"/>
        </w:rPr>
        <w:t xml:space="preserve">and a plan showing </w:t>
      </w:r>
      <w:r w:rsidRPr="00D55537">
        <w:rPr>
          <w:sz w:val="24"/>
          <w:szCs w:val="24"/>
        </w:rPr>
        <w:t>specific goals and objectives for the use of the funds</w:t>
      </w:r>
      <w:r w:rsidR="00D55537">
        <w:rPr>
          <w:sz w:val="24"/>
          <w:szCs w:val="24"/>
        </w:rPr>
        <w:t xml:space="preserve">, including </w:t>
      </w:r>
      <w:r w:rsidRPr="00D55537">
        <w:rPr>
          <w:sz w:val="24"/>
          <w:szCs w:val="24"/>
        </w:rPr>
        <w:t xml:space="preserve">performance measures. </w:t>
      </w:r>
      <w:r w:rsidR="00D55537">
        <w:rPr>
          <w:sz w:val="24"/>
          <w:szCs w:val="24"/>
        </w:rPr>
        <w:t>Executive Order JML 24-113 furthe</w:t>
      </w:r>
      <w:r w:rsidRPr="00D55537">
        <w:rPr>
          <w:sz w:val="24"/>
          <w:szCs w:val="24"/>
        </w:rPr>
        <w:t>r provides that no funds shall be transferred to a public or quasi-public agency/entity which is not a budget unit of the state without approval of the legislative auditor and the transferring agency. Documents should be sent to the Legislative Auditor at P.O. Box 94397, Baton Rouge, Louisiana 70804-9397.</w:t>
      </w:r>
    </w:p>
    <w:p w14:paraId="6FFB061E" w14:textId="77777777" w:rsidR="00FF7F3F" w:rsidRPr="00D55537" w:rsidRDefault="00FF7F3F" w:rsidP="00FF7F3F">
      <w:pPr>
        <w:rPr>
          <w:sz w:val="24"/>
          <w:szCs w:val="24"/>
        </w:rPr>
      </w:pPr>
      <w:r w:rsidRPr="00D55537">
        <w:rPr>
          <w:sz w:val="24"/>
          <w:szCs w:val="24"/>
        </w:rPr>
        <w:t>Agreements should not contain authorization for non-governmental recipients to issue grants without disclosing sub-recipients, or at a minimum, the grant application and approval process. However, agreements may anticipate the allocation of funds to non-governmental recipients for sub-contracted services provided to meet the objectives delineated in the scope of services and deliverables. Those allocations should be detailed on the appropriate Budget documents which identify Professional and Other Contract Services. The effectiveness of those contracted services should be detailed on the quarterly Progress Reports. Sub-recipients shall be subject to the same disclosure provisions as the Contracting Party, and Disclosure Forms shall be included as an attachment to the Cooperative Endeavor.</w:t>
      </w:r>
    </w:p>
    <w:p w14:paraId="0C26AD7B" w14:textId="77777777" w:rsidR="00FF7F3F" w:rsidRPr="00D55537" w:rsidRDefault="00FF7F3F" w:rsidP="00FF7F3F">
      <w:pPr>
        <w:rPr>
          <w:sz w:val="24"/>
          <w:szCs w:val="24"/>
        </w:rPr>
      </w:pPr>
      <w:r w:rsidRPr="00D55537">
        <w:rPr>
          <w:sz w:val="24"/>
          <w:szCs w:val="24"/>
        </w:rPr>
        <w:t>Disclosures from recipients and sub-recipients which indicate a possible violation of the Code of Governmental Ethics, R.S.42:1101, et seq., must be resolved before sending the agreement to Office of State Procurement for final approval.</w:t>
      </w:r>
    </w:p>
    <w:p w14:paraId="42D9EF78" w14:textId="77777777" w:rsidR="00FF7F3F" w:rsidRPr="00D55537" w:rsidRDefault="00FF7F3F" w:rsidP="00FF7F3F">
      <w:pPr>
        <w:rPr>
          <w:sz w:val="24"/>
          <w:szCs w:val="24"/>
        </w:rPr>
      </w:pPr>
      <w:r w:rsidRPr="00D55537">
        <w:rPr>
          <w:sz w:val="24"/>
          <w:szCs w:val="24"/>
        </w:rPr>
        <w:t>The method of disbursement of funds will be determined by the transferring agency depending on the use of the funds described in the contract.</w:t>
      </w:r>
      <w:r w:rsidR="00D55537">
        <w:rPr>
          <w:sz w:val="24"/>
          <w:szCs w:val="24"/>
        </w:rPr>
        <w:t xml:space="preserve"> </w:t>
      </w:r>
      <w:r w:rsidRPr="00D55537">
        <w:rPr>
          <w:sz w:val="24"/>
          <w:szCs w:val="24"/>
        </w:rPr>
        <w:t xml:space="preserve">It is recommended that where on-going program services are being provided, a cost reimbursement method of payment be utilized to safeguard the funds. Such reimbursements shall be made in accordance with and upon receipt of detailed cost reports and progress reports as described in the contract. </w:t>
      </w:r>
    </w:p>
    <w:p w14:paraId="3DC4B9BE" w14:textId="77777777" w:rsidR="00B804C8" w:rsidRPr="00D55537" w:rsidRDefault="00D55537" w:rsidP="00B804C8">
      <w:pPr>
        <w:rPr>
          <w:sz w:val="24"/>
          <w:szCs w:val="24"/>
        </w:rPr>
      </w:pPr>
      <w:r>
        <w:rPr>
          <w:sz w:val="24"/>
          <w:szCs w:val="24"/>
        </w:rPr>
        <w:t>W</w:t>
      </w:r>
      <w:r w:rsidR="00FF7F3F" w:rsidRPr="00D55537">
        <w:rPr>
          <w:sz w:val="24"/>
          <w:szCs w:val="24"/>
        </w:rPr>
        <w:t>here the contractor has no other sources of funding available, an initial payment may be made in advance of services being performed only with sufficient justification</w:t>
      </w:r>
      <w:r>
        <w:rPr>
          <w:sz w:val="24"/>
          <w:szCs w:val="24"/>
        </w:rPr>
        <w:t xml:space="preserve">. </w:t>
      </w:r>
      <w:r w:rsidR="00B804C8">
        <w:rPr>
          <w:sz w:val="24"/>
          <w:szCs w:val="24"/>
        </w:rPr>
        <w:t xml:space="preserve">Such justification </w:t>
      </w:r>
      <w:r>
        <w:rPr>
          <w:sz w:val="24"/>
          <w:szCs w:val="24"/>
        </w:rPr>
        <w:t>must be</w:t>
      </w:r>
      <w:r w:rsidR="00FF7F3F" w:rsidRPr="00D55537">
        <w:rPr>
          <w:sz w:val="24"/>
          <w:szCs w:val="24"/>
        </w:rPr>
        <w:t xml:space="preserve"> supported by a business plan indicating that the line item appropriation is the only source of funding available to the recipient for the intended purpose, and </w:t>
      </w:r>
      <w:r w:rsidR="00B804C8">
        <w:rPr>
          <w:sz w:val="24"/>
          <w:szCs w:val="24"/>
        </w:rPr>
        <w:t xml:space="preserve">that </w:t>
      </w:r>
      <w:r w:rsidR="00FF7F3F" w:rsidRPr="00D55537">
        <w:rPr>
          <w:sz w:val="24"/>
          <w:szCs w:val="24"/>
        </w:rPr>
        <w:t xml:space="preserve">the services cannot be provided without advance funding. </w:t>
      </w:r>
      <w:r w:rsidR="00B804C8" w:rsidRPr="00D55537">
        <w:rPr>
          <w:sz w:val="24"/>
          <w:szCs w:val="24"/>
        </w:rPr>
        <w:t>When a business plan is required, the level of detail in the plan should be consistent with the level of activity within the program.</w:t>
      </w:r>
    </w:p>
    <w:p w14:paraId="3F167E1F" w14:textId="77777777" w:rsidR="00FF7F3F" w:rsidRPr="00D55537" w:rsidRDefault="00FF7F3F" w:rsidP="00FF7F3F">
      <w:pPr>
        <w:rPr>
          <w:sz w:val="24"/>
          <w:szCs w:val="24"/>
        </w:rPr>
      </w:pPr>
      <w:r w:rsidRPr="00D55537">
        <w:rPr>
          <w:sz w:val="24"/>
          <w:szCs w:val="24"/>
        </w:rPr>
        <w:t xml:space="preserve">The advance </w:t>
      </w:r>
      <w:r w:rsidR="00B804C8">
        <w:rPr>
          <w:sz w:val="24"/>
          <w:szCs w:val="24"/>
        </w:rPr>
        <w:t xml:space="preserve">funding </w:t>
      </w:r>
      <w:r w:rsidRPr="00D55537">
        <w:rPr>
          <w:sz w:val="24"/>
          <w:szCs w:val="24"/>
        </w:rPr>
        <w:t xml:space="preserve">shall be limited to no more than 25% of the total line item appropriation. </w:t>
      </w:r>
      <w:r w:rsidR="00B804C8">
        <w:rPr>
          <w:sz w:val="24"/>
          <w:szCs w:val="24"/>
        </w:rPr>
        <w:t>The</w:t>
      </w:r>
      <w:bookmarkStart w:id="0" w:name="_GoBack"/>
      <w:bookmarkEnd w:id="0"/>
      <w:r w:rsidR="00B804C8">
        <w:rPr>
          <w:sz w:val="24"/>
          <w:szCs w:val="24"/>
        </w:rPr>
        <w:t xml:space="preserve"> s</w:t>
      </w:r>
      <w:r w:rsidRPr="00D55537">
        <w:rPr>
          <w:sz w:val="24"/>
          <w:szCs w:val="24"/>
        </w:rPr>
        <w:t>econd, third and fourth quarter disbursements shall only be made upon receipt of the cost report for the funding quarter and satisfactory progress reports for all prior quarters showing progress toward goals and objectives being met by the end of the funding period. When the contract term is less than twelve months, partial payments may be adjusted accordingly.</w:t>
      </w:r>
    </w:p>
    <w:p w14:paraId="2FF49C9C" w14:textId="77777777" w:rsidR="00FF7F3F" w:rsidRPr="00B804C8" w:rsidRDefault="00FF7F3F" w:rsidP="00FF7F3F">
      <w:pPr>
        <w:rPr>
          <w:sz w:val="24"/>
          <w:szCs w:val="24"/>
        </w:rPr>
      </w:pPr>
      <w:r w:rsidRPr="00B804C8">
        <w:rPr>
          <w:sz w:val="24"/>
          <w:szCs w:val="24"/>
        </w:rPr>
        <w:t>For line item appropriations for funding of equipment or other similar expenditures only, 100% of the line item appropriation may be made in advance where sufficient justification supported by a business plan indicates that there is no other source of funding available to make the purchase to satisfy the goals and objectives of the program.</w:t>
      </w:r>
    </w:p>
    <w:p w14:paraId="5628D08E" w14:textId="77777777" w:rsidR="00FF7F3F" w:rsidRPr="00B804C8" w:rsidRDefault="00FF7F3F" w:rsidP="00FF7F3F">
      <w:pPr>
        <w:rPr>
          <w:sz w:val="24"/>
          <w:szCs w:val="24"/>
        </w:rPr>
      </w:pPr>
      <w:r w:rsidRPr="00B804C8">
        <w:rPr>
          <w:sz w:val="24"/>
          <w:szCs w:val="24"/>
        </w:rPr>
        <w:t xml:space="preserve">At the end of the fiscal year, if it is determined that substantial progress has not been made toward the goals and objectives of the agreement, the funding agency shall notify the </w:t>
      </w:r>
      <w:r w:rsidRPr="00B804C8">
        <w:rPr>
          <w:sz w:val="24"/>
          <w:szCs w:val="24"/>
        </w:rPr>
        <w:lastRenderedPageBreak/>
        <w:t xml:space="preserve">Commissioner of Administration. The Commissioner will advise the agency whether the contract should be allowed to continue or be extended to provide additional time for the recipient to complete the goals and objectives or whether the agency should seek recoupment. </w:t>
      </w:r>
    </w:p>
    <w:p w14:paraId="76D5C727" w14:textId="77777777" w:rsidR="00FF7F3F" w:rsidRPr="00B804C8" w:rsidRDefault="00FF7F3F" w:rsidP="00FF7F3F">
      <w:pPr>
        <w:rPr>
          <w:sz w:val="24"/>
          <w:szCs w:val="24"/>
        </w:rPr>
      </w:pPr>
      <w:r w:rsidRPr="00B804C8">
        <w:rPr>
          <w:sz w:val="24"/>
          <w:szCs w:val="24"/>
        </w:rPr>
        <w:t>Line Item Appropriations which merely supplement an existing program initiated by the state agency will not require a separate LIA cooperative endeavor but alternatively, may be handled through an amendment to an existing contract adding the additional funding and any additional scope of work requirements, goals, performance measures, etc. following the normal contract requirements and approvals.</w:t>
      </w:r>
    </w:p>
    <w:p w14:paraId="02460EC5" w14:textId="77777777" w:rsidR="00B804C8" w:rsidRDefault="00B804C8" w:rsidP="00564341">
      <w:pPr>
        <w:spacing w:after="0" w:line="240" w:lineRule="auto"/>
      </w:pPr>
    </w:p>
    <w:p w14:paraId="54B148BF" w14:textId="77777777" w:rsidR="00B804C8" w:rsidRDefault="00B804C8" w:rsidP="00564341">
      <w:pPr>
        <w:spacing w:after="0" w:line="240" w:lineRule="auto"/>
      </w:pPr>
    </w:p>
    <w:p w14:paraId="3040B589" w14:textId="77777777" w:rsidR="00B804C8" w:rsidRDefault="00B804C8" w:rsidP="00564341">
      <w:pPr>
        <w:spacing w:after="0" w:line="240" w:lineRule="auto"/>
      </w:pPr>
    </w:p>
    <w:p w14:paraId="3D8113B3" w14:textId="77777777" w:rsidR="00570E1D" w:rsidRPr="0016424E" w:rsidRDefault="00570E1D" w:rsidP="00564341">
      <w:pPr>
        <w:spacing w:after="0" w:line="240" w:lineRule="auto"/>
      </w:pPr>
    </w:p>
    <w:sectPr w:rsidR="00570E1D" w:rsidRPr="0016424E" w:rsidSect="00E930DB">
      <w:footerReference w:type="even" r:id="rId8"/>
      <w:footerReference w:type="default" r:id="rId9"/>
      <w:headerReference w:type="first" r:id="rId10"/>
      <w:footerReference w:type="first" r:id="rId11"/>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59412" w14:textId="77777777" w:rsidR="00BD687E" w:rsidRDefault="00BD687E" w:rsidP="00745095">
      <w:pPr>
        <w:spacing w:after="0" w:line="240" w:lineRule="auto"/>
      </w:pPr>
      <w:r>
        <w:separator/>
      </w:r>
    </w:p>
  </w:endnote>
  <w:endnote w:type="continuationSeparator" w:id="0">
    <w:p w14:paraId="79FCCEA9" w14:textId="77777777" w:rsidR="00BD687E" w:rsidRDefault="00BD687E"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Arial">
    <w:panose1 w:val="020B0604020202020204"/>
    <w:charset w:val="00"/>
    <w:family w:val="swiss"/>
    <w:pitch w:val="variable"/>
    <w:sig w:usb0="E0002EFF" w:usb1="C000785B" w:usb2="00000009" w:usb3="00000000" w:csb0="000001FF"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4DFE0" w14:textId="77777777"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13648" w14:textId="329A5207"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071636">
      <w:rPr>
        <w:rFonts w:ascii="Sackers Gothic Medium" w:hAnsi="Sackers Gothic Medium"/>
        <w:noProof/>
        <w:sz w:val="14"/>
        <w:szCs w:val="14"/>
      </w:rPr>
      <w:t>3</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071636">
      <w:rPr>
        <w:rFonts w:ascii="Sackers Gothic Medium" w:hAnsi="Sackers Gothic Medium"/>
        <w:noProof/>
        <w:sz w:val="14"/>
        <w:szCs w:val="14"/>
      </w:rPr>
      <w:t>3</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6ACC8" w14:textId="77777777"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14:paraId="3F7F388B" w14:textId="77777777"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A6EB2" w14:textId="77777777" w:rsidR="00BD687E" w:rsidRDefault="00BD687E" w:rsidP="00745095">
      <w:pPr>
        <w:spacing w:after="0" w:line="240" w:lineRule="auto"/>
      </w:pPr>
      <w:r>
        <w:separator/>
      </w:r>
    </w:p>
  </w:footnote>
  <w:footnote w:type="continuationSeparator" w:id="0">
    <w:p w14:paraId="7E2A42F9" w14:textId="77777777" w:rsidR="00BD687E" w:rsidRDefault="00BD687E"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A8E6F" w14:textId="77777777" w:rsidR="00E930DB" w:rsidRPr="0096262C" w:rsidRDefault="00887336" w:rsidP="000372BF">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14:paraId="456717DC" w14:textId="77777777" w:rsidR="00E930DB" w:rsidRPr="0096262C" w:rsidRDefault="00E930DB" w:rsidP="00AB6EDF">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14:paraId="1F0B1D1A" w14:textId="77777777"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14:paraId="4162420D" w14:textId="77777777" w:rsidTr="000372BF">
      <w:tc>
        <w:tcPr>
          <w:tcW w:w="1332" w:type="pct"/>
          <w:tcMar>
            <w:left w:w="0" w:type="dxa"/>
            <w:right w:w="0" w:type="dxa"/>
          </w:tcMar>
        </w:tcPr>
        <w:p w14:paraId="0868418B" w14:textId="77777777" w:rsidR="00E930DB" w:rsidRDefault="00E930DB" w:rsidP="00E930DB">
          <w:pPr>
            <w:jc w:val="center"/>
            <w:rPr>
              <w:rFonts w:ascii="Roman Light" w:hAnsi="Roman Light"/>
              <w:b/>
              <w:smallCaps/>
              <w:noProof/>
              <w:szCs w:val="22"/>
            </w:rPr>
          </w:pPr>
        </w:p>
        <w:p w14:paraId="22A735D5" w14:textId="77777777"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14:paraId="03C8F909" w14:textId="77777777" w:rsidR="00346F7F" w:rsidRPr="00346F7F" w:rsidRDefault="00346F7F" w:rsidP="00346F7F">
          <w:pPr>
            <w:jc w:val="center"/>
            <w:rPr>
              <w:sz w:val="14"/>
              <w:szCs w:val="14"/>
            </w:rPr>
          </w:pPr>
          <w:r w:rsidRPr="00346F7F">
            <w:rPr>
              <w:rFonts w:ascii="Sackers Gothic Light AT" w:hAnsi="Sackers Gothic Light AT"/>
              <w:b/>
              <w:sz w:val="14"/>
              <w:szCs w:val="14"/>
            </w:rPr>
            <w:t>Governor</w:t>
          </w:r>
        </w:p>
        <w:p w14:paraId="50067AC7" w14:textId="77777777" w:rsidR="00E930DB" w:rsidRPr="00050EC5" w:rsidRDefault="00E930DB" w:rsidP="003A357F">
          <w:pPr>
            <w:jc w:val="center"/>
            <w:rPr>
              <w:rFonts w:ascii="Sackers Gothic Medium" w:hAnsi="Sackers Gothic Medium"/>
              <w:spacing w:val="14"/>
              <w:sz w:val="16"/>
              <w:szCs w:val="16"/>
            </w:rPr>
          </w:pPr>
        </w:p>
      </w:tc>
      <w:tc>
        <w:tcPr>
          <w:tcW w:w="523" w:type="pct"/>
          <w:tcMar>
            <w:left w:w="0" w:type="dxa"/>
            <w:right w:w="0" w:type="dxa"/>
          </w:tcMar>
        </w:tcPr>
        <w:p w14:paraId="23A0FA17" w14:textId="77777777" w:rsidR="00D02237" w:rsidRDefault="00D02237" w:rsidP="00E930DB">
          <w:pPr>
            <w:pStyle w:val="Header"/>
            <w:jc w:val="center"/>
            <w:rPr>
              <w:rFonts w:ascii="Arial" w:hAnsi="Arial"/>
              <w:noProof/>
              <w:sz w:val="12"/>
            </w:rPr>
          </w:pPr>
        </w:p>
        <w:p w14:paraId="71A6F701" w14:textId="77777777" w:rsidR="00D02237" w:rsidRPr="00D02237" w:rsidRDefault="00D02237" w:rsidP="00D02237"/>
        <w:p w14:paraId="2D5ED97A" w14:textId="77777777" w:rsidR="00D02237" w:rsidRDefault="00D02237" w:rsidP="00D02237"/>
        <w:p w14:paraId="2AC9D764" w14:textId="77777777" w:rsidR="00D02237" w:rsidRPr="00D02237" w:rsidRDefault="00D02237" w:rsidP="00D02237"/>
        <w:p w14:paraId="1C58E867" w14:textId="77777777" w:rsidR="00D02237" w:rsidRDefault="00D02237" w:rsidP="00D02237"/>
        <w:p w14:paraId="19D87F6D" w14:textId="77777777" w:rsidR="00D02237" w:rsidRDefault="00D02237" w:rsidP="00D02237"/>
        <w:p w14:paraId="219D416E" w14:textId="77777777" w:rsidR="00E930DB" w:rsidRPr="00D02237" w:rsidRDefault="00E930DB" w:rsidP="00D02237">
          <w:pPr>
            <w:jc w:val="center"/>
          </w:pPr>
        </w:p>
      </w:tc>
      <w:tc>
        <w:tcPr>
          <w:tcW w:w="1290" w:type="pct"/>
          <w:tcMar>
            <w:left w:w="0" w:type="dxa"/>
            <w:right w:w="0" w:type="dxa"/>
          </w:tcMar>
        </w:tcPr>
        <w:p w14:paraId="28E3E1B8" w14:textId="77777777" w:rsidR="00E930DB" w:rsidRDefault="00D02237" w:rsidP="000372BF">
          <w:pPr>
            <w:pStyle w:val="Header"/>
            <w:spacing w:before="120"/>
            <w:jc w:val="center"/>
          </w:pPr>
          <w:r>
            <w:rPr>
              <w:noProof/>
            </w:rPr>
            <w:drawing>
              <wp:inline distT="0" distB="0" distL="0" distR="0" wp14:anchorId="695230AB" wp14:editId="1121FE45">
                <wp:extent cx="10668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inline>
            </w:drawing>
          </w:r>
        </w:p>
      </w:tc>
      <w:tc>
        <w:tcPr>
          <w:tcW w:w="241" w:type="pct"/>
          <w:tcMar>
            <w:left w:w="0" w:type="dxa"/>
            <w:right w:w="0" w:type="dxa"/>
          </w:tcMar>
        </w:tcPr>
        <w:p w14:paraId="495711A1" w14:textId="77777777"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14:paraId="2C4C39C3" w14:textId="77777777"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14:paraId="0350B361" w14:textId="77777777"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14:paraId="49FE32EE" w14:textId="77777777" w:rsidR="00346F7F" w:rsidRPr="00346F7F" w:rsidRDefault="00346F7F" w:rsidP="00346F7F">
          <w:pPr>
            <w:jc w:val="center"/>
            <w:rPr>
              <w:sz w:val="14"/>
              <w:szCs w:val="14"/>
            </w:rPr>
          </w:pPr>
          <w:r w:rsidRPr="00346F7F">
            <w:rPr>
              <w:rFonts w:ascii="Sackers Gothic Light AT" w:hAnsi="Sackers Gothic Light AT"/>
              <w:b/>
              <w:sz w:val="14"/>
              <w:szCs w:val="14"/>
            </w:rPr>
            <w:t>Commissioner of Administration</w:t>
          </w:r>
        </w:p>
        <w:p w14:paraId="37F4B220" w14:textId="77777777" w:rsidR="00E930DB" w:rsidRPr="00050EC5" w:rsidRDefault="00E930DB" w:rsidP="000B1A5C">
          <w:pPr>
            <w:pStyle w:val="Header"/>
            <w:jc w:val="center"/>
            <w:rPr>
              <w:rFonts w:ascii="Sackers Gothic Medium" w:hAnsi="Sackers Gothic Medium"/>
              <w:smallCaps/>
              <w:spacing w:val="14"/>
            </w:rPr>
          </w:pPr>
        </w:p>
      </w:tc>
    </w:tr>
  </w:tbl>
  <w:p w14:paraId="718CD10D" w14:textId="77777777" w:rsidR="00E930DB" w:rsidRDefault="00E930DB" w:rsidP="003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F37A0"/>
    <w:multiLevelType w:val="hybridMultilevel"/>
    <w:tmpl w:val="EC8E8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005DB9"/>
    <w:multiLevelType w:val="hybridMultilevel"/>
    <w:tmpl w:val="448AC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F7F"/>
    <w:rsid w:val="000372BF"/>
    <w:rsid w:val="00050EC5"/>
    <w:rsid w:val="00071636"/>
    <w:rsid w:val="00090649"/>
    <w:rsid w:val="000B1A5C"/>
    <w:rsid w:val="000C364A"/>
    <w:rsid w:val="0016424E"/>
    <w:rsid w:val="00201FEE"/>
    <w:rsid w:val="00313C6B"/>
    <w:rsid w:val="00346F7F"/>
    <w:rsid w:val="003A357F"/>
    <w:rsid w:val="003B3FDC"/>
    <w:rsid w:val="004B60B9"/>
    <w:rsid w:val="004C56FF"/>
    <w:rsid w:val="0050575D"/>
    <w:rsid w:val="00560958"/>
    <w:rsid w:val="00564341"/>
    <w:rsid w:val="00570E1D"/>
    <w:rsid w:val="005C4E4C"/>
    <w:rsid w:val="00626048"/>
    <w:rsid w:val="00655271"/>
    <w:rsid w:val="0065565C"/>
    <w:rsid w:val="00692175"/>
    <w:rsid w:val="006C0A5C"/>
    <w:rsid w:val="006E0190"/>
    <w:rsid w:val="006E26A6"/>
    <w:rsid w:val="00745095"/>
    <w:rsid w:val="00765D19"/>
    <w:rsid w:val="00767936"/>
    <w:rsid w:val="00772DBB"/>
    <w:rsid w:val="00773938"/>
    <w:rsid w:val="007B78E0"/>
    <w:rsid w:val="007E28A8"/>
    <w:rsid w:val="008356A2"/>
    <w:rsid w:val="00842201"/>
    <w:rsid w:val="00887336"/>
    <w:rsid w:val="00950EFC"/>
    <w:rsid w:val="0096262C"/>
    <w:rsid w:val="009E651D"/>
    <w:rsid w:val="00A4767D"/>
    <w:rsid w:val="00AB6EDF"/>
    <w:rsid w:val="00AD17E9"/>
    <w:rsid w:val="00B804C8"/>
    <w:rsid w:val="00BD687E"/>
    <w:rsid w:val="00BE0BA8"/>
    <w:rsid w:val="00BF0C40"/>
    <w:rsid w:val="00C14913"/>
    <w:rsid w:val="00C3463C"/>
    <w:rsid w:val="00C5040F"/>
    <w:rsid w:val="00C9214A"/>
    <w:rsid w:val="00D02237"/>
    <w:rsid w:val="00D12071"/>
    <w:rsid w:val="00D536D1"/>
    <w:rsid w:val="00D55537"/>
    <w:rsid w:val="00D61702"/>
    <w:rsid w:val="00D82F58"/>
    <w:rsid w:val="00E858B6"/>
    <w:rsid w:val="00E930DB"/>
    <w:rsid w:val="00ED7CEC"/>
    <w:rsid w:val="00F06700"/>
    <w:rsid w:val="00F4422D"/>
    <w:rsid w:val="00FF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66DB0"/>
  <w15:chartTrackingRefBased/>
  <w15:docId w15:val="{E7344B69-AA4C-4685-9228-78857D95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styleId="ListParagraph">
    <w:name w:val="List Paragraph"/>
    <w:basedOn w:val="Normal"/>
    <w:uiPriority w:val="34"/>
    <w:qFormat/>
    <w:rsid w:val="00FF7F3F"/>
    <w:pPr>
      <w:spacing w:after="0" w:line="240" w:lineRule="auto"/>
      <w:ind w:left="720"/>
      <w:contextualSpacing/>
    </w:pPr>
    <w:rPr>
      <w:rFonts w:ascii="CG Times" w:eastAsia="Times New Roman" w:hAnsi="CG Times"/>
      <w:sz w:val="24"/>
      <w:szCs w:val="20"/>
    </w:rPr>
  </w:style>
  <w:style w:type="character" w:styleId="FollowedHyperlink">
    <w:name w:val="FollowedHyperlink"/>
    <w:basedOn w:val="DefaultParagraphFont"/>
    <w:uiPriority w:val="99"/>
    <w:semiHidden/>
    <w:unhideWhenUsed/>
    <w:rsid w:val="003B3FDC"/>
    <w:rPr>
      <w:color w:val="954F72" w:themeColor="followedHyperlink"/>
      <w:u w:val="single"/>
    </w:rPr>
  </w:style>
  <w:style w:type="character" w:styleId="CommentReference">
    <w:name w:val="annotation reference"/>
    <w:basedOn w:val="DefaultParagraphFont"/>
    <w:uiPriority w:val="99"/>
    <w:semiHidden/>
    <w:unhideWhenUsed/>
    <w:rsid w:val="0050575D"/>
    <w:rPr>
      <w:sz w:val="16"/>
      <w:szCs w:val="16"/>
    </w:rPr>
  </w:style>
  <w:style w:type="paragraph" w:styleId="CommentText">
    <w:name w:val="annotation text"/>
    <w:basedOn w:val="Normal"/>
    <w:link w:val="CommentTextChar"/>
    <w:uiPriority w:val="99"/>
    <w:semiHidden/>
    <w:unhideWhenUsed/>
    <w:rsid w:val="0050575D"/>
    <w:pPr>
      <w:spacing w:line="240" w:lineRule="auto"/>
    </w:pPr>
    <w:rPr>
      <w:sz w:val="20"/>
      <w:szCs w:val="20"/>
    </w:rPr>
  </w:style>
  <w:style w:type="character" w:customStyle="1" w:styleId="CommentTextChar">
    <w:name w:val="Comment Text Char"/>
    <w:basedOn w:val="DefaultParagraphFont"/>
    <w:link w:val="CommentText"/>
    <w:uiPriority w:val="99"/>
    <w:semiHidden/>
    <w:rsid w:val="0050575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575D"/>
    <w:rPr>
      <w:b/>
      <w:bCs/>
    </w:rPr>
  </w:style>
  <w:style w:type="character" w:customStyle="1" w:styleId="CommentSubjectChar">
    <w:name w:val="Comment Subject Char"/>
    <w:basedOn w:val="CommentTextChar"/>
    <w:link w:val="CommentSubject"/>
    <w:uiPriority w:val="99"/>
    <w:semiHidden/>
    <w:rsid w:val="0050575D"/>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183258">
      <w:bodyDiv w:val="1"/>
      <w:marLeft w:val="0"/>
      <w:marRight w:val="0"/>
      <w:marTop w:val="0"/>
      <w:marBottom w:val="0"/>
      <w:divBdr>
        <w:top w:val="none" w:sz="0" w:space="0" w:color="auto"/>
        <w:left w:val="none" w:sz="0" w:space="0" w:color="auto"/>
        <w:bottom w:val="none" w:sz="0" w:space="0" w:color="auto"/>
        <w:right w:val="none" w:sz="0" w:space="0" w:color="auto"/>
      </w:divBdr>
    </w:div>
    <w:div w:id="78908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oa.la.gov/media/oi0fb5la/liatemplate2024.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Letterhead\OSP\osp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ospletterhead</Template>
  <TotalTime>0</TotalTime>
  <Pages>3</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Golmon</dc:creator>
  <cp:keywords/>
  <dc:description/>
  <cp:lastModifiedBy>Pamela Rice</cp:lastModifiedBy>
  <cp:revision>2</cp:revision>
  <cp:lastPrinted>2024-01-11T19:38:00Z</cp:lastPrinted>
  <dcterms:created xsi:type="dcterms:W3CDTF">2024-08-06T19:58:00Z</dcterms:created>
  <dcterms:modified xsi:type="dcterms:W3CDTF">2024-08-06T19:58:00Z</dcterms:modified>
</cp:coreProperties>
</file>