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EA65" w14:textId="77777777" w:rsidR="001F24D4" w:rsidRDefault="001F24D4" w:rsidP="001F24D4">
      <w:pPr>
        <w:pStyle w:val="Heading1"/>
      </w:pPr>
      <w:bookmarkStart w:id="0" w:name="_Toc129348206"/>
      <w:r w:rsidRPr="00195669">
        <w:t>A</w:t>
      </w:r>
      <w:r>
        <w:t>ttachment</w:t>
      </w:r>
      <w:r w:rsidRPr="00195669">
        <w:t xml:space="preserve"> </w:t>
      </w:r>
      <w:r>
        <w:t xml:space="preserve">B, Special </w:t>
      </w:r>
      <w:r w:rsidRPr="00195669">
        <w:t xml:space="preserve">RFP </w:t>
      </w:r>
      <w:r>
        <w:t>Terms a</w:t>
      </w:r>
      <w:r w:rsidRPr="00195669">
        <w:t>nd Conditions</w:t>
      </w:r>
      <w:bookmarkEnd w:id="0"/>
    </w:p>
    <w:p w14:paraId="59DD21BF" w14:textId="77777777" w:rsidR="001F24D4" w:rsidRPr="00031B0A" w:rsidRDefault="001F24D4" w:rsidP="001F24D4">
      <w:pPr>
        <w:rPr>
          <w:rFonts w:ascii="Arial" w:hAnsi="Arial" w:cs="Arial"/>
          <w:bCs/>
          <w:color w:val="ED0000"/>
          <w:sz w:val="20"/>
          <w:szCs w:val="20"/>
        </w:rPr>
      </w:pPr>
      <w:r w:rsidRPr="00031B0A">
        <w:rPr>
          <w:rFonts w:ascii="Arial" w:hAnsi="Arial" w:cs="Arial"/>
          <w:bCs/>
          <w:color w:val="ED0000"/>
          <w:sz w:val="20"/>
          <w:szCs w:val="20"/>
        </w:rPr>
        <w:t>Special terms and conditions will be RFP-specific or agency-specific. Delete terms that are not needed for the particular RFP. Add additional terms that may be needed. If no Special Terms are needed for the RFP. Put “Not applicable to this RFP.” under the header.</w:t>
      </w:r>
    </w:p>
    <w:p w14:paraId="13647C5F" w14:textId="77777777" w:rsidR="001F24D4" w:rsidRDefault="001F24D4" w:rsidP="001F24D4">
      <w:pPr>
        <w:pStyle w:val="Heading2"/>
        <w:numPr>
          <w:ilvl w:val="0"/>
          <w:numId w:val="2"/>
        </w:numPr>
      </w:pPr>
      <w:r>
        <w:t>Project-Specific Definitions</w:t>
      </w:r>
    </w:p>
    <w:p w14:paraId="11041624" w14:textId="77777777" w:rsidR="001F24D4" w:rsidRPr="000B0914" w:rsidRDefault="00AA730A" w:rsidP="001F24D4">
      <w:r w:rsidRPr="00031B0A">
        <w:rPr>
          <w:rFonts w:ascii="Arial" w:hAnsi="Arial" w:cs="Arial"/>
          <w:b/>
          <w:bCs/>
          <w:color w:val="ED0000"/>
          <w:sz w:val="20"/>
          <w:szCs w:val="20"/>
        </w:rPr>
        <w:t>Enter</w:t>
      </w:r>
      <w:r w:rsidR="001F24D4" w:rsidRPr="00031B0A">
        <w:rPr>
          <w:rFonts w:ascii="Arial" w:hAnsi="Arial" w:cs="Arial"/>
          <w:bCs/>
          <w:color w:val="ED0000"/>
          <w:sz w:val="20"/>
          <w:szCs w:val="20"/>
        </w:rPr>
        <w:t xml:space="preserve"> the project-specific definitions from the Sourcing Request into this section.</w:t>
      </w:r>
    </w:p>
    <w:p w14:paraId="64D21D72" w14:textId="77777777" w:rsidR="001F24D4" w:rsidRPr="007C19B1" w:rsidRDefault="001F24D4" w:rsidP="001F24D4">
      <w:pPr>
        <w:pStyle w:val="ListParagraph"/>
        <w:numPr>
          <w:ilvl w:val="0"/>
          <w:numId w:val="9"/>
        </w:numPr>
        <w:ind w:left="1440"/>
      </w:pPr>
    </w:p>
    <w:p w14:paraId="6BC08B5C" w14:textId="77777777" w:rsidR="001F24D4" w:rsidRPr="00A6419B" w:rsidRDefault="001F24D4" w:rsidP="001F24D4">
      <w:pPr>
        <w:pStyle w:val="Heading2"/>
      </w:pPr>
      <w:r w:rsidRPr="00A6419B">
        <w:t>Performance Bond</w:t>
      </w:r>
      <w:r w:rsidR="00AA730A">
        <w:t xml:space="preserve"> </w:t>
      </w:r>
      <w:r w:rsidR="00AA730A" w:rsidRPr="00031B0A">
        <w:rPr>
          <w:color w:val="ED0000"/>
        </w:rPr>
        <w:t>(Performance Bonds should rarely be used. They are most useful when the Contractor is being asked to build something (physical structure or IT program not COTS) and the State will be making progress payments.)</w:t>
      </w:r>
    </w:p>
    <w:p w14:paraId="54AF264E" w14:textId="77777777" w:rsidR="001F24D4" w:rsidRPr="00C6189C" w:rsidRDefault="001F24D4" w:rsidP="001F24D4">
      <w:pPr>
        <w:pStyle w:val="ListParagraph"/>
        <w:numPr>
          <w:ilvl w:val="1"/>
          <w:numId w:val="3"/>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successful Proposer shall be required to provide a performance (surety) bond in the amount of </w:t>
      </w:r>
      <w:r w:rsidR="00297B28">
        <w:rPr>
          <w:rFonts w:ascii="Arial" w:hAnsi="Arial" w:cs="Arial"/>
          <w:bCs/>
          <w:sz w:val="20"/>
          <w:szCs w:val="20"/>
        </w:rPr>
        <w:t>[</w:t>
      </w:r>
      <w:r w:rsidRPr="00C6189C">
        <w:rPr>
          <w:rFonts w:ascii="Arial" w:hAnsi="Arial" w:cs="Arial"/>
          <w:bCs/>
          <w:sz w:val="20"/>
          <w:szCs w:val="20"/>
          <w:highlight w:val="yellow"/>
        </w:rPr>
        <w:t>$______________</w:t>
      </w:r>
      <w:r w:rsidR="00297B28">
        <w:rPr>
          <w:rFonts w:ascii="Arial" w:hAnsi="Arial" w:cs="Arial"/>
          <w:bCs/>
          <w:sz w:val="20"/>
          <w:szCs w:val="20"/>
        </w:rPr>
        <w:t>]</w:t>
      </w:r>
      <w:r w:rsidRPr="00C6189C">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14:paraId="5E5D6F1A"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417C2072"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The performance bond is to be provided within ten (10) working days from request.  Failure to provide within the time specified may cause your offer to be rejected.</w:t>
      </w:r>
    </w:p>
    <w:p w14:paraId="51F593BF"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In addition, any performance bond furnished shall be written by a surety or insurance company that is currently licensed to do business in the State.</w:t>
      </w:r>
    </w:p>
    <w:p w14:paraId="5531FA86" w14:textId="77777777" w:rsidR="001F24D4" w:rsidRDefault="001F24D4" w:rsidP="001F24D4">
      <w:pPr>
        <w:pStyle w:val="ListParagraph"/>
        <w:ind w:left="1440"/>
        <w:contextualSpacing w:val="0"/>
        <w:rPr>
          <w:rFonts w:ascii="Arial" w:hAnsi="Arial" w:cs="Arial"/>
          <w:b/>
          <w:bCs/>
          <w:sz w:val="20"/>
          <w:szCs w:val="20"/>
        </w:rPr>
      </w:pPr>
    </w:p>
    <w:p w14:paraId="7964D558" w14:textId="77777777" w:rsidR="001F24D4" w:rsidRPr="00A6419B" w:rsidRDefault="001F24D4" w:rsidP="001F24D4">
      <w:pPr>
        <w:pStyle w:val="Heading2"/>
      </w:pPr>
      <w:r w:rsidRPr="00A6419B">
        <w:t>Fidelity Bond</w:t>
      </w:r>
      <w:r w:rsidR="00AA730A">
        <w:t xml:space="preserve"> </w:t>
      </w:r>
      <w:r w:rsidR="00AA730A" w:rsidRPr="00031B0A">
        <w:rPr>
          <w:color w:val="ED0000"/>
        </w:rPr>
        <w:t xml:space="preserve">(Fidelity Bonds are useful when the Contractor is being given something of value that is owned by the State and there is a concern that it could be stolen, such as Contractor processing payments for the State, being given PII, </w:t>
      </w:r>
      <w:proofErr w:type="spellStart"/>
      <w:r w:rsidR="00AA730A" w:rsidRPr="00031B0A">
        <w:rPr>
          <w:color w:val="ED0000"/>
        </w:rPr>
        <w:t>etc</w:t>
      </w:r>
      <w:proofErr w:type="spellEnd"/>
      <w:r w:rsidR="00AA730A" w:rsidRPr="00031B0A">
        <w:rPr>
          <w:color w:val="ED0000"/>
        </w:rPr>
        <w:t>)</w:t>
      </w:r>
    </w:p>
    <w:p w14:paraId="2C599C0A" w14:textId="77777777" w:rsidR="00D700AB"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Contractor shall be required to provide a Fidelity Bond in the amount of </w:t>
      </w:r>
      <w:r w:rsidRPr="00C6189C">
        <w:rPr>
          <w:rFonts w:ascii="Arial" w:hAnsi="Arial" w:cs="Arial"/>
          <w:bCs/>
          <w:sz w:val="20"/>
          <w:szCs w:val="20"/>
          <w:highlight w:val="yellow"/>
        </w:rPr>
        <w:t>$</w:t>
      </w:r>
      <w:r w:rsidRPr="00F87DB5">
        <w:rPr>
          <w:rFonts w:ascii="Arial" w:hAnsi="Arial" w:cs="Arial"/>
          <w:bCs/>
          <w:sz w:val="20"/>
          <w:szCs w:val="20"/>
          <w:highlight w:val="yellow"/>
        </w:rPr>
        <w:t>[Dollar Amount]</w:t>
      </w:r>
      <w:r w:rsidRPr="00C6189C">
        <w:rPr>
          <w:rFonts w:ascii="Arial" w:hAnsi="Arial" w:cs="Arial"/>
          <w:bCs/>
          <w:sz w:val="20"/>
          <w:szCs w:val="20"/>
        </w:rPr>
        <w:t xml:space="preserve"> to protect the State from loss resulting from acts of crime or fraud perpetrated either by the Contractor, its agents or subcontractors or against the Contractor, its agents or subcontractors.  The </w:t>
      </w:r>
      <w:r w:rsidRPr="00F87DB5">
        <w:rPr>
          <w:rFonts w:ascii="Arial" w:hAnsi="Arial" w:cs="Arial"/>
          <w:bCs/>
          <w:sz w:val="20"/>
          <w:szCs w:val="20"/>
          <w:highlight w:val="yellow"/>
        </w:rPr>
        <w:t>[Agency Name]</w:t>
      </w:r>
      <w:r>
        <w:rPr>
          <w:rFonts w:ascii="Arial" w:hAnsi="Arial" w:cs="Arial"/>
          <w:bCs/>
          <w:sz w:val="20"/>
          <w:szCs w:val="20"/>
        </w:rPr>
        <w:t xml:space="preserve"> </w:t>
      </w:r>
      <w:r w:rsidRPr="00C6189C">
        <w:rPr>
          <w:rFonts w:ascii="Arial" w:hAnsi="Arial" w:cs="Arial"/>
          <w:bCs/>
          <w:sz w:val="20"/>
          <w:szCs w:val="20"/>
        </w:rPr>
        <w:t>shall be the named beneficiary.</w:t>
      </w:r>
    </w:p>
    <w:p w14:paraId="04C3E3E8" w14:textId="77777777" w:rsidR="00D700AB" w:rsidRPr="00C6189C"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A </w:t>
      </w:r>
      <w:r w:rsidRPr="00F87DB5">
        <w:rPr>
          <w:rFonts w:ascii="Arial" w:hAnsi="Arial" w:cs="Arial"/>
          <w:bCs/>
          <w:sz w:val="20"/>
          <w:szCs w:val="20"/>
        </w:rPr>
        <w:t>blanket Crime insurance policy with a minimum limit of $</w:t>
      </w:r>
      <w:r w:rsidRPr="00F87DB5">
        <w:rPr>
          <w:rFonts w:ascii="Arial" w:hAnsi="Arial" w:cs="Arial"/>
          <w:bCs/>
          <w:sz w:val="20"/>
          <w:szCs w:val="20"/>
          <w:highlight w:val="yellow"/>
        </w:rPr>
        <w:t>[Dollar Amount]</w:t>
      </w:r>
      <w:r w:rsidRPr="00F87DB5">
        <w:rPr>
          <w:rFonts w:ascii="Arial" w:hAnsi="Arial" w:cs="Arial"/>
          <w:bCs/>
          <w:sz w:val="20"/>
          <w:szCs w:val="20"/>
        </w:rPr>
        <w:t xml:space="preserve"> per occurrence for Employee Theft and endorsed to include the State of Louisiana as a named insured is acceptable in lieu of the Fidelity Bond.</w:t>
      </w:r>
    </w:p>
    <w:p w14:paraId="6A0AFE91" w14:textId="77777777" w:rsidR="00D700AB" w:rsidRPr="00C6189C" w:rsidRDefault="00D700AB" w:rsidP="00D700AB">
      <w:pPr>
        <w:pStyle w:val="ListParagraph"/>
        <w:numPr>
          <w:ilvl w:val="1"/>
          <w:numId w:val="4"/>
        </w:numPr>
        <w:rPr>
          <w:rFonts w:ascii="Arial" w:hAnsi="Arial" w:cs="Arial"/>
          <w:bCs/>
          <w:sz w:val="20"/>
          <w:szCs w:val="20"/>
        </w:rPr>
      </w:pPr>
      <w:r w:rsidRPr="00C6189C">
        <w:rPr>
          <w:rFonts w:ascii="Arial" w:hAnsi="Arial" w:cs="Arial"/>
          <w:bCs/>
          <w:sz w:val="20"/>
          <w:szCs w:val="20"/>
        </w:rPr>
        <w:lastRenderedPageBreak/>
        <w:t>The fidelity bond furnished shall be written by a surety or insurance company that is currently licensed to do business in the State.  This bond will be required prior to execution of the Contract.</w:t>
      </w:r>
    </w:p>
    <w:p w14:paraId="42D4DEDC" w14:textId="77777777" w:rsidR="001F24D4" w:rsidRDefault="001F24D4" w:rsidP="001F24D4">
      <w:pPr>
        <w:pStyle w:val="ListParagraph"/>
        <w:ind w:left="1440"/>
        <w:contextualSpacing w:val="0"/>
        <w:rPr>
          <w:rFonts w:ascii="Arial" w:hAnsi="Arial" w:cs="Arial"/>
          <w:b/>
          <w:bCs/>
          <w:sz w:val="20"/>
          <w:szCs w:val="20"/>
        </w:rPr>
      </w:pPr>
    </w:p>
    <w:p w14:paraId="7B76841F" w14:textId="77777777" w:rsidR="001F24D4" w:rsidRPr="00A6419B" w:rsidRDefault="001F24D4" w:rsidP="001F24D4">
      <w:pPr>
        <w:pStyle w:val="Heading2"/>
      </w:pPr>
      <w:r w:rsidRPr="00A6419B">
        <w:t>Veteran-Owned and Service-Connected Disabled Veteran-Owned Small Entrepreneurships (Veteran Initiative) and Louisiana Initiative for Small Entrepreneurships (Hudson Initiative) Programs Participation</w:t>
      </w:r>
      <w:r w:rsidR="00AA730A">
        <w:t xml:space="preserve"> </w:t>
      </w:r>
      <w:r w:rsidR="00AA730A" w:rsidRPr="00031B0A">
        <w:rPr>
          <w:color w:val="ED0000"/>
        </w:rPr>
        <w:t>(Delete if Hudson/Veteran Initiative is not allowed)</w:t>
      </w:r>
    </w:p>
    <w:p w14:paraId="0CB7902D" w14:textId="77777777" w:rsidR="001F24D4" w:rsidRPr="00B33C6B" w:rsidRDefault="001F24D4" w:rsidP="001F24D4">
      <w:pPr>
        <w:pStyle w:val="ListParagraph"/>
        <w:numPr>
          <w:ilvl w:val="1"/>
          <w:numId w:val="8"/>
        </w:numPr>
        <w:rPr>
          <w:rFonts w:ascii="Arial" w:hAnsi="Arial" w:cs="Arial"/>
          <w:bCs/>
          <w:sz w:val="20"/>
          <w:szCs w:val="20"/>
        </w:rPr>
      </w:pPr>
      <w:r>
        <w:rPr>
          <w:rFonts w:ascii="Arial" w:hAnsi="Arial" w:cs="Arial"/>
          <w:bCs/>
          <w:sz w:val="20"/>
          <w:szCs w:val="20"/>
        </w:rPr>
        <w:t xml:space="preserve">The </w:t>
      </w:r>
      <w:r w:rsidRPr="00B33C6B">
        <w:rPr>
          <w:rFonts w:ascii="Arial" w:hAnsi="Arial" w:cs="Arial"/>
          <w:bCs/>
          <w:sz w:val="20"/>
          <w:szCs w:val="20"/>
        </w:rPr>
        <w:t>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r>
        <w:rPr>
          <w:rFonts w:ascii="Arial" w:hAnsi="Arial" w:cs="Arial"/>
          <w:bCs/>
          <w:sz w:val="20"/>
          <w:szCs w:val="20"/>
        </w:rPr>
        <w:t xml:space="preserve"> </w:t>
      </w:r>
      <w:hyperlink r:id="rId5"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14:paraId="7922CC03"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46F97BBC"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6C0CC3D2"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40C1380A"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4F8FAF13"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563C44C4"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39:2171 et. seq.) concerning the Veteran Initiative may be viewed at: </w:t>
      </w:r>
      <w:hyperlink r:id="rId6" w:history="1">
        <w:r w:rsidRPr="00607344">
          <w:rPr>
            <w:rStyle w:val="Hyperlink"/>
            <w:rFonts w:ascii="Arial" w:hAnsi="Arial" w:cs="Arial"/>
            <w:bCs/>
            <w:sz w:val="20"/>
            <w:szCs w:val="20"/>
          </w:rPr>
          <w:t>http://www.legis.la.gov/Legis/Law.aspx?d=671504</w:t>
        </w:r>
      </w:hyperlink>
      <w:r w:rsidRPr="00B33C6B">
        <w:rPr>
          <w:rFonts w:ascii="Arial" w:hAnsi="Arial" w:cs="Arial"/>
          <w:bCs/>
          <w:sz w:val="20"/>
          <w:szCs w:val="20"/>
        </w:rPr>
        <w:t xml:space="preserve">.  </w:t>
      </w:r>
    </w:p>
    <w:p w14:paraId="6126FD60"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39:2001 et. seq.) concerning the Hudson Initiative may be viewed at: </w:t>
      </w:r>
      <w:hyperlink r:id="rId7" w:history="1">
        <w:r w:rsidRPr="00607344">
          <w:rPr>
            <w:rStyle w:val="Hyperlink"/>
            <w:rFonts w:ascii="Arial" w:hAnsi="Arial" w:cs="Arial"/>
            <w:bCs/>
            <w:sz w:val="20"/>
            <w:szCs w:val="20"/>
          </w:rPr>
          <w:t>http://www.legis.la.gov/Legis/Law.aspx?d=96265</w:t>
        </w:r>
      </w:hyperlink>
      <w:r w:rsidRPr="00B33C6B">
        <w:rPr>
          <w:rFonts w:ascii="Arial" w:hAnsi="Arial" w:cs="Arial"/>
          <w:bCs/>
          <w:sz w:val="20"/>
          <w:szCs w:val="20"/>
        </w:rPr>
        <w:t xml:space="preserve">.  </w:t>
      </w:r>
    </w:p>
    <w:p w14:paraId="2FD3347A"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The rules for the Veteran Initiative (LAC 19:</w:t>
      </w:r>
      <w:r>
        <w:rPr>
          <w:rFonts w:ascii="Arial" w:hAnsi="Arial" w:cs="Arial"/>
          <w:bCs/>
          <w:sz w:val="20"/>
          <w:szCs w:val="20"/>
        </w:rPr>
        <w:t>IX</w:t>
      </w:r>
      <w:r w:rsidRPr="00B33C6B">
        <w:rPr>
          <w:rFonts w:ascii="Arial" w:hAnsi="Arial" w:cs="Arial"/>
          <w:bCs/>
          <w:sz w:val="20"/>
          <w:szCs w:val="20"/>
        </w:rPr>
        <w:t xml:space="preserve"> Chapters 11 and 1</w:t>
      </w:r>
      <w:r>
        <w:rPr>
          <w:rFonts w:ascii="Arial" w:hAnsi="Arial" w:cs="Arial"/>
          <w:bCs/>
          <w:sz w:val="20"/>
          <w:szCs w:val="20"/>
        </w:rPr>
        <w:t>3</w:t>
      </w:r>
      <w:r w:rsidRPr="00B33C6B">
        <w:rPr>
          <w:rFonts w:ascii="Arial" w:hAnsi="Arial" w:cs="Arial"/>
          <w:bCs/>
          <w:sz w:val="20"/>
          <w:szCs w:val="20"/>
        </w:rPr>
        <w:t xml:space="preserve">) and for the Hudson Initiative (LAC 19:VIII Chapters 11 and 13) may be viewed at: </w:t>
      </w:r>
    </w:p>
    <w:p w14:paraId="5490F5AD" w14:textId="77777777" w:rsidR="001F24D4" w:rsidRPr="00B33C6B" w:rsidRDefault="001F24D4" w:rsidP="001F24D4">
      <w:pPr>
        <w:pStyle w:val="ListParagraph"/>
        <w:ind w:left="1440"/>
        <w:rPr>
          <w:rFonts w:ascii="Arial" w:hAnsi="Arial" w:cs="Arial"/>
          <w:bCs/>
          <w:sz w:val="20"/>
          <w:szCs w:val="20"/>
        </w:rPr>
      </w:pPr>
      <w:hyperlink r:id="rId8" w:history="1">
        <w:r w:rsidRPr="00607344">
          <w:rPr>
            <w:rStyle w:val="Hyperlink"/>
            <w:rFonts w:ascii="Arial" w:hAnsi="Arial" w:cs="Arial"/>
            <w:bCs/>
            <w:sz w:val="20"/>
            <w:szCs w:val="20"/>
          </w:rPr>
          <w:t>https://www.doa.la.gov/doa/osp/vendor-resources/hudson-se-veteran-initiatives/</w:t>
        </w:r>
      </w:hyperlink>
      <w:r w:rsidRPr="00B33C6B">
        <w:rPr>
          <w:rFonts w:ascii="Arial" w:hAnsi="Arial" w:cs="Arial"/>
          <w:bCs/>
          <w:sz w:val="20"/>
          <w:szCs w:val="20"/>
        </w:rPr>
        <w:t>.</w:t>
      </w:r>
    </w:p>
    <w:p w14:paraId="582DC104"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lastRenderedPageBreak/>
        <w:t xml:space="preserve">A current list of certified Veteran-Owned and Service-Connected Disabled Veteran-Owned and Hudson Initiative small entrepreneurships may be obtained from the Louisiana Economic Development Certification System at: </w:t>
      </w:r>
      <w:hyperlink r:id="rId9"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14:paraId="6E52A81E"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Additionally, a list of Hudson and Veteran Initiative small entrepreneurships, which have been certified by the Louisiana Department of Economic Development and who have opted to register in the State of L</w:t>
      </w:r>
      <w:r>
        <w:rPr>
          <w:rFonts w:ascii="Arial" w:hAnsi="Arial" w:cs="Arial"/>
          <w:bCs/>
          <w:sz w:val="20"/>
          <w:szCs w:val="20"/>
        </w:rPr>
        <w:t xml:space="preserve">ouisiana LaGov Supplier Portal: </w:t>
      </w:r>
      <w:hyperlink r:id="rId10" w:history="1">
        <w:r w:rsidRPr="00607344">
          <w:rPr>
            <w:rStyle w:val="Hyperlink"/>
            <w:rFonts w:ascii="Arial" w:hAnsi="Arial" w:cs="Arial"/>
            <w:bCs/>
            <w:sz w:val="20"/>
            <w:szCs w:val="20"/>
          </w:rPr>
          <w:t>https://lagoverpvendor.doa.louisiana.gov/irj/portal/anonymous?guest_user=self_reg</w:t>
        </w:r>
      </w:hyperlink>
      <w:r w:rsidRPr="00B33C6B">
        <w:rPr>
          <w:rFonts w:ascii="Arial" w:hAnsi="Arial" w:cs="Arial"/>
          <w:bCs/>
          <w:sz w:val="20"/>
          <w:szCs w:val="20"/>
        </w:rPr>
        <w:t xml:space="preserve">. </w:t>
      </w:r>
    </w:p>
    <w:p w14:paraId="740875CA" w14:textId="77777777" w:rsidR="001F24D4"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This may be accessed from the State of Louisiana Procurement and Contract (</w:t>
      </w:r>
      <w:proofErr w:type="spellStart"/>
      <w:r w:rsidRPr="00B33C6B">
        <w:rPr>
          <w:rFonts w:ascii="Arial" w:hAnsi="Arial" w:cs="Arial"/>
          <w:bCs/>
          <w:sz w:val="20"/>
          <w:szCs w:val="20"/>
        </w:rPr>
        <w:t>LaPAC</w:t>
      </w:r>
      <w:proofErr w:type="spellEnd"/>
      <w:r w:rsidRPr="00B33C6B">
        <w:rPr>
          <w:rFonts w:ascii="Arial" w:hAnsi="Arial" w:cs="Arial"/>
          <w:bCs/>
          <w:sz w:val="20"/>
          <w:szCs w:val="20"/>
        </w:rPr>
        <w:t xml:space="preserve">) Network: </w:t>
      </w:r>
      <w:hyperlink r:id="rId11" w:history="1">
        <w:r w:rsidRPr="00607344">
          <w:rPr>
            <w:rStyle w:val="Hyperlink"/>
            <w:rFonts w:ascii="Arial" w:hAnsi="Arial" w:cs="Arial"/>
            <w:bCs/>
            <w:sz w:val="20"/>
            <w:szCs w:val="20"/>
          </w:rPr>
          <w:t>https://wwwcfprd.doa.louisiana.gov/OSP/LaPAC/vendor/VndPubMain.cfm</w:t>
        </w:r>
      </w:hyperlink>
      <w:r>
        <w:rPr>
          <w:rFonts w:ascii="Arial" w:hAnsi="Arial" w:cs="Arial"/>
          <w:bCs/>
          <w:sz w:val="20"/>
          <w:szCs w:val="20"/>
        </w:rPr>
        <w:t xml:space="preserve">. </w:t>
      </w:r>
      <w:r w:rsidRPr="003F68D8">
        <w:rPr>
          <w:rFonts w:ascii="Arial" w:hAnsi="Arial" w:cs="Arial"/>
          <w:bCs/>
          <w:sz w:val="20"/>
          <w:szCs w:val="20"/>
        </w:rPr>
        <w:t xml:space="preserve">When using this site, determine the search criteria (i.e. alphabetized list of all certified vendors, by commodities, etc.) and select </w:t>
      </w:r>
      <w:proofErr w:type="spellStart"/>
      <w:r w:rsidRPr="003F68D8">
        <w:rPr>
          <w:rFonts w:ascii="Arial" w:hAnsi="Arial" w:cs="Arial"/>
          <w:bCs/>
          <w:sz w:val="20"/>
          <w:szCs w:val="20"/>
        </w:rPr>
        <w:t>SmallE</w:t>
      </w:r>
      <w:proofErr w:type="spellEnd"/>
      <w:r w:rsidRPr="003F68D8">
        <w:rPr>
          <w:rFonts w:ascii="Arial" w:hAnsi="Arial" w:cs="Arial"/>
          <w:bCs/>
          <w:sz w:val="20"/>
          <w:szCs w:val="20"/>
        </w:rPr>
        <w:t>, VSE, or DVSE</w:t>
      </w:r>
      <w:r w:rsidR="00D700AB">
        <w:rPr>
          <w:rFonts w:ascii="Arial" w:hAnsi="Arial" w:cs="Arial"/>
          <w:bCs/>
          <w:sz w:val="20"/>
          <w:szCs w:val="20"/>
        </w:rPr>
        <w:t>.</w:t>
      </w:r>
    </w:p>
    <w:p w14:paraId="039BBFFF" w14:textId="77777777" w:rsidR="001F24D4" w:rsidRDefault="001F24D4" w:rsidP="001F24D4">
      <w:pPr>
        <w:pStyle w:val="ListParagraph"/>
        <w:ind w:left="1440"/>
        <w:rPr>
          <w:rFonts w:ascii="Arial" w:hAnsi="Arial" w:cs="Arial"/>
          <w:bCs/>
          <w:sz w:val="20"/>
          <w:szCs w:val="20"/>
        </w:rPr>
      </w:pPr>
    </w:p>
    <w:sectPr w:rsidR="001F2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2C386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15A785C"/>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0126B6E"/>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06244463">
    <w:abstractNumId w:val="6"/>
  </w:num>
  <w:num w:numId="2" w16cid:durableId="1168592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935950">
    <w:abstractNumId w:val="1"/>
  </w:num>
  <w:num w:numId="4" w16cid:durableId="2035761854">
    <w:abstractNumId w:val="7"/>
  </w:num>
  <w:num w:numId="5" w16cid:durableId="817845481">
    <w:abstractNumId w:val="3"/>
  </w:num>
  <w:num w:numId="6" w16cid:durableId="872809481">
    <w:abstractNumId w:val="5"/>
  </w:num>
  <w:num w:numId="7" w16cid:durableId="837309716">
    <w:abstractNumId w:val="2"/>
  </w:num>
  <w:num w:numId="8" w16cid:durableId="720522190">
    <w:abstractNumId w:val="4"/>
  </w:num>
  <w:num w:numId="9" w16cid:durableId="62661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D4"/>
    <w:rsid w:val="00031B0A"/>
    <w:rsid w:val="001F24D4"/>
    <w:rsid w:val="00297B28"/>
    <w:rsid w:val="00471C98"/>
    <w:rsid w:val="004E6BA3"/>
    <w:rsid w:val="005A7C52"/>
    <w:rsid w:val="006D0DD0"/>
    <w:rsid w:val="00AA730A"/>
    <w:rsid w:val="00CA26C7"/>
    <w:rsid w:val="00D7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10E4"/>
  <w15:chartTrackingRefBased/>
  <w15:docId w15:val="{98B9181A-9794-4E2B-AE8E-5F2A47E4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D4"/>
  </w:style>
  <w:style w:type="paragraph" w:styleId="Heading1">
    <w:name w:val="heading 1"/>
    <w:basedOn w:val="Normal"/>
    <w:next w:val="Normal"/>
    <w:link w:val="Heading1Char"/>
    <w:uiPriority w:val="9"/>
    <w:qFormat/>
    <w:rsid w:val="001F24D4"/>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1F24D4"/>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4D4"/>
    <w:rPr>
      <w:rFonts w:ascii="Barlow" w:hAnsi="Barlow" w:cs="Arial"/>
      <w:b/>
      <w:bCs/>
      <w:sz w:val="28"/>
      <w:szCs w:val="28"/>
    </w:rPr>
  </w:style>
  <w:style w:type="character" w:customStyle="1" w:styleId="Heading2Char">
    <w:name w:val="Heading 2 Char"/>
    <w:basedOn w:val="DefaultParagraphFont"/>
    <w:link w:val="Heading2"/>
    <w:uiPriority w:val="9"/>
    <w:rsid w:val="001F24D4"/>
    <w:rPr>
      <w:rFonts w:ascii="Arial" w:hAnsi="Arial" w:cs="Arial"/>
      <w:b/>
      <w:bCs/>
      <w:sz w:val="20"/>
      <w:szCs w:val="20"/>
    </w:rPr>
  </w:style>
  <w:style w:type="paragraph" w:styleId="ListParagraph">
    <w:name w:val="List Paragraph"/>
    <w:basedOn w:val="Normal"/>
    <w:uiPriority w:val="34"/>
    <w:qFormat/>
    <w:rsid w:val="001F24D4"/>
    <w:pPr>
      <w:ind w:left="720"/>
      <w:contextualSpacing/>
    </w:pPr>
  </w:style>
  <w:style w:type="character" w:styleId="Hyperlink">
    <w:name w:val="Hyperlink"/>
    <w:basedOn w:val="DefaultParagraphFont"/>
    <w:uiPriority w:val="99"/>
    <w:unhideWhenUsed/>
    <w:rsid w:val="001F2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sp/vendor-resources/hudson-se-veteran-initiati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gov/Legis/Law.aspx?d=962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gov/Legis/Law.aspx?d=671504" TargetMode="External"/><Relationship Id="rId11" Type="http://schemas.openxmlformats.org/officeDocument/2006/relationships/hyperlink" Target="https://wwwcfprd.doa.louisiana.gov/OSP/LaPAC/vendor/VndPubMain.cfm" TargetMode="External"/><Relationship Id="rId5" Type="http://schemas.openxmlformats.org/officeDocument/2006/relationships/hyperlink" Target="https://smallbiz.louisianaeconomicdevelopment.com" TargetMode="External"/><Relationship Id="rId10" Type="http://schemas.openxmlformats.org/officeDocument/2006/relationships/hyperlink" Target="https://lagoverpvendor.doa.louisiana.gov/irj/portal/anonymous?guest_user=self_reg" TargetMode="External"/><Relationship Id="rId4" Type="http://schemas.openxmlformats.org/officeDocument/2006/relationships/webSettings" Target="webSettings.xml"/><Relationship Id="rId9" Type="http://schemas.openxmlformats.org/officeDocument/2006/relationships/hyperlink" Target="https://smallbiz.louisianaeconomicdevelo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Monica Clark (DOA)</cp:lastModifiedBy>
  <cp:revision>2</cp:revision>
  <dcterms:created xsi:type="dcterms:W3CDTF">2025-09-04T18:34:00Z</dcterms:created>
  <dcterms:modified xsi:type="dcterms:W3CDTF">2025-09-04T18:34:00Z</dcterms:modified>
</cp:coreProperties>
</file>